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D47A1"/>
        </w:rPr>
        <w:t>Diccionario de Clases y Métodos</w:t>
      </w:r>
    </w:p>
    <w:p>
      <w:pPr>
        <w:jc w:val="center"/>
      </w:pPr>
      <w:r>
        <w:rPr>
          <w:b/>
          <w:sz w:val="28"/>
        </w:rPr>
        <w:t>Sistema de Gestión Integral y Atención al Cliente</w:t>
      </w:r>
    </w:p>
    <w:p>
      <w:pPr>
        <w:jc w:val="center"/>
      </w:pPr>
      <w:r>
        <w:rPr>
          <w:b w:val="0"/>
          <w:sz w:val="24"/>
        </w:rPr>
        <w:t>Villafañe Wifi — Documentación de Arquitectura Orientada a Objetos</w:t>
      </w:r>
    </w:p>
    <w:p/>
    <w:p>
      <w:r>
        <w:rPr>
          <w:sz w:val="22"/>
        </w:rPr>
        <w:t>El presente documento constituye el Diccionario de Clases del sistema Villafañe Wifi, elaborado de acuerdo con el Diagrama de Clases UML del proyecto. Para cada clase del dominio y de servicios se documenta su responsabilidad funcional, estereotipo o tipo de clase, jerarquía de herencia y relaciones, así como el detalle exhaustivo de sus atributos (visibilidad, tipo de dato y descripción) y de sus métodos y operaciones (firma, parámetros, tipo de retorno y comportamiento esperado).</w:t>
      </w:r>
    </w:p>
    <w:p/>
    <w:p>
      <w:pPr>
        <w:pStyle w:val="Heading1"/>
      </w:pPr>
      <w:r>
        <w:rPr>
          <w:color w:val="0D47A1"/>
        </w:rPr>
        <w:t>Convenciones y Nomenclatura UML</w:t>
      </w:r>
    </w:p>
    <w:p>
      <w:pPr>
        <w:pStyle w:val="ListBullet"/>
      </w:pPr>
      <w:r>
        <w:rPr>
          <w:sz w:val="20"/>
        </w:rPr>
        <w:t>-  (Privado / Private): Atributo accesible únicamente desde el interior de la propia clase.</w:t>
      </w:r>
    </w:p>
    <w:p>
      <w:pPr>
        <w:pStyle w:val="ListBullet"/>
      </w:pPr>
      <w:r>
        <w:rPr>
          <w:sz w:val="20"/>
        </w:rPr>
        <w:t>+  (Público / Public): Método o atributo accesible desde cualquier otra clase o componente.</w:t>
      </w:r>
    </w:p>
    <w:p>
      <w:pPr>
        <w:pStyle w:val="ListBullet"/>
      </w:pPr>
      <w:r>
        <w:rPr>
          <w:sz w:val="20"/>
        </w:rPr>
        <w:t>#  (Protegido / Protected): Accesible desde la clase y sus subclases derivadas.</w:t>
      </w:r>
    </w:p>
    <w:p>
      <w:pPr>
        <w:pStyle w:val="ListBullet"/>
      </w:pPr>
      <w:r>
        <w:rPr>
          <w:sz w:val="20"/>
        </w:rPr>
        <w:t>&lt;&lt;abstract&gt;&gt;: Clase abstracta que define una plantilla base y no puede instanciarse directamente.</w:t>
      </w:r>
    </w:p>
    <w:p>
      <w:pPr>
        <w:pStyle w:val="ListBullet"/>
      </w:pPr>
      <w:r>
        <w:rPr>
          <w:sz w:val="20"/>
        </w:rPr>
        <w:t>{static}: Método o atributo de clase/estático que se invoca sobre el tipo y no sobre una instancia particular.</w:t>
      </w:r>
    </w:p>
    <w:p>
      <w:pPr>
        <w:pStyle w:val="ListBullet"/>
      </w:pPr>
      <w:r>
        <w:rPr>
          <w:sz w:val="20"/>
        </w:rPr>
        <w:t>List&lt;T&gt;: Colección de objetos fuertemente tipada de la entidad T.</w:t>
      </w:r>
    </w:p>
    <w:p>
      <w:pPr>
        <w:pStyle w:val="ListBullet"/>
      </w:pPr>
      <w:r>
        <w:rPr>
          <w:sz w:val="20"/>
        </w:rPr>
        <w:t>BigDecimal: Tipo numérico de alta precisión utilizado para montos monetarios.</w:t>
      </w:r>
    </w:p>
    <w:p>
      <w:pPr>
        <w:pStyle w:val="ListBullet"/>
      </w:pPr>
      <w:r>
        <w:rPr>
          <w:sz w:val="20"/>
        </w:rPr>
        <w:t>DateTime / Date: Tipos para el manejo de fecha y hora temporal.</w:t>
      </w:r>
    </w:p>
    <w:p>
      <w:r>
        <w:br w:type="page"/>
      </w:r>
    </w:p>
    <w:p>
      <w:pPr>
        <w:pStyle w:val="Heading1"/>
      </w:pPr>
      <w:r>
        <w:rPr>
          <w:color w:val="37474F"/>
        </w:rPr>
        <w:t>1. Clase: Usuario</w:t>
      </w:r>
    </w:p>
    <w:p>
      <w:r>
        <w:rPr>
          <w:b/>
          <w:sz w:val="20"/>
        </w:rPr>
        <w:t xml:space="preserve">Tipo: </w:t>
      </w:r>
      <w:r>
        <w:t xml:space="preserve">Clase Abstracta (&lt;&lt;abstract&gt;&gt;)   |   </w:t>
      </w:r>
      <w:r>
        <w:rPr>
          <w:b/>
        </w:rPr>
        <w:t xml:space="preserve">Relaciones / Herencia: </w:t>
      </w:r>
      <w:r>
        <w:t>Superclase base. Especializada por Empleado y Administrador.</w:t>
      </w:r>
    </w:p>
    <w:p>
      <w:r>
        <w:rPr>
          <w:b/>
          <w:sz w:val="21"/>
        </w:rPr>
        <w:t xml:space="preserve">Responsabilidad: </w:t>
      </w:r>
      <w:r>
        <w:t>Representa la identidad base y credenciales de acceso de cualquier operador o usuario del sistema. Encapsula la lógica de autenticación, hash seguro de contraseñas y estado de habilitación.</w:t>
      </w:r>
    </w:p>
    <w:p/>
    <w:p>
      <w:pPr>
        <w:pStyle w:val="Heading2"/>
      </w:pPr>
      <w:r>
        <w:rPr>
          <w:color w:val="37474F"/>
          <w:sz w:val="22"/>
        </w:rPr>
        <w:t>Atributos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09"/>
        <w:gridCol w:w="2309"/>
        <w:gridCol w:w="2309"/>
        <w:gridCol w:w="2309"/>
      </w:tblGrid>
      <w:tr>
        <w:tc>
          <w:tcPr>
            <w:tcW w:type="dxa" w:w="680"/>
            <w:shd w:val="clear" w:color="auto"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Vis.</w:t>
            </w:r>
          </w:p>
        </w:tc>
        <w:tc>
          <w:tcPr>
            <w:tcW w:type="dxa" w:w="2551"/>
            <w:shd w:val="clear" w:color="auto"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Atributo</w:t>
            </w:r>
          </w:p>
        </w:tc>
        <w:tc>
          <w:tcPr>
            <w:tcW w:type="dxa" w:w="1701"/>
            <w:shd w:val="clear" w:color="auto"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Tipo UML</w:t>
            </w:r>
          </w:p>
        </w:tc>
        <w:tc>
          <w:tcPr>
            <w:tcW w:type="dxa" w:w="4535"/>
            <w:shd w:val="clear" w:color="auto"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Descripción Funcional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-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idUsuario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int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Identificador numérico único del usuario.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-</w:t>
            </w:r>
          </w:p>
        </w:tc>
        <w:tc>
          <w:tcPr>
            <w:tcW w:type="dxa" w:w="2551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nombreUsuario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4535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Nombre de usuario único para inicio de sesión en la plataforma.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-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credencial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Contraseña almacenada como hash criptográfico seguro (bcrypt).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-</w:t>
            </w:r>
          </w:p>
        </w:tc>
        <w:tc>
          <w:tcPr>
            <w:tcW w:type="dxa" w:w="2551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estado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4535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Estado de la cuenta de usuario ('activo', 'inactivo').</w:t>
            </w:r>
          </w:p>
        </w:tc>
      </w:tr>
    </w:tbl>
    <w:p/>
    <w:p>
      <w:pPr>
        <w:pStyle w:val="Heading2"/>
      </w:pPr>
      <w:r>
        <w:rPr>
          <w:color w:val="37474F"/>
          <w:sz w:val="22"/>
        </w:rPr>
        <w:t>Métodos y Operaciones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09"/>
        <w:gridCol w:w="2309"/>
        <w:gridCol w:w="2309"/>
        <w:gridCol w:w="2309"/>
      </w:tblGrid>
      <w:tr>
        <w:tc>
          <w:tcPr>
            <w:tcW w:type="dxa" w:w="680"/>
            <w:shd w:val="clear" w:color="auto"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Vis.</w:t>
            </w:r>
          </w:p>
        </w:tc>
        <w:tc>
          <w:tcPr>
            <w:tcW w:type="dxa" w:w="4252"/>
            <w:shd w:val="clear" w:color="auto"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Operación / Firma del Método</w:t>
            </w:r>
          </w:p>
        </w:tc>
        <w:tc>
          <w:tcPr>
            <w:tcW w:type="dxa" w:w="1587"/>
            <w:shd w:val="clear" w:color="auto"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Retorno</w:t>
            </w:r>
          </w:p>
        </w:tc>
        <w:tc>
          <w:tcPr>
            <w:tcW w:type="dxa" w:w="2948"/>
            <w:shd w:val="clear" w:color="auto"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t>+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t>getAuthPasswordName()</w:t>
            </w:r>
            <w:r>
              <w:rPr>
                <w:b/>
                <w:i w:val="0"/>
                <w:sz w:val="19"/>
              </w:rPr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t>String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948"/>
            <w:shd w:val="clear" w:color="auto" w:fill="FFFFFF"/>
          </w:tcPr>
          <w:p>
            <w:pPr>
              <w:jc w:val="left"/>
            </w:pPr>
            <w:r>
              <w:t>Indica que credencial es el campo usado por la autenticación Laravel.</w:t>
            </w: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80"/>
            <w:shd w:val="clear" w:color="auto" w:fill="F2F2F2"/>
          </w:tcPr>
          <w:p>
            <w:pPr>
              <w:jc w:val="center"/>
            </w:pPr>
            <w:r>
              <w:t>+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4252"/>
            <w:shd w:val="clear" w:color="auto" w:fill="F2F2F2"/>
          </w:tcPr>
          <w:p>
            <w:pPr>
              <w:jc w:val="left"/>
            </w:pPr>
            <w:r>
              <w:t>empleado()</w:t>
            </w:r>
            <w:r>
              <w:rPr>
                <w:b/>
                <w:i w:val="0"/>
                <w:sz w:val="19"/>
              </w:rPr>
            </w:r>
          </w:p>
        </w:tc>
        <w:tc>
          <w:tcPr>
            <w:tcW w:type="dxa" w:w="1587"/>
            <w:shd w:val="clear" w:color="auto" w:fill="F2F2F2"/>
          </w:tcPr>
          <w:p>
            <w:pPr>
              <w:jc w:val="left"/>
            </w:pPr>
            <w:r>
              <w:t>HasOne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948"/>
            <w:shd w:val="clear" w:color="auto" w:fill="F2F2F2"/>
          </w:tcPr>
          <w:p>
            <w:pPr>
              <w:jc w:val="left"/>
            </w:pPr>
            <w:r>
              <w:t>Relación Eloquent 1:1 con Empleado.</w:t>
            </w: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t>+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t>administrador()</w:t>
            </w:r>
            <w:r>
              <w:rPr>
                <w:b/>
                <w:i w:val="0"/>
                <w:sz w:val="19"/>
              </w:rPr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t>HasOne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948"/>
            <w:shd w:val="clear" w:color="auto" w:fill="FFFFFF"/>
          </w:tcPr>
          <w:p>
            <w:pPr>
              <w:jc w:val="left"/>
            </w:pPr>
            <w:r>
              <w:t>Relación Eloquent 1:1 con Administrador.</w:t>
            </w: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80"/>
            <w:shd w:val="clear" w:color="auto" w:fill="F2F2F2"/>
          </w:tcPr>
          <w:p>
            <w:pPr>
              <w:jc w:val="center"/>
            </w:pPr>
            <w:r>
              <w:t>+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4252"/>
            <w:shd w:val="clear" w:color="auto" w:fill="F2F2F2"/>
          </w:tcPr>
          <w:p>
            <w:pPr>
              <w:jc w:val="left"/>
            </w:pPr>
            <w:r>
              <w:t>autenticar(contrasena: String)</w:t>
            </w:r>
            <w:r>
              <w:rPr>
                <w:b/>
                <w:i w:val="0"/>
                <w:sz w:val="19"/>
              </w:rPr>
            </w:r>
          </w:p>
        </w:tc>
        <w:tc>
          <w:tcPr>
            <w:tcW w:type="dxa" w:w="1587"/>
            <w:shd w:val="clear" w:color="auto" w:fill="F2F2F2"/>
          </w:tcPr>
          <w:p>
            <w:pPr>
              <w:jc w:val="left"/>
            </w:pPr>
            <w:r>
              <w:t>boolean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948"/>
            <w:shd w:val="clear" w:color="auto" w:fill="F2F2F2"/>
          </w:tcPr>
          <w:p>
            <w:pPr>
              <w:jc w:val="left"/>
            </w:pPr>
            <w:r>
              <w:t>Valida estado activo y hash de la credencial.</w:t>
            </w: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t>+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t>cambiarContrasena(nueva: String)</w:t>
            </w:r>
            <w:r>
              <w:rPr>
                <w:b/>
                <w:i w:val="0"/>
                <w:sz w:val="19"/>
              </w:rPr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t>void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948"/>
            <w:shd w:val="clear" w:color="auto" w:fill="FFFFFF"/>
          </w:tcPr>
          <w:p>
            <w:pPr>
              <w:jc w:val="left"/>
            </w:pPr>
            <w:r>
              <w:t>Actualiza la credencial mediante hash.</w:t>
            </w: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80"/>
            <w:shd w:val="clear" w:color="auto" w:fill="F2F2F2"/>
          </w:tcPr>
          <w:p>
            <w:pPr>
              <w:jc w:val="center"/>
            </w:pPr>
            <w:r>
              <w:t>+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4252"/>
            <w:shd w:val="clear" w:color="auto" w:fill="F2F2F2"/>
          </w:tcPr>
          <w:p>
            <w:pPr>
              <w:jc w:val="left"/>
            </w:pPr>
            <w:r>
              <w:t>activar()</w:t>
            </w:r>
            <w:r>
              <w:rPr>
                <w:b/>
                <w:i w:val="0"/>
                <w:sz w:val="19"/>
              </w:rPr>
            </w:r>
          </w:p>
        </w:tc>
        <w:tc>
          <w:tcPr>
            <w:tcW w:type="dxa" w:w="1587"/>
            <w:shd w:val="clear" w:color="auto" w:fill="F2F2F2"/>
          </w:tcPr>
          <w:p>
            <w:pPr>
              <w:jc w:val="left"/>
            </w:pPr>
            <w:r>
              <w:t>void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948"/>
            <w:shd w:val="clear" w:color="auto" w:fill="F2F2F2"/>
          </w:tcPr>
          <w:p>
            <w:pPr>
              <w:jc w:val="left"/>
            </w:pPr>
            <w:r>
              <w:t>Habilita el acceso.</w:t>
            </w: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t>+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t>desactivar()</w:t>
            </w:r>
            <w:r>
              <w:rPr>
                <w:b/>
                <w:i w:val="0"/>
                <w:sz w:val="19"/>
              </w:rPr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t>void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948"/>
            <w:shd w:val="clear" w:color="auto" w:fill="FFFFFF"/>
          </w:tcPr>
          <w:p>
            <w:pPr>
              <w:jc w:val="left"/>
            </w:pPr>
            <w:r>
              <w:t>Inhabilita el acceso.</w:t>
            </w:r>
            <w:r>
              <w:rPr>
                <w:b w:val="0"/>
                <w:i w:val="0"/>
                <w:sz w:val="19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2E7D32"/>
        </w:rPr>
        <w:t>2. Clase: Empleado</w:t>
      </w:r>
    </w:p>
    <w:p>
      <w:r>
        <w:rPr>
          <w:b/>
          <w:sz w:val="20"/>
        </w:rPr>
        <w:t xml:space="preserve">Tipo: </w:t>
      </w:r>
      <w:r>
        <w:t xml:space="preserve">Clase Concreta   |   </w:t>
      </w:r>
      <w:r>
        <w:rPr>
          <w:b/>
        </w:rPr>
        <w:t xml:space="preserve">Relaciones / Herencia: </w:t>
      </w:r>
      <w:r>
        <w:t>Hereda de Usuario (Generalización). Se relaciona con Ticket (1..N) y Conversacion (1..N).</w:t>
      </w:r>
    </w:p>
    <w:p>
      <w:r>
        <w:rPr>
          <w:b/>
          <w:sz w:val="21"/>
        </w:rPr>
        <w:t xml:space="preserve">Responsabilidad: </w:t>
      </w:r>
      <w:r>
        <w:t>Representa a los miembros del personal de soporte técnico y atención al cliente. Incorpora datos específicos de la actividad laboral como turno, área asignada y fecha de ingreso.</w:t>
      </w:r>
    </w:p>
    <w:p/>
    <w:p>
      <w:pPr>
        <w:pStyle w:val="Heading2"/>
      </w:pPr>
      <w:r>
        <w:rPr>
          <w:color w:val="2E7D32"/>
          <w:sz w:val="22"/>
        </w:rPr>
        <w:t>Atributos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09"/>
        <w:gridCol w:w="2309"/>
        <w:gridCol w:w="2309"/>
        <w:gridCol w:w="2309"/>
      </w:tblGrid>
      <w:tr>
        <w:tc>
          <w:tcPr>
            <w:tcW w:type="dxa" w:w="680"/>
            <w:shd w:val="clear" w:color="auto" w:fill="2E7D32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Vis.</w:t>
            </w:r>
          </w:p>
        </w:tc>
        <w:tc>
          <w:tcPr>
            <w:tcW w:type="dxa" w:w="2551"/>
            <w:shd w:val="clear" w:color="auto" w:fill="2E7D32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Atributo</w:t>
            </w:r>
          </w:p>
        </w:tc>
        <w:tc>
          <w:tcPr>
            <w:tcW w:type="dxa" w:w="1701"/>
            <w:shd w:val="clear" w:color="auto" w:fill="2E7D32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Tipo UML</w:t>
            </w:r>
          </w:p>
        </w:tc>
        <w:tc>
          <w:tcPr>
            <w:tcW w:type="dxa" w:w="4535"/>
            <w:shd w:val="clear" w:color="auto" w:fill="2E7D32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Descripción Funcional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t>-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t>idEmpleado</w:t>
            </w:r>
            <w:r>
              <w:rPr>
                <w:b/>
                <w:i w:val="0"/>
                <w:sz w:val="19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t>int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>
              <w:t>PK y FK compartida con Usuario.</w:t>
            </w: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80"/>
            <w:shd w:val="clear" w:color="auto" w:fill="F2F2F2"/>
          </w:tcPr>
          <w:p>
            <w:pPr>
              <w:jc w:val="center"/>
            </w:pPr>
            <w:r>
              <w:t>-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551"/>
            <w:shd w:val="clear" w:color="auto" w:fill="F2F2F2"/>
          </w:tcPr>
          <w:p>
            <w:pPr>
              <w:jc w:val="left"/>
            </w:pPr>
            <w:r>
              <w:t>area</w:t>
            </w:r>
            <w:r>
              <w:rPr>
                <w:b/>
                <w:i w:val="0"/>
                <w:sz w:val="19"/>
              </w:rPr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>
              <w:t>String?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4535"/>
            <w:shd w:val="clear" w:color="auto" w:fill="F2F2F2"/>
          </w:tcPr>
          <w:p>
            <w:pPr>
              <w:jc w:val="left"/>
            </w:pPr>
            <w:r>
              <w:t>Área opcional del empleado.</w:t>
            </w: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t>-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t>cargo</w:t>
            </w:r>
            <w:r>
              <w:rPr>
                <w:b/>
                <w:i w:val="0"/>
                <w:sz w:val="19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t>String?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>
              <w:t>Cargo opcional del empleado.</w:t>
            </w: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80"/>
            <w:shd w:val="clear" w:color="auto" w:fill="F2F2F2"/>
          </w:tcPr>
          <w:p>
            <w:pPr>
              <w:jc w:val="center"/>
            </w:pPr>
            <w:r>
              <w:t>-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551"/>
            <w:shd w:val="clear" w:color="auto" w:fill="F2F2F2"/>
          </w:tcPr>
          <w:p>
            <w:pPr>
              <w:jc w:val="left"/>
            </w:pPr>
            <w:r>
              <w:t>turno</w:t>
            </w:r>
            <w:r>
              <w:rPr>
                <w:b/>
                <w:i w:val="0"/>
                <w:sz w:val="19"/>
              </w:rPr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>
              <w:t>String?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4535"/>
            <w:shd w:val="clear" w:color="auto" w:fill="F2F2F2"/>
          </w:tcPr>
          <w:p>
            <w:pPr>
              <w:jc w:val="left"/>
            </w:pPr>
            <w:r>
              <w:t>Turno opcional.</w:t>
            </w: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2309"/>
          </w:tcPr>
          <w:p>
            <w:r>
              <w:t>-</w:t>
            </w:r>
          </w:p>
        </w:tc>
        <w:tc>
          <w:tcPr>
            <w:tcW w:type="dxa" w:w="2309"/>
          </w:tcPr>
          <w:p>
            <w:r>
              <w:t>fechaIngreso</w:t>
            </w:r>
          </w:p>
        </w:tc>
        <w:tc>
          <w:tcPr>
            <w:tcW w:type="dxa" w:w="2309"/>
          </w:tcPr>
          <w:p>
            <w:r>
              <w:t>Date?</w:t>
            </w:r>
          </w:p>
        </w:tc>
        <w:tc>
          <w:tcPr>
            <w:tcW w:type="dxa" w:w="2309"/>
          </w:tcPr>
          <w:p>
            <w:r>
              <w:t>Fecha de ingreso opcional.</w:t>
            </w:r>
          </w:p>
        </w:tc>
      </w:tr>
    </w:tbl>
    <w:p/>
    <w:p>
      <w:pPr>
        <w:pStyle w:val="Heading2"/>
      </w:pPr>
      <w:r>
        <w:rPr>
          <w:color w:val="2E7D32"/>
          <w:sz w:val="22"/>
        </w:rPr>
        <w:t>Métodos y Operaciones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09"/>
        <w:gridCol w:w="2309"/>
        <w:gridCol w:w="2309"/>
        <w:gridCol w:w="2309"/>
      </w:tblGrid>
      <w:tr>
        <w:tc>
          <w:tcPr>
            <w:tcW w:type="dxa" w:w="680"/>
            <w:shd w:val="clear" w:color="auto" w:fill="2E7D32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Vis.</w:t>
            </w:r>
          </w:p>
        </w:tc>
        <w:tc>
          <w:tcPr>
            <w:tcW w:type="dxa" w:w="4252"/>
            <w:shd w:val="clear" w:color="auto" w:fill="2E7D32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Operación / Firma del Método</w:t>
            </w:r>
          </w:p>
        </w:tc>
        <w:tc>
          <w:tcPr>
            <w:tcW w:type="dxa" w:w="1587"/>
            <w:shd w:val="clear" w:color="auto" w:fill="2E7D32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Retorno</w:t>
            </w:r>
          </w:p>
        </w:tc>
        <w:tc>
          <w:tcPr>
            <w:tcW w:type="dxa" w:w="2948"/>
            <w:shd w:val="clear" w:color="auto" w:fill="2E7D32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t>+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t>usuario()</w:t>
            </w:r>
            <w:r>
              <w:rPr>
                <w:b/>
                <w:i w:val="0"/>
                <w:sz w:val="19"/>
              </w:rPr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t>BelongsTo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948"/>
            <w:shd w:val="clear" w:color="auto" w:fill="FFFFFF"/>
          </w:tcPr>
          <w:p>
            <w:pPr>
              <w:jc w:val="left"/>
            </w:pPr>
            <w:r>
              <w:t>Relación Eloquent con Usuario mediante la PK/FK compartida.</w:t>
            </w:r>
            <w:r>
              <w:rPr>
                <w:b w:val="0"/>
                <w:i w:val="0"/>
                <w:sz w:val="19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4527A0"/>
        </w:rPr>
        <w:t>3. Clase: Administrador</w:t>
      </w:r>
    </w:p>
    <w:p>
      <w:r>
        <w:rPr>
          <w:b/>
          <w:sz w:val="20"/>
        </w:rPr>
        <w:t xml:space="preserve">Tipo: </w:t>
      </w:r>
      <w:r>
        <w:t xml:space="preserve">Clase Concreta   |   </w:t>
      </w:r>
      <w:r>
        <w:rPr>
          <w:b/>
        </w:rPr>
        <w:t xml:space="preserve">Relaciones / Herencia: </w:t>
      </w:r>
      <w:r>
        <w:t>Hereda de Usuario (Generalización). Gestiona Plan (1..N) y CuentaReceptora (1..N).</w:t>
      </w:r>
    </w:p>
    <w:p>
      <w:r>
        <w:rPr>
          <w:b/>
          <w:sz w:val="21"/>
        </w:rPr>
        <w:t xml:space="preserve">Responsabilidad: </w:t>
      </w:r>
      <w:r>
        <w:t>Representa al rol de administración general o dueño del ISP. Posee privilegios para la configuración de planes tarifarios, gestión de cuentas bancarias y administración de usuarios.</w:t>
      </w:r>
    </w:p>
    <w:p/>
    <w:p>
      <w:pPr>
        <w:pStyle w:val="Heading2"/>
      </w:pPr>
      <w:r>
        <w:rPr>
          <w:color w:val="4527A0"/>
          <w:sz w:val="22"/>
        </w:rPr>
        <w:t>Atributos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09"/>
        <w:gridCol w:w="2309"/>
        <w:gridCol w:w="2309"/>
        <w:gridCol w:w="2309"/>
      </w:tblGrid>
      <w:tr>
        <w:tc>
          <w:tcPr>
            <w:tcW w:type="dxa" w:w="680"/>
            <w:shd w:val="clear" w:color="auto" w:fill="4527A0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Vis.</w:t>
            </w:r>
          </w:p>
        </w:tc>
        <w:tc>
          <w:tcPr>
            <w:tcW w:type="dxa" w:w="2551"/>
            <w:shd w:val="clear" w:color="auto" w:fill="4527A0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Atributo</w:t>
            </w:r>
          </w:p>
        </w:tc>
        <w:tc>
          <w:tcPr>
            <w:tcW w:type="dxa" w:w="1701"/>
            <w:shd w:val="clear" w:color="auto" w:fill="4527A0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Tipo UML</w:t>
            </w:r>
          </w:p>
        </w:tc>
        <w:tc>
          <w:tcPr>
            <w:tcW w:type="dxa" w:w="4535"/>
            <w:shd w:val="clear" w:color="auto" w:fill="4527A0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Descripción Funcional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t>-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t>idAdministrador</w:t>
            </w:r>
            <w:r>
              <w:rPr>
                <w:b/>
                <w:i w:val="0"/>
                <w:sz w:val="19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t>int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>
              <w:t>PK y FK compartida con Usuario.</w:t>
            </w: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80"/>
            <w:shd w:val="clear" w:color="auto" w:fill="F2F2F2"/>
          </w:tcPr>
          <w:p>
            <w:pPr>
              <w:jc w:val="center"/>
            </w:pPr>
            <w:r>
              <w:t>-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551"/>
            <w:shd w:val="clear" w:color="auto" w:fill="F2F2F2"/>
          </w:tcPr>
          <w:p>
            <w:pPr>
              <w:jc w:val="left"/>
            </w:pPr>
            <w:r>
              <w:t>nivelAcceso</w:t>
            </w:r>
            <w:r>
              <w:rPr>
                <w:b/>
                <w:i w:val="0"/>
                <w:sz w:val="19"/>
              </w:rPr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>
              <w:t>String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4535"/>
            <w:shd w:val="clear" w:color="auto" w:fill="F2F2F2"/>
          </w:tcPr>
          <w:p>
            <w:pPr>
              <w:jc w:val="left"/>
            </w:pPr>
            <w:r>
              <w:t>Nivel de autorización total o restringido.</w:t>
            </w: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t>-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t>puedeGestionarUsuarios</w:t>
            </w:r>
            <w:r>
              <w:rPr>
                <w:b/>
                <w:i w:val="0"/>
                <w:sz w:val="19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t>boolean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>
              <w:t>Permiso para administrar usuarios.</w:t>
            </w: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2309"/>
          </w:tcPr>
          <w:p>
            <w:r>
              <w:t>-</w:t>
            </w:r>
          </w:p>
        </w:tc>
        <w:tc>
          <w:tcPr>
            <w:tcW w:type="dxa" w:w="2309"/>
          </w:tcPr>
          <w:p>
            <w:r>
              <w:t>puedeConfigurarPlanes</w:t>
            </w:r>
          </w:p>
        </w:tc>
        <w:tc>
          <w:tcPr>
            <w:tcW w:type="dxa" w:w="2309"/>
          </w:tcPr>
          <w:p>
            <w:r>
              <w:t>boolean</w:t>
            </w:r>
          </w:p>
        </w:tc>
        <w:tc>
          <w:tcPr>
            <w:tcW w:type="dxa" w:w="2309"/>
          </w:tcPr>
          <w:p>
            <w:r>
              <w:t>Permiso para administrar planes.</w:t>
            </w:r>
          </w:p>
        </w:tc>
      </w:tr>
    </w:tbl>
    <w:p/>
    <w:p>
      <w:pPr>
        <w:pStyle w:val="Heading2"/>
      </w:pPr>
      <w:r>
        <w:rPr>
          <w:color w:val="4527A0"/>
          <w:sz w:val="22"/>
        </w:rPr>
        <w:t>Métodos y Operaciones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09"/>
        <w:gridCol w:w="2309"/>
        <w:gridCol w:w="2309"/>
        <w:gridCol w:w="2309"/>
      </w:tblGrid>
      <w:tr>
        <w:tc>
          <w:tcPr>
            <w:tcW w:type="dxa" w:w="680"/>
            <w:shd w:val="clear" w:color="auto" w:fill="4527A0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Vis.</w:t>
            </w:r>
          </w:p>
        </w:tc>
        <w:tc>
          <w:tcPr>
            <w:tcW w:type="dxa" w:w="4252"/>
            <w:shd w:val="clear" w:color="auto" w:fill="4527A0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Operación / Firma del Método</w:t>
            </w:r>
          </w:p>
        </w:tc>
        <w:tc>
          <w:tcPr>
            <w:tcW w:type="dxa" w:w="1587"/>
            <w:shd w:val="clear" w:color="auto" w:fill="4527A0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Retorno</w:t>
            </w:r>
          </w:p>
        </w:tc>
        <w:tc>
          <w:tcPr>
            <w:tcW w:type="dxa" w:w="2948"/>
            <w:shd w:val="clear" w:color="auto" w:fill="4527A0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t>+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t>usuario()</w:t>
            </w:r>
            <w:r>
              <w:rPr>
                <w:b/>
                <w:i w:val="0"/>
                <w:sz w:val="19"/>
              </w:rPr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t>BelongsTo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948"/>
            <w:shd w:val="clear" w:color="auto" w:fill="FFFFFF"/>
          </w:tcPr>
          <w:p>
            <w:pPr>
              <w:jc w:val="left"/>
            </w:pPr>
            <w:r>
              <w:t>Relación Eloquent con Usuario mediante la PK/FK compartida.</w:t>
            </w:r>
            <w:r>
              <w:rPr>
                <w:b w:val="0"/>
                <w:i w:val="0"/>
                <w:sz w:val="19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D47A1"/>
        </w:rPr>
        <w:t>4. Clase: Plan</w:t>
      </w:r>
    </w:p>
    <w:p>
      <w:r>
        <w:rPr>
          <w:b/>
          <w:sz w:val="20"/>
        </w:rPr>
        <w:t xml:space="preserve">Tipo: </w:t>
      </w:r>
      <w:r>
        <w:t xml:space="preserve">Clase Concreta   |   </w:t>
      </w:r>
      <w:r>
        <w:rPr>
          <w:b/>
        </w:rPr>
        <w:t xml:space="preserve">Relaciones / Herencia: </w:t>
      </w:r>
      <w:r>
        <w:t>Asociado con Servicio (1 a N). Gestionado por Administrador.</w:t>
      </w:r>
    </w:p>
    <w:p>
      <w:r>
        <w:rPr>
          <w:b/>
          <w:sz w:val="21"/>
        </w:rPr>
        <w:t xml:space="preserve">Responsabilidad: </w:t>
      </w:r>
      <w:r>
        <w:t>Define el catálogo comercial de paquetes de conectividad a internet ofrecidos por la empresa, incluyendo velocidades de bajada/subida, precio mensual y estado de comercialización.</w:t>
      </w:r>
    </w:p>
    <w:p/>
    <w:p>
      <w:pPr>
        <w:pStyle w:val="Heading2"/>
      </w:pPr>
      <w:r>
        <w:rPr>
          <w:color w:val="0D47A1"/>
          <w:sz w:val="22"/>
        </w:rPr>
        <w:t>Atributos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09"/>
        <w:gridCol w:w="2309"/>
        <w:gridCol w:w="2309"/>
        <w:gridCol w:w="2309"/>
      </w:tblGrid>
      <w:tr>
        <w:tc>
          <w:tcPr>
            <w:tcW w:type="dxa" w:w="680"/>
            <w:shd w:val="clear" w:color="auto" w:fill="0D47A1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Vis.</w:t>
            </w:r>
          </w:p>
        </w:tc>
        <w:tc>
          <w:tcPr>
            <w:tcW w:type="dxa" w:w="2551"/>
            <w:shd w:val="clear" w:color="auto" w:fill="0D47A1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Atributo</w:t>
            </w:r>
          </w:p>
        </w:tc>
        <w:tc>
          <w:tcPr>
            <w:tcW w:type="dxa" w:w="1701"/>
            <w:shd w:val="clear" w:color="auto" w:fill="0D47A1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Tipo UML</w:t>
            </w:r>
          </w:p>
        </w:tc>
        <w:tc>
          <w:tcPr>
            <w:tcW w:type="dxa" w:w="4535"/>
            <w:shd w:val="clear" w:color="auto" w:fill="0D47A1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Descripción Funcional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-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idPlan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int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Identificador numérico único del plan.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-</w:t>
            </w:r>
          </w:p>
        </w:tc>
        <w:tc>
          <w:tcPr>
            <w:tcW w:type="dxa" w:w="2551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nombre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4535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Nombre comercial del plan (ej. "Plan Familiar 10 MB").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-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velocidad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Velocidad de conexión expresada como texto descriptivo (ej. "10 Mbps").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-</w:t>
            </w:r>
          </w:p>
        </w:tc>
        <w:tc>
          <w:tcPr>
            <w:tcW w:type="dxa" w:w="2551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precioVigente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BigDecimal</w:t>
            </w:r>
          </w:p>
        </w:tc>
        <w:tc>
          <w:tcPr>
            <w:tcW w:type="dxa" w:w="4535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Importe mensual actual facturado por el plan.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-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estado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Disponibilidad comercial ('activo', 'inactivo').</w:t>
            </w:r>
          </w:p>
        </w:tc>
      </w:tr>
    </w:tbl>
    <w:p/>
    <w:p>
      <w:pPr>
        <w:pStyle w:val="Heading2"/>
      </w:pPr>
      <w:r>
        <w:rPr>
          <w:color w:val="0D47A1"/>
          <w:sz w:val="22"/>
        </w:rPr>
        <w:t>Métodos y Operaciones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09"/>
        <w:gridCol w:w="2309"/>
        <w:gridCol w:w="2309"/>
        <w:gridCol w:w="2309"/>
      </w:tblGrid>
      <w:tr>
        <w:tc>
          <w:tcPr>
            <w:tcW w:type="dxa" w:w="680"/>
            <w:shd w:val="clear" w:color="auto" w:fill="0D47A1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Vis.</w:t>
            </w:r>
          </w:p>
        </w:tc>
        <w:tc>
          <w:tcPr>
            <w:tcW w:type="dxa" w:w="4252"/>
            <w:shd w:val="clear" w:color="auto" w:fill="0D47A1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Operación / Firma del Método</w:t>
            </w:r>
          </w:p>
        </w:tc>
        <w:tc>
          <w:tcPr>
            <w:tcW w:type="dxa" w:w="1587"/>
            <w:shd w:val="clear" w:color="auto" w:fill="0D47A1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Retorno</w:t>
            </w:r>
          </w:p>
        </w:tc>
        <w:tc>
          <w:tcPr>
            <w:tcW w:type="dxa" w:w="2948"/>
            <w:shd w:val="clear" w:color="auto" w:fill="0D47A1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t>+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t>servicios()</w:t>
            </w:r>
            <w:r>
              <w:rPr>
                <w:b/>
                <w:i w:val="0"/>
                <w:sz w:val="19"/>
              </w:rPr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t>HasMany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948"/>
            <w:shd w:val="clear" w:color="auto" w:fill="FFFFFF"/>
          </w:tcPr>
          <w:p>
            <w:pPr>
              <w:jc w:val="left"/>
            </w:pPr>
            <w:r>
              <w:t>Servicios que utilizan el plan.</w:t>
            </w: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80"/>
            <w:shd w:val="clear" w:color="auto" w:fill="F2F2F2"/>
          </w:tcPr>
          <w:p>
            <w:pPr>
              <w:jc w:val="center"/>
            </w:pPr>
            <w:r>
              <w:t>+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4252"/>
            <w:shd w:val="clear" w:color="auto" w:fill="F2F2F2"/>
          </w:tcPr>
          <w:p>
            <w:pPr>
              <w:jc w:val="left"/>
            </w:pPr>
            <w:r>
              <w:t>cambiarPrecio(nuevoPrecio: String)</w:t>
            </w:r>
            <w:r>
              <w:rPr>
                <w:b/>
                <w:i w:val="0"/>
                <w:sz w:val="19"/>
              </w:rPr>
            </w:r>
          </w:p>
        </w:tc>
        <w:tc>
          <w:tcPr>
            <w:tcW w:type="dxa" w:w="1587"/>
            <w:shd w:val="clear" w:color="auto" w:fill="F2F2F2"/>
          </w:tcPr>
          <w:p>
            <w:pPr>
              <w:jc w:val="left"/>
            </w:pPr>
            <w:r>
              <w:t>void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948"/>
            <w:shd w:val="clear" w:color="auto" w:fill="F2F2F2"/>
          </w:tcPr>
          <w:p>
            <w:pPr>
              <w:jc w:val="left"/>
            </w:pPr>
            <w:r>
              <w:t>Actualiza el precio vigente.</w:t>
            </w: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t>+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t>activar()</w:t>
            </w:r>
            <w:r>
              <w:rPr>
                <w:b/>
                <w:i w:val="0"/>
                <w:sz w:val="19"/>
              </w:rPr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t>void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948"/>
            <w:shd w:val="clear" w:color="auto" w:fill="FFFFFF"/>
          </w:tcPr>
          <w:p>
            <w:pPr>
              <w:jc w:val="left"/>
            </w:pPr>
            <w:r>
              <w:t>Habilita el plan.</w:t>
            </w: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80"/>
            <w:shd w:val="clear" w:color="auto" w:fill="F2F2F2"/>
          </w:tcPr>
          <w:p>
            <w:pPr>
              <w:jc w:val="center"/>
            </w:pPr>
            <w:r>
              <w:t>+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4252"/>
            <w:shd w:val="clear" w:color="auto" w:fill="F2F2F2"/>
          </w:tcPr>
          <w:p>
            <w:pPr>
              <w:jc w:val="left"/>
            </w:pPr>
            <w:r>
              <w:t>desactivar()</w:t>
            </w:r>
            <w:r>
              <w:rPr>
                <w:b/>
                <w:i w:val="0"/>
                <w:sz w:val="19"/>
              </w:rPr>
            </w:r>
          </w:p>
        </w:tc>
        <w:tc>
          <w:tcPr>
            <w:tcW w:type="dxa" w:w="1587"/>
            <w:shd w:val="clear" w:color="auto" w:fill="F2F2F2"/>
          </w:tcPr>
          <w:p>
            <w:pPr>
              <w:jc w:val="left"/>
            </w:pPr>
            <w:r>
              <w:t>void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948"/>
            <w:shd w:val="clear" w:color="auto" w:fill="F2F2F2"/>
          </w:tcPr>
          <w:p>
            <w:pPr>
              <w:jc w:val="left"/>
            </w:pPr>
            <w:r>
              <w:t>Inhabilita el plan.</w:t>
            </w:r>
            <w:r>
              <w:rPr>
                <w:b w:val="0"/>
                <w:i w:val="0"/>
                <w:sz w:val="19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B5E20"/>
        </w:rPr>
        <w:t>5. Clase: Cliente</w:t>
      </w:r>
    </w:p>
    <w:p>
      <w:r>
        <w:rPr>
          <w:b/>
          <w:sz w:val="20"/>
        </w:rPr>
        <w:t xml:space="preserve">Tipo: </w:t>
      </w:r>
      <w:r>
        <w:t xml:space="preserve">Clase Concreta   |   </w:t>
      </w:r>
      <w:r>
        <w:rPr>
          <w:b/>
        </w:rPr>
        <w:t xml:space="preserve">Relaciones / Herencia: </w:t>
      </w:r>
      <w:r>
        <w:t>Composición con Servicio (1..N). Asociación con Conversacion (1..N).</w:t>
      </w:r>
    </w:p>
    <w:p>
      <w:r>
        <w:rPr>
          <w:b/>
          <w:sz w:val="21"/>
        </w:rPr>
        <w:t xml:space="preserve">Responsabilidad: </w:t>
      </w:r>
      <w:r>
        <w:t>Entidad central del módulo de clientes. Almacena la información de identificación, datos de contacto (WhatsApp) y estado comercial de personas físicas o jurídicas contratantes.</w:t>
      </w:r>
    </w:p>
    <w:p/>
    <w:p>
      <w:pPr>
        <w:pStyle w:val="Heading2"/>
      </w:pPr>
      <w:r>
        <w:rPr>
          <w:color w:val="1B5E20"/>
          <w:sz w:val="22"/>
        </w:rPr>
        <w:t>Atributos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09"/>
        <w:gridCol w:w="2309"/>
        <w:gridCol w:w="2309"/>
        <w:gridCol w:w="2309"/>
      </w:tblGrid>
      <w:tr>
        <w:tc>
          <w:tcPr>
            <w:tcW w:type="dxa" w:w="680"/>
            <w:shd w:val="clear" w:color="auto" w:fill="1B5E20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Vis.</w:t>
            </w:r>
          </w:p>
        </w:tc>
        <w:tc>
          <w:tcPr>
            <w:tcW w:type="dxa" w:w="2551"/>
            <w:shd w:val="clear" w:color="auto" w:fill="1B5E20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Atributo</w:t>
            </w:r>
          </w:p>
        </w:tc>
        <w:tc>
          <w:tcPr>
            <w:tcW w:type="dxa" w:w="1701"/>
            <w:shd w:val="clear" w:color="auto" w:fill="1B5E20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Tipo UML</w:t>
            </w:r>
          </w:p>
        </w:tc>
        <w:tc>
          <w:tcPr>
            <w:tcW w:type="dxa" w:w="4535"/>
            <w:shd w:val="clear" w:color="auto" w:fill="1B5E20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Descripción Funcional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-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idCliente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int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Identificador único del cliente.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-</w:t>
            </w:r>
          </w:p>
        </w:tc>
        <w:tc>
          <w:tcPr>
            <w:tcW w:type="dxa" w:w="2551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tipoDocumento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4535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Tipo de identificación ('DNI', 'CUIT', 'Pasaporte').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-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numeroDocumento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Número de identificación del cliente.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-</w:t>
            </w:r>
          </w:p>
        </w:tc>
        <w:tc>
          <w:tcPr>
            <w:tcW w:type="dxa" w:w="2551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nombreRazonSocial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4535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Nombre completo o razón social de la persona/entidad.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-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tipoCliente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Categoría ('particular', 'empresa').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-</w:t>
            </w:r>
          </w:p>
        </w:tc>
        <w:tc>
          <w:tcPr>
            <w:tcW w:type="dxa" w:w="2551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calleContacto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4535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Calle del domicilio fiscal/contacto.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-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numeroContacto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Altura o número de puerta del domicilio de contacto.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-</w:t>
            </w:r>
          </w:p>
        </w:tc>
        <w:tc>
          <w:tcPr>
            <w:tcW w:type="dxa" w:w="2551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localidadContacto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4535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Localidad de residencia/contacto.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-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telefonoWhatsapp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Número de teléfono móvil formateado con código de país para WhatsApp.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-</w:t>
            </w:r>
          </w:p>
        </w:tc>
        <w:tc>
          <w:tcPr>
            <w:tcW w:type="dxa" w:w="2551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estado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4535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Estado del cliente ('activo', 'inactivo').</w:t>
            </w:r>
          </w:p>
        </w:tc>
      </w:tr>
    </w:tbl>
    <w:p/>
    <w:p>
      <w:pPr>
        <w:pStyle w:val="Heading2"/>
      </w:pPr>
      <w:r>
        <w:rPr>
          <w:color w:val="1B5E20"/>
          <w:sz w:val="22"/>
        </w:rPr>
        <w:t>Métodos y Operaciones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09"/>
        <w:gridCol w:w="2309"/>
        <w:gridCol w:w="2309"/>
        <w:gridCol w:w="2309"/>
      </w:tblGrid>
      <w:tr>
        <w:tc>
          <w:tcPr>
            <w:tcW w:type="dxa" w:w="680"/>
            <w:shd w:val="clear" w:color="auto" w:fill="1B5E20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Vis.</w:t>
            </w:r>
          </w:p>
        </w:tc>
        <w:tc>
          <w:tcPr>
            <w:tcW w:type="dxa" w:w="4252"/>
            <w:shd w:val="clear" w:color="auto" w:fill="1B5E20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Operación / Firma del Método</w:t>
            </w:r>
          </w:p>
        </w:tc>
        <w:tc>
          <w:tcPr>
            <w:tcW w:type="dxa" w:w="1587"/>
            <w:shd w:val="clear" w:color="auto" w:fill="1B5E20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Retorno</w:t>
            </w:r>
          </w:p>
        </w:tc>
        <w:tc>
          <w:tcPr>
            <w:tcW w:type="dxa" w:w="2948"/>
            <w:shd w:val="clear" w:color="auto" w:fill="1B5E20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t>+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t>servicios()</w:t>
            </w:r>
            <w:r>
              <w:rPr>
                <w:b/>
                <w:i w:val="0"/>
                <w:sz w:val="19"/>
              </w:rPr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t>HasMany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948"/>
            <w:shd w:val="clear" w:color="auto" w:fill="FFFFFF"/>
          </w:tcPr>
          <w:p>
            <w:pPr>
              <w:jc w:val="left"/>
            </w:pPr>
            <w:r>
              <w:t>Servicios contratados por el cliente.</w:t>
            </w: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80"/>
            <w:shd w:val="clear" w:color="auto" w:fill="F2F2F2"/>
          </w:tcPr>
          <w:p>
            <w:pPr>
              <w:jc w:val="center"/>
            </w:pPr>
            <w:r>
              <w:t>+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4252"/>
            <w:shd w:val="clear" w:color="auto" w:fill="F2F2F2"/>
          </w:tcPr>
          <w:p>
            <w:pPr>
              <w:jc w:val="left"/>
            </w:pPr>
            <w:r>
              <w:t>darDeAlta()</w:t>
            </w:r>
            <w:r>
              <w:rPr>
                <w:b/>
                <w:i w:val="0"/>
                <w:sz w:val="19"/>
              </w:rPr>
            </w:r>
          </w:p>
        </w:tc>
        <w:tc>
          <w:tcPr>
            <w:tcW w:type="dxa" w:w="1587"/>
            <w:shd w:val="clear" w:color="auto" w:fill="F2F2F2"/>
          </w:tcPr>
          <w:p>
            <w:pPr>
              <w:jc w:val="left"/>
            </w:pPr>
            <w:r>
              <w:t>void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948"/>
            <w:shd w:val="clear" w:color="auto" w:fill="F2F2F2"/>
          </w:tcPr>
          <w:p>
            <w:pPr>
              <w:jc w:val="left"/>
            </w:pPr>
            <w:r>
              <w:t>Activa al cliente.</w:t>
            </w: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t>+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t>suspender()</w:t>
            </w:r>
            <w:r>
              <w:rPr>
                <w:b/>
                <w:i w:val="0"/>
                <w:sz w:val="19"/>
              </w:rPr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t>void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948"/>
            <w:shd w:val="clear" w:color="auto" w:fill="FFFFFF"/>
          </w:tcPr>
          <w:p>
            <w:pPr>
              <w:jc w:val="left"/>
            </w:pPr>
            <w:r>
              <w:t>Suspende al cliente.</w:t>
            </w: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80"/>
            <w:shd w:val="clear" w:color="auto" w:fill="F2F2F2"/>
          </w:tcPr>
          <w:p>
            <w:pPr>
              <w:jc w:val="center"/>
            </w:pPr>
            <w:r>
              <w:t>+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4252"/>
            <w:shd w:val="clear" w:color="auto" w:fill="F2F2F2"/>
          </w:tcPr>
          <w:p>
            <w:pPr>
              <w:jc w:val="left"/>
            </w:pPr>
            <w:r>
              <w:t>darDeBaja()</w:t>
            </w:r>
            <w:r>
              <w:rPr>
                <w:b/>
                <w:i w:val="0"/>
                <w:sz w:val="19"/>
              </w:rPr>
            </w:r>
          </w:p>
        </w:tc>
        <w:tc>
          <w:tcPr>
            <w:tcW w:type="dxa" w:w="1587"/>
            <w:shd w:val="clear" w:color="auto" w:fill="F2F2F2"/>
          </w:tcPr>
          <w:p>
            <w:pPr>
              <w:jc w:val="left"/>
            </w:pPr>
            <w:r>
              <w:t>void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948"/>
            <w:shd w:val="clear" w:color="auto" w:fill="F2F2F2"/>
          </w:tcPr>
          <w:p>
            <w:pPr>
              <w:jc w:val="left"/>
            </w:pPr>
            <w:r>
              <w:t>Da de baja al cliente y sus servicios.</w:t>
            </w:r>
            <w:r>
              <w:rPr>
                <w:b w:val="0"/>
                <w:i w:val="0"/>
                <w:sz w:val="19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6A1B9A"/>
        </w:rPr>
        <w:t>6. Clase: Servicio</w:t>
      </w:r>
    </w:p>
    <w:p>
      <w:r>
        <w:rPr>
          <w:b/>
          <w:sz w:val="20"/>
        </w:rPr>
        <w:t xml:space="preserve">Tipo: </w:t>
      </w:r>
      <w:r>
        <w:t xml:space="preserve">Clase Concreta   |   </w:t>
      </w:r>
      <w:r>
        <w:rPr>
          <w:b/>
        </w:rPr>
        <w:t xml:space="preserve">Relaciones / Herencia: </w:t>
      </w:r>
      <w:r>
        <w:t>Compuesto por Cliente (N..1). Agregación con Plan (N..1). Composición con Cuota (1..N).</w:t>
      </w:r>
    </w:p>
    <w:p>
      <w:r>
        <w:rPr>
          <w:b/>
          <w:sz w:val="21"/>
        </w:rPr>
        <w:t xml:space="preserve">Responsabilidad: </w:t>
      </w:r>
      <w:r>
        <w:t>Representa una conexión o instalación física de internet provista a un cliente. Contiene la ubicación geográfica de instalación, parámetros de red (IP, MAC), día de vencimiento y estado.</w:t>
      </w:r>
    </w:p>
    <w:p/>
    <w:p>
      <w:pPr>
        <w:pStyle w:val="Heading2"/>
      </w:pPr>
      <w:r>
        <w:rPr>
          <w:color w:val="6A1B9A"/>
          <w:sz w:val="22"/>
        </w:rPr>
        <w:t>Atributos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09"/>
        <w:gridCol w:w="2309"/>
        <w:gridCol w:w="2309"/>
        <w:gridCol w:w="2309"/>
      </w:tblGrid>
      <w:tr>
        <w:tc>
          <w:tcPr>
            <w:tcW w:type="dxa" w:w="680"/>
            <w:shd w:val="clear" w:color="auto" w:fill="6A1B9A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Vis.</w:t>
            </w:r>
          </w:p>
        </w:tc>
        <w:tc>
          <w:tcPr>
            <w:tcW w:type="dxa" w:w="2551"/>
            <w:shd w:val="clear" w:color="auto" w:fill="6A1B9A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Atributo</w:t>
            </w:r>
          </w:p>
        </w:tc>
        <w:tc>
          <w:tcPr>
            <w:tcW w:type="dxa" w:w="1701"/>
            <w:shd w:val="clear" w:color="auto" w:fill="6A1B9A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Tipo UML</w:t>
            </w:r>
          </w:p>
        </w:tc>
        <w:tc>
          <w:tcPr>
            <w:tcW w:type="dxa" w:w="4535"/>
            <w:shd w:val="clear" w:color="auto" w:fill="6A1B9A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Descripción Funcional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-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idServicio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int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Identificador único del servicio contratado.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-</w:t>
            </w:r>
          </w:p>
        </w:tc>
        <w:tc>
          <w:tcPr>
            <w:tcW w:type="dxa" w:w="2551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idPlan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int</w:t>
            </w:r>
          </w:p>
        </w:tc>
        <w:tc>
          <w:tcPr>
            <w:tcW w:type="dxa" w:w="4535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Identificador del plan contratado.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-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idCliente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int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Identificador del cliente titular.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-</w:t>
            </w:r>
          </w:p>
        </w:tc>
        <w:tc>
          <w:tcPr>
            <w:tcW w:type="dxa" w:w="2551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calleInstalacion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4535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Calle del domicilio físico donde está instalado el servicio.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t>-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t>numeroInstalacion</w:t>
            </w:r>
            <w:r>
              <w:rPr>
                <w:b/>
                <w:i w:val="0"/>
                <w:sz w:val="19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t>String?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>
              <w:t>Número de instalación opcional.</w:t>
            </w: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80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-</w:t>
            </w:r>
          </w:p>
        </w:tc>
        <w:tc>
          <w:tcPr>
            <w:tcW w:type="dxa" w:w="2551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localidadInstalacion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4535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Localidad donde se presta la conexión.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-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diaVencimiento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int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Día del mes (1 a 28) en que vence la cuota mensual.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pPr>
              <w:jc w:val="center"/>
            </w:pPr>
            <w:r>
              <w:t>-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551"/>
            <w:shd w:val="clear" w:color="auto" w:fill="F2F2F2"/>
          </w:tcPr>
          <w:p>
            <w:pPr>
              <w:jc w:val="left"/>
            </w:pPr>
            <w:r>
              <w:t>proximoVencimiento</w:t>
            </w:r>
            <w:r>
              <w:rPr>
                <w:b/>
                <w:i w:val="0"/>
                <w:sz w:val="19"/>
              </w:rPr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>
              <w:t>Date?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4535"/>
            <w:shd w:val="clear" w:color="auto" w:fill="F2F2F2"/>
          </w:tcPr>
          <w:p>
            <w:pPr>
              <w:jc w:val="left"/>
            </w:pPr>
            <w:r>
              <w:t>Próximo vencimiento pendiente, si existe.</w:t>
            </w: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-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fechaAlta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Date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Fecha en la que se habilitó el servicio.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pPr>
              <w:jc w:val="center"/>
            </w:pPr>
            <w:r>
              <w:t>-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551"/>
            <w:shd w:val="clear" w:color="auto" w:fill="F2F2F2"/>
          </w:tcPr>
          <w:p>
            <w:pPr>
              <w:jc w:val="left"/>
            </w:pPr>
            <w:r>
              <w:t>ipv4</w:t>
            </w:r>
            <w:r>
              <w:rPr>
                <w:b/>
                <w:i w:val="0"/>
                <w:sz w:val="19"/>
              </w:rPr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>
              <w:t>String?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4535"/>
            <w:shd w:val="clear" w:color="auto" w:fill="F2F2F2"/>
          </w:tcPr>
          <w:p>
            <w:pPr>
              <w:jc w:val="left"/>
            </w:pPr>
            <w:r>
              <w:t>Dirección IPv4 opcional asignada al equipo.</w:t>
            </w: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-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mac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Dirección física MAC del equipo instalado.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-</w:t>
            </w:r>
          </w:p>
        </w:tc>
        <w:tc>
          <w:tcPr>
            <w:tcW w:type="dxa" w:w="2551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estado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4535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Estado operativo ('activo', 'suspendido', 'baja').</w:t>
            </w:r>
          </w:p>
        </w:tc>
      </w:tr>
    </w:tbl>
    <w:p/>
    <w:p>
      <w:pPr>
        <w:pStyle w:val="Heading2"/>
      </w:pPr>
      <w:r>
        <w:rPr>
          <w:color w:val="6A1B9A"/>
          <w:sz w:val="22"/>
        </w:rPr>
        <w:t>Métodos y Operaciones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09"/>
        <w:gridCol w:w="2309"/>
        <w:gridCol w:w="2309"/>
        <w:gridCol w:w="2309"/>
      </w:tblGrid>
      <w:tr>
        <w:tc>
          <w:tcPr>
            <w:tcW w:type="dxa" w:w="680"/>
            <w:shd w:val="clear" w:color="auto" w:fill="6A1B9A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Vis.</w:t>
            </w:r>
          </w:p>
        </w:tc>
        <w:tc>
          <w:tcPr>
            <w:tcW w:type="dxa" w:w="4252"/>
            <w:shd w:val="clear" w:color="auto" w:fill="6A1B9A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Operación / Firma del Método</w:t>
            </w:r>
          </w:p>
        </w:tc>
        <w:tc>
          <w:tcPr>
            <w:tcW w:type="dxa" w:w="1587"/>
            <w:shd w:val="clear" w:color="auto" w:fill="6A1B9A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Retorno</w:t>
            </w:r>
          </w:p>
        </w:tc>
        <w:tc>
          <w:tcPr>
            <w:tcW w:type="dxa" w:w="2948"/>
            <w:shd w:val="clear" w:color="auto" w:fill="6A1B9A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t>+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t>cliente()</w:t>
            </w:r>
            <w:r>
              <w:rPr>
                <w:b/>
                <w:i w:val="0"/>
                <w:sz w:val="19"/>
              </w:rPr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t>BelongsTo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948"/>
            <w:shd w:val="clear" w:color="auto" w:fill="FFFFFF"/>
          </w:tcPr>
          <w:p>
            <w:pPr>
              <w:jc w:val="left"/>
            </w:pPr>
            <w:r>
              <w:t>Cliente titular.</w:t>
            </w: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80"/>
            <w:shd w:val="clear" w:color="auto" w:fill="F2F2F2"/>
          </w:tcPr>
          <w:p>
            <w:pPr>
              <w:jc w:val="center"/>
            </w:pPr>
            <w:r>
              <w:t>+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4252"/>
            <w:shd w:val="clear" w:color="auto" w:fill="F2F2F2"/>
          </w:tcPr>
          <w:p>
            <w:pPr>
              <w:jc w:val="left"/>
            </w:pPr>
            <w:r>
              <w:t>plan()</w:t>
            </w:r>
            <w:r>
              <w:rPr>
                <w:b/>
                <w:i w:val="0"/>
                <w:sz w:val="19"/>
              </w:rPr>
            </w:r>
          </w:p>
        </w:tc>
        <w:tc>
          <w:tcPr>
            <w:tcW w:type="dxa" w:w="1587"/>
            <w:shd w:val="clear" w:color="auto" w:fill="F2F2F2"/>
          </w:tcPr>
          <w:p>
            <w:pPr>
              <w:jc w:val="left"/>
            </w:pPr>
            <w:r>
              <w:t>BelongsTo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948"/>
            <w:shd w:val="clear" w:color="auto" w:fill="F2F2F2"/>
          </w:tcPr>
          <w:p>
            <w:pPr>
              <w:jc w:val="left"/>
            </w:pPr>
            <w:r>
              <w:t>Plan contratado.</w:t>
            </w: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t>+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t>cuotas()</w:t>
            </w:r>
            <w:r>
              <w:rPr>
                <w:b/>
                <w:i w:val="0"/>
                <w:sz w:val="19"/>
              </w:rPr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t>HasMany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948"/>
            <w:shd w:val="clear" w:color="auto" w:fill="FFFFFF"/>
          </w:tcPr>
          <w:p>
            <w:pPr>
              <w:jc w:val="left"/>
            </w:pPr>
            <w:r>
              <w:t>Cuotas generadas.</w:t>
            </w: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80"/>
            <w:shd w:val="clear" w:color="auto" w:fill="F2F2F2"/>
          </w:tcPr>
          <w:p>
            <w:pPr>
              <w:jc w:val="center"/>
            </w:pPr>
            <w:r>
              <w:t>+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4252"/>
            <w:shd w:val="clear" w:color="auto" w:fill="F2F2F2"/>
          </w:tcPr>
          <w:p>
            <w:pPr>
              <w:jc w:val="left"/>
            </w:pPr>
            <w:r>
              <w:t>suspender()</w:t>
            </w:r>
            <w:r>
              <w:rPr>
                <w:b/>
                <w:i w:val="0"/>
                <w:sz w:val="19"/>
              </w:rPr>
            </w:r>
          </w:p>
        </w:tc>
        <w:tc>
          <w:tcPr>
            <w:tcW w:type="dxa" w:w="1587"/>
            <w:shd w:val="clear" w:color="auto" w:fill="F2F2F2"/>
          </w:tcPr>
          <w:p>
            <w:pPr>
              <w:jc w:val="left"/>
            </w:pPr>
            <w:r>
              <w:t>void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948"/>
            <w:shd w:val="clear" w:color="auto" w:fill="F2F2F2"/>
          </w:tcPr>
          <w:p>
            <w:pPr>
              <w:jc w:val="left"/>
            </w:pPr>
            <w:r>
              <w:t>Suspende el servicio.</w:t>
            </w: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t>+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t>reactivar()</w:t>
            </w:r>
            <w:r>
              <w:rPr>
                <w:b/>
                <w:i w:val="0"/>
                <w:sz w:val="19"/>
              </w:rPr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t>void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948"/>
            <w:shd w:val="clear" w:color="auto" w:fill="FFFFFF"/>
          </w:tcPr>
          <w:p>
            <w:pPr>
              <w:jc w:val="left"/>
            </w:pPr>
            <w:r>
              <w:t>Reactiva el servicio.</w:t>
            </w:r>
            <w:r>
              <w:rPr>
                <w:b w:val="0"/>
                <w:i w:val="0"/>
                <w:sz w:val="19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BF360C"/>
        </w:rPr>
        <w:t>7. Clase: Cuota</w:t>
      </w:r>
    </w:p>
    <w:p>
      <w:r>
        <w:rPr>
          <w:b/>
          <w:sz w:val="20"/>
        </w:rPr>
        <w:t xml:space="preserve">Tipo: </w:t>
      </w:r>
      <w:r>
        <w:t xml:space="preserve">Clase Concreta   |   </w:t>
      </w:r>
      <w:r>
        <w:rPr>
          <w:b/>
        </w:rPr>
        <w:t xml:space="preserve">Relaciones / Herencia: </w:t>
      </w:r>
      <w:r>
        <w:t>Composición desde Servicio (N..1). Asociación con Pago (N..1).</w:t>
      </w:r>
    </w:p>
    <w:p>
      <w:r>
        <w:rPr>
          <w:b/>
          <w:sz w:val="21"/>
        </w:rPr>
        <w:t xml:space="preserve">Responsabilidad: </w:t>
      </w:r>
      <w:r>
        <w:t>Representa el compromiso mensual de pago generado para un servicio. Mantiene el período facturado, importe, fechas de emisión/vencimiento y vínculo al pago correspondiente.</w:t>
      </w:r>
    </w:p>
    <w:p/>
    <w:p>
      <w:pPr>
        <w:pStyle w:val="Heading2"/>
      </w:pPr>
      <w:r>
        <w:rPr>
          <w:color w:val="BF360C"/>
          <w:sz w:val="22"/>
        </w:rPr>
        <w:t>Atributos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09"/>
        <w:gridCol w:w="2309"/>
        <w:gridCol w:w="2309"/>
        <w:gridCol w:w="2309"/>
      </w:tblGrid>
      <w:tr>
        <w:tc>
          <w:tcPr>
            <w:tcW w:type="dxa" w:w="680"/>
            <w:shd w:val="clear" w:color="auto" w:fill="BF360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Vis.</w:t>
            </w:r>
          </w:p>
        </w:tc>
        <w:tc>
          <w:tcPr>
            <w:tcW w:type="dxa" w:w="2551"/>
            <w:shd w:val="clear" w:color="auto" w:fill="BF360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Atributo</w:t>
            </w:r>
          </w:p>
        </w:tc>
        <w:tc>
          <w:tcPr>
            <w:tcW w:type="dxa" w:w="1701"/>
            <w:shd w:val="clear" w:color="auto" w:fill="BF360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Tipo UML</w:t>
            </w:r>
          </w:p>
        </w:tc>
        <w:tc>
          <w:tcPr>
            <w:tcW w:type="dxa" w:w="4535"/>
            <w:shd w:val="clear" w:color="auto" w:fill="BF360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Descripción Funcional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-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idCuota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int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Identificador único de la cuota.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-</w:t>
            </w:r>
          </w:p>
        </w:tc>
        <w:tc>
          <w:tcPr>
            <w:tcW w:type="dxa" w:w="2551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idServicio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int</w:t>
            </w:r>
          </w:p>
        </w:tc>
        <w:tc>
          <w:tcPr>
            <w:tcW w:type="dxa" w:w="4535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Identificador del servicio al que pertenece.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t>-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t>idPago</w:t>
            </w:r>
            <w:r>
              <w:rPr>
                <w:b/>
                <w:i w:val="0"/>
                <w:sz w:val="19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t>int?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>
              <w:t>Pago asociado cuando la cuota fue cancelada.</w:t>
            </w: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80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-</w:t>
            </w:r>
          </w:p>
        </w:tc>
        <w:tc>
          <w:tcPr>
            <w:tcW w:type="dxa" w:w="2551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periodo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4535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Período mensual facturado en formato "YYYY-MM" (ej. "2025-09").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-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monto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BigDecimal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Importe liquidado de la cuota.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-</w:t>
            </w:r>
          </w:p>
        </w:tc>
        <w:tc>
          <w:tcPr>
            <w:tcW w:type="dxa" w:w="2551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fechaEmision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Date</w:t>
            </w:r>
          </w:p>
        </w:tc>
        <w:tc>
          <w:tcPr>
            <w:tcW w:type="dxa" w:w="4535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Fecha de generación de la cuota.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-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fechaVencimiento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Date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Fecha límite de pago en término.</w:t>
            </w:r>
          </w:p>
        </w:tc>
      </w:tr>
      <w:tr>
        <w:tc>
          <w:tcPr>
            <w:tcW w:type="dxa" w:w="2309"/>
          </w:tcPr>
          <w:p>
            <w:r>
              <w:t>-</w:t>
            </w:r>
          </w:p>
        </w:tc>
        <w:tc>
          <w:tcPr>
            <w:tcW w:type="dxa" w:w="2309"/>
          </w:tcPr>
          <w:p>
            <w:r>
              <w:t>estado</w:t>
            </w:r>
          </w:p>
        </w:tc>
        <w:tc>
          <w:tcPr>
            <w:tcW w:type="dxa" w:w="2309"/>
          </w:tcPr>
          <w:p>
            <w:r>
              <w:t>String</w:t>
            </w:r>
          </w:p>
        </w:tc>
        <w:tc>
          <w:tcPr>
            <w:tcW w:type="dxa" w:w="2309"/>
          </w:tcPr>
          <w:p>
            <w:r>
              <w:t>Estado persistido: pendiente, pagada o vencida.</w:t>
            </w:r>
          </w:p>
        </w:tc>
      </w:tr>
    </w:tbl>
    <w:p/>
    <w:p>
      <w:pPr>
        <w:pStyle w:val="Heading2"/>
      </w:pPr>
      <w:r>
        <w:rPr>
          <w:color w:val="BF360C"/>
          <w:sz w:val="22"/>
        </w:rPr>
        <w:t>Métodos y Operaciones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09"/>
        <w:gridCol w:w="2309"/>
        <w:gridCol w:w="2309"/>
        <w:gridCol w:w="2309"/>
      </w:tblGrid>
      <w:tr>
        <w:tc>
          <w:tcPr>
            <w:tcW w:type="dxa" w:w="680"/>
            <w:shd w:val="clear" w:color="auto" w:fill="BF360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Vis.</w:t>
            </w:r>
          </w:p>
        </w:tc>
        <w:tc>
          <w:tcPr>
            <w:tcW w:type="dxa" w:w="4252"/>
            <w:shd w:val="clear" w:color="auto" w:fill="BF360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Operación / Firma del Método</w:t>
            </w:r>
          </w:p>
        </w:tc>
        <w:tc>
          <w:tcPr>
            <w:tcW w:type="dxa" w:w="1587"/>
            <w:shd w:val="clear" w:color="auto" w:fill="BF360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Retorno</w:t>
            </w:r>
          </w:p>
        </w:tc>
        <w:tc>
          <w:tcPr>
            <w:tcW w:type="dxa" w:w="2948"/>
            <w:shd w:val="clear" w:color="auto" w:fill="BF360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t>+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t>servicio()</w:t>
            </w:r>
            <w:r>
              <w:rPr>
                <w:b/>
                <w:i w:val="0"/>
                <w:sz w:val="19"/>
              </w:rPr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t>BelongsTo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948"/>
            <w:shd w:val="clear" w:color="auto" w:fill="FFFFFF"/>
          </w:tcPr>
          <w:p>
            <w:pPr>
              <w:jc w:val="left"/>
            </w:pPr>
            <w:r>
              <w:t>Servicio facturado.</w:t>
            </w: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80"/>
            <w:shd w:val="clear" w:color="auto" w:fill="F2F2F2"/>
          </w:tcPr>
          <w:p>
            <w:pPr>
              <w:jc w:val="center"/>
            </w:pPr>
            <w:r>
              <w:t>+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4252"/>
            <w:shd w:val="clear" w:color="auto" w:fill="F2F2F2"/>
          </w:tcPr>
          <w:p>
            <w:pPr>
              <w:jc w:val="left"/>
            </w:pPr>
            <w:r>
              <w:t>pago()</w:t>
            </w:r>
            <w:r>
              <w:rPr>
                <w:b/>
                <w:i w:val="0"/>
                <w:sz w:val="19"/>
              </w:rPr>
            </w:r>
          </w:p>
        </w:tc>
        <w:tc>
          <w:tcPr>
            <w:tcW w:type="dxa" w:w="1587"/>
            <w:shd w:val="clear" w:color="auto" w:fill="F2F2F2"/>
          </w:tcPr>
          <w:p>
            <w:pPr>
              <w:jc w:val="left"/>
            </w:pPr>
            <w:r>
              <w:t>BelongsTo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948"/>
            <w:shd w:val="clear" w:color="auto" w:fill="F2F2F2"/>
          </w:tcPr>
          <w:p>
            <w:pPr>
              <w:jc w:val="left"/>
            </w:pPr>
            <w:r>
              <w:t>Pago asociado, si existe.</w:t>
            </w: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t>+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t>marcarComoPagada(pago: Pago)</w:t>
            </w:r>
            <w:r>
              <w:rPr>
                <w:b/>
                <w:i w:val="0"/>
                <w:sz w:val="19"/>
              </w:rPr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t>void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948"/>
            <w:shd w:val="clear" w:color="auto" w:fill="FFFFFF"/>
          </w:tcPr>
          <w:p>
            <w:pPr>
              <w:jc w:val="left"/>
            </w:pPr>
            <w:r>
              <w:t>Asocia el pago y cambia el estado.</w:t>
            </w: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80"/>
            <w:shd w:val="clear" w:color="auto" w:fill="F2F2F2"/>
          </w:tcPr>
          <w:p>
            <w:pPr>
              <w:jc w:val="center"/>
            </w:pPr>
            <w:r>
              <w:t>+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4252"/>
            <w:shd w:val="clear" w:color="auto" w:fill="F2F2F2"/>
          </w:tcPr>
          <w:p>
            <w:pPr>
              <w:jc w:val="left"/>
            </w:pPr>
            <w:r>
              <w:t>marcarComoVencida()</w:t>
            </w:r>
            <w:r>
              <w:rPr>
                <w:b/>
                <w:i w:val="0"/>
                <w:sz w:val="19"/>
              </w:rPr>
            </w:r>
          </w:p>
        </w:tc>
        <w:tc>
          <w:tcPr>
            <w:tcW w:type="dxa" w:w="1587"/>
            <w:shd w:val="clear" w:color="auto" w:fill="F2F2F2"/>
          </w:tcPr>
          <w:p>
            <w:pPr>
              <w:jc w:val="left"/>
            </w:pPr>
            <w:r>
              <w:t>void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948"/>
            <w:shd w:val="clear" w:color="auto" w:fill="F2F2F2"/>
          </w:tcPr>
          <w:p>
            <w:pPr>
              <w:jc w:val="left"/>
            </w:pPr>
            <w:r>
              <w:t>Cambia una cuota pendiente a vencida.</w:t>
            </w:r>
            <w:r>
              <w:rPr>
                <w:b w:val="0"/>
                <w:i w:val="0"/>
                <w:sz w:val="19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4D40"/>
        </w:rPr>
        <w:t>8. Clase: Conversacion</w:t>
      </w:r>
    </w:p>
    <w:p>
      <w:r>
        <w:rPr>
          <w:b/>
          <w:sz w:val="20"/>
        </w:rPr>
        <w:t xml:space="preserve">Tipo: </w:t>
      </w:r>
      <w:r>
        <w:t xml:space="preserve">Clase Concreta   |   </w:t>
      </w:r>
      <w:r>
        <w:rPr>
          <w:b/>
        </w:rPr>
        <w:t xml:space="preserve">Relaciones / Herencia: </w:t>
      </w:r>
      <w:r>
        <w:t>Asociación con Cliente (N..1). Composición con Mensaje (1..N). Asociación con Empleado (N..1).</w:t>
      </w:r>
    </w:p>
    <w:p>
      <w:r>
        <w:rPr>
          <w:b/>
          <w:sz w:val="21"/>
        </w:rPr>
        <w:t xml:space="preserve">Responsabilidad: </w:t>
      </w:r>
      <w:r>
        <w:t>Agrupa una sesión completa de diálogo por WhatsApp entre un cliente y el sistema. Registra si la atención fue resuelta por el bot o derivada a un operador humano, con sus tiempos de respuesta.</w:t>
      </w:r>
    </w:p>
    <w:p/>
    <w:p>
      <w:pPr>
        <w:pStyle w:val="Heading2"/>
      </w:pPr>
      <w:r>
        <w:rPr>
          <w:color w:val="004D40"/>
          <w:sz w:val="22"/>
        </w:rPr>
        <w:t>Atributos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09"/>
        <w:gridCol w:w="2309"/>
        <w:gridCol w:w="2309"/>
        <w:gridCol w:w="2309"/>
      </w:tblGrid>
      <w:tr>
        <w:tc>
          <w:tcPr>
            <w:tcW w:type="dxa" w:w="680"/>
            <w:shd w:val="clear" w:color="auto" w:fill="004D40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Vis.</w:t>
            </w:r>
          </w:p>
        </w:tc>
        <w:tc>
          <w:tcPr>
            <w:tcW w:type="dxa" w:w="2551"/>
            <w:shd w:val="clear" w:color="auto" w:fill="004D40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Atributo</w:t>
            </w:r>
          </w:p>
        </w:tc>
        <w:tc>
          <w:tcPr>
            <w:tcW w:type="dxa" w:w="1701"/>
            <w:shd w:val="clear" w:color="auto" w:fill="004D40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Tipo UML</w:t>
            </w:r>
          </w:p>
        </w:tc>
        <w:tc>
          <w:tcPr>
            <w:tcW w:type="dxa" w:w="4535"/>
            <w:shd w:val="clear" w:color="auto" w:fill="004D40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Descripción Funcional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-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idConversacion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int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Identificador único de la conversación.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-</w:t>
            </w:r>
          </w:p>
        </w:tc>
        <w:tc>
          <w:tcPr>
            <w:tcW w:type="dxa" w:w="2551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idCliente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int</w:t>
            </w:r>
          </w:p>
        </w:tc>
        <w:tc>
          <w:tcPr>
            <w:tcW w:type="dxa" w:w="4535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Identificador del cliente participante.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t>-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t>idEmpleado</w:t>
            </w:r>
            <w:r>
              <w:rPr>
                <w:b/>
                <w:i w:val="0"/>
                <w:sz w:val="19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t>int?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>
              <w:t>Empleado asignado cuando interviene una persona.</w:t>
            </w: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80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-</w:t>
            </w:r>
          </w:p>
        </w:tc>
        <w:tc>
          <w:tcPr>
            <w:tcW w:type="dxa" w:w="2551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fechaHoraInicio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DateTime</w:t>
            </w:r>
          </w:p>
        </w:tc>
        <w:tc>
          <w:tcPr>
            <w:tcW w:type="dxa" w:w="4535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Fecha y hora de inicio del chat.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-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fechaHoraCierre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DateTime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Fecha y hora de finalización del chat.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-</w:t>
            </w:r>
          </w:p>
        </w:tc>
        <w:tc>
          <w:tcPr>
            <w:tcW w:type="dxa" w:w="2551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estado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4535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Estado de la sesión ('abierta', 'cerrada', 'escalada').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-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modoAtencion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Canal de resolución ('bot', 'empleado').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-</w:t>
            </w:r>
          </w:p>
        </w:tc>
        <w:tc>
          <w:tcPr>
            <w:tcW w:type="dxa" w:w="2551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inicioAtencion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DateTime</w:t>
            </w:r>
          </w:p>
        </w:tc>
        <w:tc>
          <w:tcPr>
            <w:tcW w:type="dxa" w:w="4535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Momento en que el operador humano tomó el chat.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-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finAtencion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DateTime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Momento en que el operador finalizó la asistencia.</w:t>
            </w:r>
          </w:p>
        </w:tc>
      </w:tr>
    </w:tbl>
    <w:p/>
    <w:p>
      <w:pPr>
        <w:pStyle w:val="Heading2"/>
      </w:pPr>
      <w:r>
        <w:rPr>
          <w:color w:val="004D40"/>
          <w:sz w:val="22"/>
        </w:rPr>
        <w:t>Métodos y Operaciones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09"/>
        <w:gridCol w:w="2309"/>
        <w:gridCol w:w="2309"/>
        <w:gridCol w:w="2309"/>
      </w:tblGrid>
      <w:tr>
        <w:tc>
          <w:tcPr>
            <w:tcW w:type="dxa" w:w="680"/>
            <w:shd w:val="clear" w:color="auto" w:fill="004D40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Vis.</w:t>
            </w:r>
          </w:p>
        </w:tc>
        <w:tc>
          <w:tcPr>
            <w:tcW w:type="dxa" w:w="4252"/>
            <w:shd w:val="clear" w:color="auto" w:fill="004D40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Operación / Firma del Método</w:t>
            </w:r>
          </w:p>
        </w:tc>
        <w:tc>
          <w:tcPr>
            <w:tcW w:type="dxa" w:w="1587"/>
            <w:shd w:val="clear" w:color="auto" w:fill="004D40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Retorno</w:t>
            </w:r>
          </w:p>
        </w:tc>
        <w:tc>
          <w:tcPr>
            <w:tcW w:type="dxa" w:w="2948"/>
            <w:shd w:val="clear" w:color="auto" w:fill="004D40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+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Conversacion(idCliente: int)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Constructor</w:t>
            </w:r>
          </w:p>
        </w:tc>
        <w:tc>
          <w:tcPr>
            <w:tcW w:type="dxa" w:w="294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Inicia una nueva sesión de conversación vinculada a un cliente.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+</w:t>
            </w:r>
          </w:p>
        </w:tc>
        <w:tc>
          <w:tcPr>
            <w:tcW w:type="dxa" w:w="4252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getters y setters</w:t>
            </w:r>
          </w:p>
        </w:tc>
        <w:tc>
          <w:tcPr>
            <w:tcW w:type="dxa" w:w="1587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void / tipos</w:t>
            </w:r>
          </w:p>
        </w:tc>
        <w:tc>
          <w:tcPr>
            <w:tcW w:type="dxa" w:w="2948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Métodos para leer y escribir los atributos de la sesión.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+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iniciar()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void</w:t>
            </w:r>
          </w:p>
        </w:tc>
        <w:tc>
          <w:tcPr>
            <w:tcW w:type="dxa" w:w="294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Registra el inicio de la conversación y activa el modo bot.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+</w:t>
            </w:r>
          </w:p>
        </w:tc>
        <w:tc>
          <w:tcPr>
            <w:tcW w:type="dxa" w:w="4252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cerrar()</w:t>
            </w:r>
          </w:p>
        </w:tc>
        <w:tc>
          <w:tcPr>
            <w:tcW w:type="dxa" w:w="1587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void</w:t>
            </w:r>
          </w:p>
        </w:tc>
        <w:tc>
          <w:tcPr>
            <w:tcW w:type="dxa" w:w="2948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Finaliza la sesión, registra fechaHoraCierre y actualiza estado a 'cerrada'.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+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escalarAHumano(empleado: Empleado)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void</w:t>
            </w:r>
          </w:p>
        </w:tc>
        <w:tc>
          <w:tcPr>
            <w:tcW w:type="dxa" w:w="294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Transfiere la atención del bot al operador humano especificado.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+</w:t>
            </w:r>
          </w:p>
        </w:tc>
        <w:tc>
          <w:tcPr>
            <w:tcW w:type="dxa" w:w="4252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agregarMensaje(mensaje: Mensaje)</w:t>
            </w:r>
          </w:p>
        </w:tc>
        <w:tc>
          <w:tcPr>
            <w:tcW w:type="dxa" w:w="1587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void</w:t>
            </w:r>
          </w:p>
        </w:tc>
        <w:tc>
          <w:tcPr>
            <w:tcW w:type="dxa" w:w="2948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Incorpora un nuevo mensaje a la cronología del diálogo.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+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obtenerHistorial()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List&lt;Mensaje&gt;</w:t>
            </w:r>
          </w:p>
        </w:tc>
        <w:tc>
          <w:tcPr>
            <w:tcW w:type="dxa" w:w="294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Devuelve todos los mensajes ordenados cronológicamente.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+</w:t>
            </w:r>
          </w:p>
        </w:tc>
        <w:tc>
          <w:tcPr>
            <w:tcW w:type="dxa" w:w="4252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toString()</w:t>
            </w:r>
          </w:p>
        </w:tc>
        <w:tc>
          <w:tcPr>
            <w:tcW w:type="dxa" w:w="1587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2948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Resumen del estado del chat y modo de atención.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6064"/>
        </w:rPr>
        <w:t>9. Clase: Mensaje</w:t>
      </w:r>
    </w:p>
    <w:p>
      <w:r>
        <w:rPr>
          <w:b/>
          <w:sz w:val="20"/>
        </w:rPr>
        <w:t xml:space="preserve">Tipo: </w:t>
      </w:r>
      <w:r>
        <w:t xml:space="preserve">Clase Concreta   |   </w:t>
      </w:r>
      <w:r>
        <w:rPr>
          <w:b/>
        </w:rPr>
        <w:t xml:space="preserve">Relaciones / Herencia: </w:t>
      </w:r>
      <w:r>
        <w:t>Composición desde Conversacion (N..1). Asociación con Comprobante (1..1 opcional).</w:t>
      </w:r>
    </w:p>
    <w:p>
      <w:r>
        <w:rPr>
          <w:b/>
          <w:sz w:val="21"/>
        </w:rPr>
        <w:t xml:space="preserve">Responsabilidad: </w:t>
      </w:r>
      <w:r>
        <w:t>Representa cada unidad de mensaje individual transmitida a través de WhatsApp. Almacena contenido de texto, adjuntos multimedia, emisor y estado de entrega del protocolo.</w:t>
      </w:r>
    </w:p>
    <w:p/>
    <w:p>
      <w:pPr>
        <w:pStyle w:val="Heading2"/>
      </w:pPr>
      <w:r>
        <w:rPr>
          <w:color w:val="006064"/>
          <w:sz w:val="22"/>
        </w:rPr>
        <w:t>Atributos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09"/>
        <w:gridCol w:w="2309"/>
        <w:gridCol w:w="2309"/>
        <w:gridCol w:w="2309"/>
      </w:tblGrid>
      <w:tr>
        <w:tc>
          <w:tcPr>
            <w:tcW w:type="dxa" w:w="680"/>
            <w:shd w:val="clear" w:color="auto" w:fill="006064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Vis.</w:t>
            </w:r>
          </w:p>
        </w:tc>
        <w:tc>
          <w:tcPr>
            <w:tcW w:type="dxa" w:w="2551"/>
            <w:shd w:val="clear" w:color="auto" w:fill="006064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Atributo</w:t>
            </w:r>
          </w:p>
        </w:tc>
        <w:tc>
          <w:tcPr>
            <w:tcW w:type="dxa" w:w="1701"/>
            <w:shd w:val="clear" w:color="auto" w:fill="006064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Tipo UML</w:t>
            </w:r>
          </w:p>
        </w:tc>
        <w:tc>
          <w:tcPr>
            <w:tcW w:type="dxa" w:w="4535"/>
            <w:shd w:val="clear" w:color="auto" w:fill="006064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Descripción Funcional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-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idMensaje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int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Identificador único del mensaje.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-</w:t>
            </w:r>
          </w:p>
        </w:tc>
        <w:tc>
          <w:tcPr>
            <w:tcW w:type="dxa" w:w="2551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idConversacion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int</w:t>
            </w:r>
          </w:p>
        </w:tc>
        <w:tc>
          <w:tcPr>
            <w:tcW w:type="dxa" w:w="4535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Identificador de la conversación contenedora.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-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idUsuario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int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Identificador del usuario/empleado emisor (si aplica).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-</w:t>
            </w:r>
          </w:p>
        </w:tc>
        <w:tc>
          <w:tcPr>
            <w:tcW w:type="dxa" w:w="2551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fechaHora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DateTime</w:t>
            </w:r>
          </w:p>
        </w:tc>
        <w:tc>
          <w:tcPr>
            <w:tcW w:type="dxa" w:w="4535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Momento exacto de emisión/recepción.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-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tipo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Tipo de contenido ('texto', 'imagen', 'audio', 'documento').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-</w:t>
            </w:r>
          </w:p>
        </w:tc>
        <w:tc>
          <w:tcPr>
            <w:tcW w:type="dxa" w:w="2551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contenido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4535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Texto del mensaje o transcripción.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-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archivoAdjunto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Ruta en el servidor del archivo adjunto recibido o enviado.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-</w:t>
            </w:r>
          </w:p>
        </w:tc>
        <w:tc>
          <w:tcPr>
            <w:tcW w:type="dxa" w:w="2551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tipoEmisor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4535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Origen del mensaje ('cliente', 'bot', 'empleado').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-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estadoEnvio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Estado de la entrega ('enviado', 'entregado', 'leido').</w:t>
            </w:r>
          </w:p>
        </w:tc>
      </w:tr>
    </w:tbl>
    <w:p/>
    <w:p>
      <w:pPr>
        <w:pStyle w:val="Heading2"/>
      </w:pPr>
      <w:r>
        <w:rPr>
          <w:color w:val="006064"/>
          <w:sz w:val="22"/>
        </w:rPr>
        <w:t>Métodos y Operaciones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09"/>
        <w:gridCol w:w="2309"/>
        <w:gridCol w:w="2309"/>
        <w:gridCol w:w="2309"/>
      </w:tblGrid>
      <w:tr>
        <w:tc>
          <w:tcPr>
            <w:tcW w:type="dxa" w:w="680"/>
            <w:shd w:val="clear" w:color="auto" w:fill="006064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Vis.</w:t>
            </w:r>
          </w:p>
        </w:tc>
        <w:tc>
          <w:tcPr>
            <w:tcW w:type="dxa" w:w="4252"/>
            <w:shd w:val="clear" w:color="auto" w:fill="006064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Operación / Firma del Método</w:t>
            </w:r>
          </w:p>
        </w:tc>
        <w:tc>
          <w:tcPr>
            <w:tcW w:type="dxa" w:w="1587"/>
            <w:shd w:val="clear" w:color="auto" w:fill="006064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Retorno</w:t>
            </w:r>
          </w:p>
        </w:tc>
        <w:tc>
          <w:tcPr>
            <w:tcW w:type="dxa" w:w="2948"/>
            <w:shd w:val="clear" w:color="auto" w:fill="006064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+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Mensaje(idConversacion: int, contenido: String, tipoEmisor: String)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Constructor</w:t>
            </w:r>
          </w:p>
        </w:tc>
        <w:tc>
          <w:tcPr>
            <w:tcW w:type="dxa" w:w="294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Crea un mensaje con su conversación, texto y tipo de emisor.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+</w:t>
            </w:r>
          </w:p>
        </w:tc>
        <w:tc>
          <w:tcPr>
            <w:tcW w:type="dxa" w:w="4252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getters y setters</w:t>
            </w:r>
          </w:p>
        </w:tc>
        <w:tc>
          <w:tcPr>
            <w:tcW w:type="dxa" w:w="1587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void / tipos</w:t>
            </w:r>
          </w:p>
        </w:tc>
        <w:tc>
          <w:tcPr>
            <w:tcW w:type="dxa" w:w="2948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Métodos para acceder y modificar las propiedades del mensaje.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+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enviar()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void</w:t>
            </w:r>
          </w:p>
        </w:tc>
        <w:tc>
          <w:tcPr>
            <w:tcW w:type="dxa" w:w="294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Despacha el mensaje a través del servicio de WhatsApp.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+</w:t>
            </w:r>
          </w:p>
        </w:tc>
        <w:tc>
          <w:tcPr>
            <w:tcW w:type="dxa" w:w="4252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marcarComoLeido()</w:t>
            </w:r>
          </w:p>
        </w:tc>
        <w:tc>
          <w:tcPr>
            <w:tcW w:type="dxa" w:w="1587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void</w:t>
            </w:r>
          </w:p>
        </w:tc>
        <w:tc>
          <w:tcPr>
            <w:tcW w:type="dxa" w:w="2948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Actualiza el estado de lectura del mensaje.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+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toString()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294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Representación con emisor, fecha y contenido resumido.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237E"/>
        </w:rPr>
        <w:t>10. Clase: Comprobante</w:t>
      </w:r>
    </w:p>
    <w:p>
      <w:r>
        <w:rPr>
          <w:b/>
          <w:sz w:val="20"/>
        </w:rPr>
        <w:t xml:space="preserve">Tipo: </w:t>
      </w:r>
      <w:r>
        <w:t xml:space="preserve">Clase Concreta   |   </w:t>
      </w:r>
      <w:r>
        <w:rPr>
          <w:b/>
        </w:rPr>
        <w:t xml:space="preserve">Relaciones / Herencia: </w:t>
      </w:r>
      <w:r>
        <w:t>Asociación con Mensaje (1..1), Usuario (N..1) y Pago (1..1). Utiliza OCRService.</w:t>
      </w:r>
    </w:p>
    <w:p>
      <w:r>
        <w:rPr>
          <w:b/>
          <w:sz w:val="21"/>
        </w:rPr>
        <w:t xml:space="preserve">Responsabilidad: </w:t>
      </w:r>
      <w:r>
        <w:t>Gestiona los archivos de comprobantes de pago enviados por los clientes. Almacena los datos extraídos automáticamente por OCR, el hash SHA-256 anti-duplicados y el dictamen de validación.</w:t>
      </w:r>
    </w:p>
    <w:p/>
    <w:p>
      <w:pPr>
        <w:pStyle w:val="Heading2"/>
      </w:pPr>
      <w:r>
        <w:rPr>
          <w:color w:val="1A237E"/>
          <w:sz w:val="22"/>
        </w:rPr>
        <w:t>Atributos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09"/>
        <w:gridCol w:w="2309"/>
        <w:gridCol w:w="2309"/>
        <w:gridCol w:w="2309"/>
      </w:tblGrid>
      <w:tr>
        <w:tc>
          <w:tcPr>
            <w:tcW w:type="dxa" w:w="680"/>
            <w:shd w:val="clear" w:color="auto" w:fill="1A237E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Vis.</w:t>
            </w:r>
          </w:p>
        </w:tc>
        <w:tc>
          <w:tcPr>
            <w:tcW w:type="dxa" w:w="2551"/>
            <w:shd w:val="clear" w:color="auto" w:fill="1A237E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Atributo</w:t>
            </w:r>
          </w:p>
        </w:tc>
        <w:tc>
          <w:tcPr>
            <w:tcW w:type="dxa" w:w="1701"/>
            <w:shd w:val="clear" w:color="auto" w:fill="1A237E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Tipo UML</w:t>
            </w:r>
          </w:p>
        </w:tc>
        <w:tc>
          <w:tcPr>
            <w:tcW w:type="dxa" w:w="4535"/>
            <w:shd w:val="clear" w:color="auto" w:fill="1A237E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Descripción Funcional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-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idComprobante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int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Identificador único del comprobante.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-</w:t>
            </w:r>
          </w:p>
        </w:tc>
        <w:tc>
          <w:tcPr>
            <w:tcW w:type="dxa" w:w="2551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idMensaje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int</w:t>
            </w:r>
          </w:p>
        </w:tc>
        <w:tc>
          <w:tcPr>
            <w:tcW w:type="dxa" w:w="4535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Identificador del mensaje de origen.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-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idUsuario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int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Identificador del empleado que realizó la validación.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-</w:t>
            </w:r>
          </w:p>
        </w:tc>
        <w:tc>
          <w:tcPr>
            <w:tcW w:type="dxa" w:w="2551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hashArchivo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4535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Firma criptográfica SHA-256 para prevenir fraudes por comprobantes repetidos.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-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fechaRecepcion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DateTime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Fecha y hora de recepción del archivo.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-</w:t>
            </w:r>
          </w:p>
        </w:tc>
        <w:tc>
          <w:tcPr>
            <w:tcW w:type="dxa" w:w="2551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numeroOperacion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4535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Número de transacción bancaria extraído por OCR o ingresado.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-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montoOcr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BigDecimal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Importe dinerario detectado automáticamente por OCR.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-</w:t>
            </w:r>
          </w:p>
        </w:tc>
        <w:tc>
          <w:tcPr>
            <w:tcW w:type="dxa" w:w="2551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fechaOcr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Date</w:t>
            </w:r>
          </w:p>
        </w:tc>
        <w:tc>
          <w:tcPr>
            <w:tcW w:type="dxa" w:w="4535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Fecha de la transferencia detectada por OCR.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-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confianzaOcr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double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Porcentaje de certeza o score del algoritmo de reconocimiento (0 a 100%).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-</w:t>
            </w:r>
          </w:p>
        </w:tc>
        <w:tc>
          <w:tcPr>
            <w:tcW w:type="dxa" w:w="2551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estadoValidacion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4535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Resultado de la revisión ('pendiente', 'validado', 'rechazado').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-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motivoRechazo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Causa informada al cliente en caso de rechazo del comprobante.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-</w:t>
            </w:r>
          </w:p>
        </w:tc>
        <w:tc>
          <w:tcPr>
            <w:tcW w:type="dxa" w:w="2551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fechaHoraValidacion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DateTime</w:t>
            </w:r>
          </w:p>
        </w:tc>
        <w:tc>
          <w:tcPr>
            <w:tcW w:type="dxa" w:w="4535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Fecha y hora en que se dictaminó la aprobación o rechazo.</w:t>
            </w:r>
          </w:p>
        </w:tc>
      </w:tr>
    </w:tbl>
    <w:p/>
    <w:p>
      <w:pPr>
        <w:pStyle w:val="Heading2"/>
      </w:pPr>
      <w:r>
        <w:rPr>
          <w:color w:val="1A237E"/>
          <w:sz w:val="22"/>
        </w:rPr>
        <w:t>Métodos y Operaciones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09"/>
        <w:gridCol w:w="2309"/>
        <w:gridCol w:w="2309"/>
        <w:gridCol w:w="2309"/>
      </w:tblGrid>
      <w:tr>
        <w:tc>
          <w:tcPr>
            <w:tcW w:type="dxa" w:w="680"/>
            <w:shd w:val="clear" w:color="auto" w:fill="1A237E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Vis.</w:t>
            </w:r>
          </w:p>
        </w:tc>
        <w:tc>
          <w:tcPr>
            <w:tcW w:type="dxa" w:w="4252"/>
            <w:shd w:val="clear" w:color="auto" w:fill="1A237E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Operación / Firma del Método</w:t>
            </w:r>
          </w:p>
        </w:tc>
        <w:tc>
          <w:tcPr>
            <w:tcW w:type="dxa" w:w="1587"/>
            <w:shd w:val="clear" w:color="auto" w:fill="1A237E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Retorno</w:t>
            </w:r>
          </w:p>
        </w:tc>
        <w:tc>
          <w:tcPr>
            <w:tcW w:type="dxa" w:w="2948"/>
            <w:shd w:val="clear" w:color="auto" w:fill="1A237E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+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Comprobante(idMensaje: int, hashArchivo: String, fechaRecepcion: DateTime)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Constructor</w:t>
            </w:r>
          </w:p>
        </w:tc>
        <w:tc>
          <w:tcPr>
            <w:tcW w:type="dxa" w:w="294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Registra el comprobante recibido calculando su hash de seguridad.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+</w:t>
            </w:r>
          </w:p>
        </w:tc>
        <w:tc>
          <w:tcPr>
            <w:tcW w:type="dxa" w:w="4252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getters y setters</w:t>
            </w:r>
          </w:p>
        </w:tc>
        <w:tc>
          <w:tcPr>
            <w:tcW w:type="dxa" w:w="1587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void / tipos</w:t>
            </w:r>
          </w:p>
        </w:tc>
        <w:tc>
          <w:tcPr>
            <w:tcW w:type="dxa" w:w="2948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Métodos de acceso a los resultados de OCR y campos de validación.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+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aprobar(empleado: Empleado)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void</w:t>
            </w:r>
          </w:p>
        </w:tc>
        <w:tc>
          <w:tcPr>
            <w:tcW w:type="dxa" w:w="294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Aprueba el comprobante y dispara la creación del registro de Pago.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+</w:t>
            </w:r>
          </w:p>
        </w:tc>
        <w:tc>
          <w:tcPr>
            <w:tcW w:type="dxa" w:w="4252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rechazar(empleado: Empleado, motivo: String)</w:t>
            </w:r>
          </w:p>
        </w:tc>
        <w:tc>
          <w:tcPr>
            <w:tcW w:type="dxa" w:w="1587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void</w:t>
            </w:r>
          </w:p>
        </w:tc>
        <w:tc>
          <w:tcPr>
            <w:tcW w:type="dxa" w:w="2948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Rechaza el comprobante guardando el motivo e informando al cliente.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+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esDuplicado()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boolean</w:t>
            </w:r>
          </w:p>
        </w:tc>
        <w:tc>
          <w:tcPr>
            <w:tcW w:type="dxa" w:w="294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Compara el hashArchivo contra comprobantes previos para verificar originalidad.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+</w:t>
            </w:r>
          </w:p>
        </w:tc>
        <w:tc>
          <w:tcPr>
            <w:tcW w:type="dxa" w:w="4252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{static} calcularHash(archivo: String)</w:t>
            </w:r>
          </w:p>
        </w:tc>
        <w:tc>
          <w:tcPr>
            <w:tcW w:type="dxa" w:w="1587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2948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Método de utilidad que calcula el hash SHA-256 de un archivo binario.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+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toString()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294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Resumen con número de operación, monto OCR y estado de validación.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880E4F"/>
        </w:rPr>
        <w:t>11. Clase: Pago</w:t>
      </w:r>
    </w:p>
    <w:p>
      <w:r>
        <w:rPr>
          <w:b/>
          <w:sz w:val="20"/>
        </w:rPr>
        <w:t xml:space="preserve">Tipo: </w:t>
      </w:r>
      <w:r>
        <w:t xml:space="preserve">Clase Concreta   |   </w:t>
      </w:r>
      <w:r>
        <w:rPr>
          <w:b/>
        </w:rPr>
        <w:t xml:space="preserve">Relaciones / Herencia: </w:t>
      </w:r>
      <w:r>
        <w:t>Asociación con Comprobante (1..1), CuentaReceptora (N..1) y Cuota (1..N).</w:t>
      </w:r>
    </w:p>
    <w:p>
      <w:r>
        <w:rPr>
          <w:b/>
          <w:sz w:val="21"/>
        </w:rPr>
        <w:t xml:space="preserve">Responsabilidad: </w:t>
      </w:r>
      <w:r>
        <w:t>Registra el ingreso de dinero efectivo tras la aprobación de un comprobante o cobro manual. Permite imputar el saldo a una o más cuotas del cliente e impactar la cuenta receptora correspondiente.</w:t>
      </w:r>
    </w:p>
    <w:p/>
    <w:p>
      <w:pPr>
        <w:pStyle w:val="Heading2"/>
      </w:pPr>
      <w:r>
        <w:rPr>
          <w:color w:val="880E4F"/>
          <w:sz w:val="22"/>
        </w:rPr>
        <w:t>Atributos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09"/>
        <w:gridCol w:w="2309"/>
        <w:gridCol w:w="2309"/>
        <w:gridCol w:w="2309"/>
      </w:tblGrid>
      <w:tr>
        <w:tc>
          <w:tcPr>
            <w:tcW w:type="dxa" w:w="680"/>
            <w:shd w:val="clear" w:color="auto" w:fill="880E4F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Vis.</w:t>
            </w:r>
          </w:p>
        </w:tc>
        <w:tc>
          <w:tcPr>
            <w:tcW w:type="dxa" w:w="2551"/>
            <w:shd w:val="clear" w:color="auto" w:fill="880E4F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Atributo</w:t>
            </w:r>
          </w:p>
        </w:tc>
        <w:tc>
          <w:tcPr>
            <w:tcW w:type="dxa" w:w="1701"/>
            <w:shd w:val="clear" w:color="auto" w:fill="880E4F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Tipo UML</w:t>
            </w:r>
          </w:p>
        </w:tc>
        <w:tc>
          <w:tcPr>
            <w:tcW w:type="dxa" w:w="4535"/>
            <w:shd w:val="clear" w:color="auto" w:fill="880E4F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Descripción Funcional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-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idPago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int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Identificador numérico único del pago.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pPr>
              <w:jc w:val="center"/>
            </w:pPr>
            <w:r>
              <w:t>-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551"/>
            <w:shd w:val="clear" w:color="auto" w:fill="F2F2F2"/>
          </w:tcPr>
          <w:p>
            <w:pPr>
              <w:jc w:val="left"/>
            </w:pPr>
            <w:r>
              <w:t>idComprobante</w:t>
            </w:r>
            <w:r>
              <w:rPr>
                <w:b/>
                <w:i w:val="0"/>
                <w:sz w:val="19"/>
              </w:rPr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>
              <w:t>int?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4535"/>
            <w:shd w:val="clear" w:color="auto" w:fill="F2F2F2"/>
          </w:tcPr>
          <w:p>
            <w:pPr>
              <w:jc w:val="left"/>
            </w:pPr>
            <w:r>
              <w:t>Comprobante asociado cuando corresponde.</w:t>
            </w: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-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idCuenta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int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Identificador de la cuenta bancaria donde ingresó el dinero.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-</w:t>
            </w:r>
          </w:p>
        </w:tc>
        <w:tc>
          <w:tcPr>
            <w:tcW w:type="dxa" w:w="2551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fecha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Date</w:t>
            </w:r>
          </w:p>
        </w:tc>
        <w:tc>
          <w:tcPr>
            <w:tcW w:type="dxa" w:w="4535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Fecha contable del pago.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-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montoTotal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BigDecimal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Monto dinerario total cobrado.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-</w:t>
            </w:r>
          </w:p>
        </w:tc>
        <w:tc>
          <w:tcPr>
            <w:tcW w:type="dxa" w:w="2551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medioPago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4535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Medio utilizado ('transferencia', 'efectivo', 'billetera_virtual').</w:t>
            </w:r>
          </w:p>
        </w:tc>
      </w:tr>
    </w:tbl>
    <w:p/>
    <w:p>
      <w:pPr>
        <w:pStyle w:val="Heading2"/>
      </w:pPr>
      <w:r>
        <w:rPr>
          <w:color w:val="880E4F"/>
          <w:sz w:val="22"/>
        </w:rPr>
        <w:t>Métodos y Operaciones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09"/>
        <w:gridCol w:w="2309"/>
        <w:gridCol w:w="2309"/>
        <w:gridCol w:w="2309"/>
      </w:tblGrid>
      <w:tr>
        <w:tc>
          <w:tcPr>
            <w:tcW w:type="dxa" w:w="680"/>
            <w:shd w:val="clear" w:color="auto" w:fill="880E4F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Vis.</w:t>
            </w:r>
          </w:p>
        </w:tc>
        <w:tc>
          <w:tcPr>
            <w:tcW w:type="dxa" w:w="4252"/>
            <w:shd w:val="clear" w:color="auto" w:fill="880E4F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Operación / Firma del Método</w:t>
            </w:r>
          </w:p>
        </w:tc>
        <w:tc>
          <w:tcPr>
            <w:tcW w:type="dxa" w:w="1587"/>
            <w:shd w:val="clear" w:color="auto" w:fill="880E4F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Retorno</w:t>
            </w:r>
          </w:p>
        </w:tc>
        <w:tc>
          <w:tcPr>
            <w:tcW w:type="dxa" w:w="2948"/>
            <w:shd w:val="clear" w:color="auto" w:fill="880E4F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t>+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t>cuenta()</w:t>
            </w:r>
            <w:r>
              <w:rPr>
                <w:b/>
                <w:i w:val="0"/>
                <w:sz w:val="19"/>
              </w:rPr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t>BelongsTo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948"/>
            <w:shd w:val="clear" w:color="auto" w:fill="FFFFFF"/>
          </w:tcPr>
          <w:p>
            <w:pPr>
              <w:jc w:val="left"/>
            </w:pPr>
            <w:r>
              <w:t>Cuenta receptora del pago.</w:t>
            </w: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80"/>
            <w:shd w:val="clear" w:color="auto" w:fill="F2F2F2"/>
          </w:tcPr>
          <w:p>
            <w:pPr>
              <w:jc w:val="center"/>
            </w:pPr>
            <w:r>
              <w:t>+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4252"/>
            <w:shd w:val="clear" w:color="auto" w:fill="F2F2F2"/>
          </w:tcPr>
          <w:p>
            <w:pPr>
              <w:jc w:val="left"/>
            </w:pPr>
            <w:r>
              <w:t>cuotas()</w:t>
            </w:r>
            <w:r>
              <w:rPr>
                <w:b/>
                <w:i w:val="0"/>
                <w:sz w:val="19"/>
              </w:rPr>
            </w:r>
          </w:p>
        </w:tc>
        <w:tc>
          <w:tcPr>
            <w:tcW w:type="dxa" w:w="1587"/>
            <w:shd w:val="clear" w:color="auto" w:fill="F2F2F2"/>
          </w:tcPr>
          <w:p>
            <w:pPr>
              <w:jc w:val="left"/>
            </w:pPr>
            <w:r>
              <w:t>HasMany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948"/>
            <w:shd w:val="clear" w:color="auto" w:fill="F2F2F2"/>
          </w:tcPr>
          <w:p>
            <w:pPr>
              <w:jc w:val="left"/>
            </w:pPr>
            <w:r>
              <w:t>Cuotas canceladas por el pago.</w:t>
            </w:r>
            <w:r>
              <w:rPr>
                <w:b w:val="0"/>
                <w:i w:val="0"/>
                <w:sz w:val="19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E65100"/>
        </w:rPr>
        <w:t>12. Clase: CuentaReceptora</w:t>
      </w:r>
    </w:p>
    <w:p>
      <w:r>
        <w:rPr>
          <w:b/>
          <w:sz w:val="20"/>
        </w:rPr>
        <w:t xml:space="preserve">Tipo: </w:t>
      </w:r>
      <w:r>
        <w:t xml:space="preserve">Clase Concreta   |   </w:t>
      </w:r>
      <w:r>
        <w:rPr>
          <w:b/>
        </w:rPr>
        <w:t xml:space="preserve">Relaciones / Herencia: </w:t>
      </w:r>
      <w:r>
        <w:t>Asociación con Pago (1..N). Gestionada por Administrador.</w:t>
      </w:r>
    </w:p>
    <w:p>
      <w:r>
        <w:rPr>
          <w:b/>
          <w:sz w:val="21"/>
        </w:rPr>
        <w:t xml:space="preserve">Responsabilidad: </w:t>
      </w:r>
      <w:r>
        <w:t>Representa las cuentas bancarias o billeteras virtuales oficiales de la empresa habilitadas para que los clientes realicen sus transferencias.</w:t>
      </w:r>
    </w:p>
    <w:p/>
    <w:p>
      <w:pPr>
        <w:pStyle w:val="Heading2"/>
      </w:pPr>
      <w:r>
        <w:rPr>
          <w:color w:val="E65100"/>
          <w:sz w:val="22"/>
        </w:rPr>
        <w:t>Atributos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09"/>
        <w:gridCol w:w="2309"/>
        <w:gridCol w:w="2309"/>
        <w:gridCol w:w="2309"/>
      </w:tblGrid>
      <w:tr>
        <w:tc>
          <w:tcPr>
            <w:tcW w:type="dxa" w:w="680"/>
            <w:shd w:val="clear" w:color="auto" w:fill="E65100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Vis.</w:t>
            </w:r>
          </w:p>
        </w:tc>
        <w:tc>
          <w:tcPr>
            <w:tcW w:type="dxa" w:w="2551"/>
            <w:shd w:val="clear" w:color="auto" w:fill="E65100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Atributo</w:t>
            </w:r>
          </w:p>
        </w:tc>
        <w:tc>
          <w:tcPr>
            <w:tcW w:type="dxa" w:w="1701"/>
            <w:shd w:val="clear" w:color="auto" w:fill="E65100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Tipo UML</w:t>
            </w:r>
          </w:p>
        </w:tc>
        <w:tc>
          <w:tcPr>
            <w:tcW w:type="dxa" w:w="4535"/>
            <w:shd w:val="clear" w:color="auto" w:fill="E65100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Descripción Funcional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-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idCuenta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int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Identificador único de la cuenta.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-</w:t>
            </w:r>
          </w:p>
        </w:tc>
        <w:tc>
          <w:tcPr>
            <w:tcW w:type="dxa" w:w="2551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nombre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4535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Denominación de la cuenta (ej. "Mercado Pago Principal", "Banco Nación").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-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tipo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Tipo de entidad ('banco', 'billetera_virtual').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-</w:t>
            </w:r>
          </w:p>
        </w:tc>
        <w:tc>
          <w:tcPr>
            <w:tcW w:type="dxa" w:w="2551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identificador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4535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Alias, CBU, CVU o número identificatorio para transferir.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-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estado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Disponibilidad ('activa', 'inactiva').</w:t>
            </w:r>
          </w:p>
        </w:tc>
      </w:tr>
    </w:tbl>
    <w:p/>
    <w:p>
      <w:pPr>
        <w:pStyle w:val="Heading2"/>
      </w:pPr>
      <w:r>
        <w:rPr>
          <w:color w:val="E65100"/>
          <w:sz w:val="22"/>
        </w:rPr>
        <w:t>Métodos y Operaciones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09"/>
        <w:gridCol w:w="2309"/>
        <w:gridCol w:w="2309"/>
        <w:gridCol w:w="2309"/>
      </w:tblGrid>
      <w:tr>
        <w:tc>
          <w:tcPr>
            <w:tcW w:type="dxa" w:w="680"/>
            <w:shd w:val="clear" w:color="auto" w:fill="E65100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Vis.</w:t>
            </w:r>
          </w:p>
        </w:tc>
        <w:tc>
          <w:tcPr>
            <w:tcW w:type="dxa" w:w="4252"/>
            <w:shd w:val="clear" w:color="auto" w:fill="E65100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Operación / Firma del Método</w:t>
            </w:r>
          </w:p>
        </w:tc>
        <w:tc>
          <w:tcPr>
            <w:tcW w:type="dxa" w:w="1587"/>
            <w:shd w:val="clear" w:color="auto" w:fill="E65100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Retorno</w:t>
            </w:r>
          </w:p>
        </w:tc>
        <w:tc>
          <w:tcPr>
            <w:tcW w:type="dxa" w:w="2948"/>
            <w:shd w:val="clear" w:color="auto" w:fill="E65100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t>+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t>pagos()</w:t>
            </w:r>
            <w:r>
              <w:rPr>
                <w:b/>
                <w:i w:val="0"/>
                <w:sz w:val="19"/>
              </w:rPr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t>HasMany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948"/>
            <w:shd w:val="clear" w:color="auto" w:fill="FFFFFF"/>
          </w:tcPr>
          <w:p>
            <w:pPr>
              <w:jc w:val="left"/>
            </w:pPr>
            <w:r>
              <w:t>Pagos recibidos por la cuenta.</w:t>
            </w: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80"/>
            <w:shd w:val="clear" w:color="auto" w:fill="F2F2F2"/>
          </w:tcPr>
          <w:p>
            <w:pPr>
              <w:jc w:val="center"/>
            </w:pPr>
            <w:r>
              <w:t>+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4252"/>
            <w:shd w:val="clear" w:color="auto" w:fill="F2F2F2"/>
          </w:tcPr>
          <w:p>
            <w:pPr>
              <w:jc w:val="left"/>
            </w:pPr>
            <w:r>
              <w:t>activar()</w:t>
            </w:r>
            <w:r>
              <w:rPr>
                <w:b/>
                <w:i w:val="0"/>
                <w:sz w:val="19"/>
              </w:rPr>
            </w:r>
          </w:p>
        </w:tc>
        <w:tc>
          <w:tcPr>
            <w:tcW w:type="dxa" w:w="1587"/>
            <w:shd w:val="clear" w:color="auto" w:fill="F2F2F2"/>
          </w:tcPr>
          <w:p>
            <w:pPr>
              <w:jc w:val="left"/>
            </w:pPr>
            <w:r>
              <w:t>void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948"/>
            <w:shd w:val="clear" w:color="auto" w:fill="F2F2F2"/>
          </w:tcPr>
          <w:p>
            <w:pPr>
              <w:jc w:val="left"/>
            </w:pPr>
            <w:r>
              <w:t>Habilita la cuenta.</w:t>
            </w: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t>+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t>desactivar()</w:t>
            </w:r>
            <w:r>
              <w:rPr>
                <w:b/>
                <w:i w:val="0"/>
                <w:sz w:val="19"/>
              </w:rPr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t>void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948"/>
            <w:shd w:val="clear" w:color="auto" w:fill="FFFFFF"/>
          </w:tcPr>
          <w:p>
            <w:pPr>
              <w:jc w:val="left"/>
            </w:pPr>
            <w:r>
              <w:t>Inhabilita la cuenta.</w:t>
            </w:r>
            <w:r>
              <w:rPr>
                <w:b w:val="0"/>
                <w:i w:val="0"/>
                <w:sz w:val="19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37474F"/>
        </w:rPr>
        <w:t>13. Clase: Ticket</w:t>
      </w:r>
    </w:p>
    <w:p>
      <w:r>
        <w:rPr>
          <w:b/>
          <w:sz w:val="20"/>
        </w:rPr>
        <w:t xml:space="preserve">Tipo: </w:t>
      </w:r>
      <w:r>
        <w:t xml:space="preserve">Clase Concreta   |   </w:t>
      </w:r>
      <w:r>
        <w:rPr>
          <w:b/>
        </w:rPr>
        <w:t xml:space="preserve">Relaciones / Herencia: </w:t>
      </w:r>
      <w:r>
        <w:t>Asociación con Conversacion (N..1), Servicio (N..1), Empleado (N..1). Composición con NotaInterna (1..N).</w:t>
      </w:r>
    </w:p>
    <w:p>
      <w:r>
        <w:rPr>
          <w:b/>
          <w:sz w:val="21"/>
        </w:rPr>
        <w:t xml:space="preserve">Responsabilidad: </w:t>
      </w:r>
      <w:r>
        <w:t>Registra reclamos técnicos o solicitudes de soporte originadas en el chat o en administración. Permite asignar técnicos, cambiar prioridades, redactar notas internas y registrar fechas de resolución.</w:t>
      </w:r>
    </w:p>
    <w:p/>
    <w:p>
      <w:pPr>
        <w:pStyle w:val="Heading2"/>
      </w:pPr>
      <w:r>
        <w:rPr>
          <w:color w:val="37474F"/>
          <w:sz w:val="22"/>
        </w:rPr>
        <w:t>Atributos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09"/>
        <w:gridCol w:w="2309"/>
        <w:gridCol w:w="2309"/>
        <w:gridCol w:w="2309"/>
      </w:tblGrid>
      <w:tr>
        <w:tc>
          <w:tcPr>
            <w:tcW w:type="dxa" w:w="680"/>
            <w:shd w:val="clear" w:color="auto"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Vis.</w:t>
            </w:r>
          </w:p>
        </w:tc>
        <w:tc>
          <w:tcPr>
            <w:tcW w:type="dxa" w:w="2551"/>
            <w:shd w:val="clear" w:color="auto"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Atributo</w:t>
            </w:r>
          </w:p>
        </w:tc>
        <w:tc>
          <w:tcPr>
            <w:tcW w:type="dxa" w:w="1701"/>
            <w:shd w:val="clear" w:color="auto"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Tipo UML</w:t>
            </w:r>
          </w:p>
        </w:tc>
        <w:tc>
          <w:tcPr>
            <w:tcW w:type="dxa" w:w="4535"/>
            <w:shd w:val="clear" w:color="auto"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Descripción Funcional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-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idTicket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int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Identificador numérico del ticket.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-</w:t>
            </w:r>
          </w:p>
        </w:tc>
        <w:tc>
          <w:tcPr>
            <w:tcW w:type="dxa" w:w="2551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idConversacion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int</w:t>
            </w:r>
          </w:p>
        </w:tc>
        <w:tc>
          <w:tcPr>
            <w:tcW w:type="dxa" w:w="4535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Identificador del chat desde donde se abrió el reclamo.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-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idServicio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int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Identificador de la conexión/servicio afectado.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pPr>
              <w:jc w:val="center"/>
            </w:pPr>
            <w:r>
              <w:t>-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551"/>
            <w:shd w:val="clear" w:color="auto" w:fill="F2F2F2"/>
          </w:tcPr>
          <w:p>
            <w:pPr>
              <w:jc w:val="left"/>
            </w:pPr>
            <w:r>
              <w:t>idEmpleado</w:t>
            </w:r>
            <w:r>
              <w:rPr>
                <w:b/>
                <w:i w:val="0"/>
                <w:sz w:val="19"/>
              </w:rPr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>
              <w:t>int?</w:t>
            </w: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4535"/>
            <w:shd w:val="clear" w:color="auto" w:fill="F2F2F2"/>
          </w:tcPr>
          <w:p>
            <w:pPr>
              <w:jc w:val="left"/>
            </w:pPr>
            <w:r>
              <w:t>Empleado asignado al ticket cuando fue tomado.</w:t>
            </w: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-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fechaCreacion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DateTime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Momento exacto en que se abrió el ticket.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-</w:t>
            </w:r>
          </w:p>
        </w:tc>
        <w:tc>
          <w:tcPr>
            <w:tcW w:type="dxa" w:w="2551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tipo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4535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Clasificación ('tecnico', 'administrativo', 'consulta').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-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descripcion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Detalle descriptivo del problema reportado.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-</w:t>
            </w:r>
          </w:p>
        </w:tc>
        <w:tc>
          <w:tcPr>
            <w:tcW w:type="dxa" w:w="2551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estado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4535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Estado de resolución ('abierto', 'en_progreso', 'cerrado').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-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fechaAsignacion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DateTime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Fecha/hora en que fue tomado por un operador.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-</w:t>
            </w:r>
          </w:p>
        </w:tc>
        <w:tc>
          <w:tcPr>
            <w:tcW w:type="dxa" w:w="2551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fechaResolucion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DateTime</w:t>
            </w:r>
          </w:p>
        </w:tc>
        <w:tc>
          <w:tcPr>
            <w:tcW w:type="dxa" w:w="4535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Fecha/hora de cierre y solución del reclamo.</w:t>
            </w:r>
          </w:p>
        </w:tc>
      </w:tr>
    </w:tbl>
    <w:p/>
    <w:p>
      <w:pPr>
        <w:pStyle w:val="Heading2"/>
      </w:pPr>
      <w:r>
        <w:rPr>
          <w:color w:val="37474F"/>
          <w:sz w:val="22"/>
        </w:rPr>
        <w:t>Métodos y Operaciones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09"/>
        <w:gridCol w:w="2309"/>
        <w:gridCol w:w="2309"/>
        <w:gridCol w:w="2309"/>
      </w:tblGrid>
      <w:tr>
        <w:tc>
          <w:tcPr>
            <w:tcW w:type="dxa" w:w="680"/>
            <w:shd w:val="clear" w:color="auto"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Vis.</w:t>
            </w:r>
          </w:p>
        </w:tc>
        <w:tc>
          <w:tcPr>
            <w:tcW w:type="dxa" w:w="4252"/>
            <w:shd w:val="clear" w:color="auto"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Operación / Firma del Método</w:t>
            </w:r>
          </w:p>
        </w:tc>
        <w:tc>
          <w:tcPr>
            <w:tcW w:type="dxa" w:w="1587"/>
            <w:shd w:val="clear" w:color="auto"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Retorno</w:t>
            </w:r>
          </w:p>
        </w:tc>
        <w:tc>
          <w:tcPr>
            <w:tcW w:type="dxa" w:w="2948"/>
            <w:shd w:val="clear" w:color="auto"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+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Ticket(idConversacion: int, idServicio: int, tipo: String, descripcion: String)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Constructor</w:t>
            </w:r>
          </w:p>
        </w:tc>
        <w:tc>
          <w:tcPr>
            <w:tcW w:type="dxa" w:w="294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Crea un nuevo ticket de soporte asociado a un servicio y conversación.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+</w:t>
            </w:r>
          </w:p>
        </w:tc>
        <w:tc>
          <w:tcPr>
            <w:tcW w:type="dxa" w:w="4252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getters y setters</w:t>
            </w:r>
          </w:p>
        </w:tc>
        <w:tc>
          <w:tcPr>
            <w:tcW w:type="dxa" w:w="1587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void / tipos</w:t>
            </w:r>
          </w:p>
        </w:tc>
        <w:tc>
          <w:tcPr>
            <w:tcW w:type="dxa" w:w="2948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Métodos para consultar y actualizar el ticket.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+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asignar(empleado: Empleado)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void</w:t>
            </w:r>
          </w:p>
        </w:tc>
        <w:tc>
          <w:tcPr>
            <w:tcW w:type="dxa" w:w="294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Asigna el ticket al empleado indicado y registra la fechaAsignacion.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+</w:t>
            </w:r>
          </w:p>
        </w:tc>
        <w:tc>
          <w:tcPr>
            <w:tcW w:type="dxa" w:w="4252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resolver()</w:t>
            </w:r>
          </w:p>
        </w:tc>
        <w:tc>
          <w:tcPr>
            <w:tcW w:type="dxa" w:w="1587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void</w:t>
            </w:r>
          </w:p>
        </w:tc>
        <w:tc>
          <w:tcPr>
            <w:tcW w:type="dxa" w:w="2948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Pasa el estado a 'en_progreso' / resuelto registrando avances técnicos.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+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cerrar()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void</w:t>
            </w:r>
          </w:p>
        </w:tc>
        <w:tc>
          <w:tcPr>
            <w:tcW w:type="dxa" w:w="294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Finaliza el ticket y registra la fechaResolucion.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+</w:t>
            </w:r>
          </w:p>
        </w:tc>
        <w:tc>
          <w:tcPr>
            <w:tcW w:type="dxa" w:w="4252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agregarNota(contenido: String, empleado: Empleado)</w:t>
            </w:r>
          </w:p>
        </w:tc>
        <w:tc>
          <w:tcPr>
            <w:tcW w:type="dxa" w:w="1587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NotaInterna</w:t>
            </w:r>
          </w:p>
        </w:tc>
        <w:tc>
          <w:tcPr>
            <w:tcW w:type="dxa" w:w="2948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Añade una nota interna al historial del ticket.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+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obtenerNotas()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List&lt;NotaInterna&gt;</w:t>
            </w:r>
          </w:p>
        </w:tc>
        <w:tc>
          <w:tcPr>
            <w:tcW w:type="dxa" w:w="294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Devuelve todas las notas internas vinculadas a este reclamo.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+</w:t>
            </w:r>
          </w:p>
        </w:tc>
        <w:tc>
          <w:tcPr>
            <w:tcW w:type="dxa" w:w="4252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toString()</w:t>
            </w:r>
          </w:p>
        </w:tc>
        <w:tc>
          <w:tcPr>
            <w:tcW w:type="dxa" w:w="1587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2948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Resumen con código de ticket, tipo y estado actual.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455A64"/>
        </w:rPr>
        <w:t>14. Clase: NotaInterna</w:t>
      </w:r>
    </w:p>
    <w:p>
      <w:r>
        <w:rPr>
          <w:b/>
          <w:sz w:val="20"/>
        </w:rPr>
        <w:t xml:space="preserve">Tipo: </w:t>
      </w:r>
      <w:r>
        <w:t xml:space="preserve">Clase Concreta   |   </w:t>
      </w:r>
      <w:r>
        <w:rPr>
          <w:b/>
        </w:rPr>
        <w:t xml:space="preserve">Relaciones / Herencia: </w:t>
      </w:r>
      <w:r>
        <w:t>Composición desde Ticket (N..1). Asociación con Usuario (N..1).</w:t>
      </w:r>
    </w:p>
    <w:p>
      <w:r>
        <w:rPr>
          <w:b/>
          <w:sz w:val="21"/>
        </w:rPr>
        <w:t xml:space="preserve">Responsabilidad: </w:t>
      </w:r>
      <w:r>
        <w:t>Almacena comentarios, diagnósticos técnicos y notas de seguimiento internas agregadas por el personal operativo a un ticket sin ser visibles para el cliente.</w:t>
      </w:r>
    </w:p>
    <w:p/>
    <w:p>
      <w:pPr>
        <w:pStyle w:val="Heading2"/>
      </w:pPr>
      <w:r>
        <w:rPr>
          <w:color w:val="455A64"/>
          <w:sz w:val="22"/>
        </w:rPr>
        <w:t>Atributos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09"/>
        <w:gridCol w:w="2309"/>
        <w:gridCol w:w="2309"/>
        <w:gridCol w:w="2309"/>
      </w:tblGrid>
      <w:tr>
        <w:tc>
          <w:tcPr>
            <w:tcW w:type="dxa" w:w="680"/>
            <w:shd w:val="clear" w:color="auto" w:fill="455A64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Vis.</w:t>
            </w:r>
          </w:p>
        </w:tc>
        <w:tc>
          <w:tcPr>
            <w:tcW w:type="dxa" w:w="2551"/>
            <w:shd w:val="clear" w:color="auto" w:fill="455A64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Atributo</w:t>
            </w:r>
          </w:p>
        </w:tc>
        <w:tc>
          <w:tcPr>
            <w:tcW w:type="dxa" w:w="1701"/>
            <w:shd w:val="clear" w:color="auto" w:fill="455A64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Tipo UML</w:t>
            </w:r>
          </w:p>
        </w:tc>
        <w:tc>
          <w:tcPr>
            <w:tcW w:type="dxa" w:w="4535"/>
            <w:shd w:val="clear" w:color="auto" w:fill="455A64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Descripción Funcional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-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idNota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int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Identificador único de la nota.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-</w:t>
            </w:r>
          </w:p>
        </w:tc>
        <w:tc>
          <w:tcPr>
            <w:tcW w:type="dxa" w:w="2551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idTicket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int</w:t>
            </w:r>
          </w:p>
        </w:tc>
        <w:tc>
          <w:tcPr>
            <w:tcW w:type="dxa" w:w="4535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Identificador del ticket al que pertenece.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-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idUsuario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int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Identificador del operador que redactó la nota.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-</w:t>
            </w:r>
          </w:p>
        </w:tc>
        <w:tc>
          <w:tcPr>
            <w:tcW w:type="dxa" w:w="2551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fechaHora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DateTime</w:t>
            </w:r>
          </w:p>
        </w:tc>
        <w:tc>
          <w:tcPr>
            <w:tcW w:type="dxa" w:w="4535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Momento exacto de registro de la nota.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-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contenido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Texto descriptivo de la nota interna.</w:t>
            </w:r>
          </w:p>
        </w:tc>
      </w:tr>
    </w:tbl>
    <w:p/>
    <w:p>
      <w:pPr>
        <w:pStyle w:val="Heading2"/>
      </w:pPr>
      <w:r>
        <w:rPr>
          <w:color w:val="455A64"/>
          <w:sz w:val="22"/>
        </w:rPr>
        <w:t>Métodos y Operaciones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09"/>
        <w:gridCol w:w="2309"/>
        <w:gridCol w:w="2309"/>
        <w:gridCol w:w="2309"/>
      </w:tblGrid>
      <w:tr>
        <w:tc>
          <w:tcPr>
            <w:tcW w:type="dxa" w:w="680"/>
            <w:shd w:val="clear" w:color="auto" w:fill="455A64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Vis.</w:t>
            </w:r>
          </w:p>
        </w:tc>
        <w:tc>
          <w:tcPr>
            <w:tcW w:type="dxa" w:w="4252"/>
            <w:shd w:val="clear" w:color="auto" w:fill="455A64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Operación / Firma del Método</w:t>
            </w:r>
          </w:p>
        </w:tc>
        <w:tc>
          <w:tcPr>
            <w:tcW w:type="dxa" w:w="1587"/>
            <w:shd w:val="clear" w:color="auto" w:fill="455A64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Retorno</w:t>
            </w:r>
          </w:p>
        </w:tc>
        <w:tc>
          <w:tcPr>
            <w:tcW w:type="dxa" w:w="2948"/>
            <w:shd w:val="clear" w:color="auto" w:fill="455A64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+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NotaInterna(idTicket: int, idUsuario: int, contenido: String)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Constructor</w:t>
            </w:r>
          </w:p>
        </w:tc>
        <w:tc>
          <w:tcPr>
            <w:tcW w:type="dxa" w:w="294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Crea una nueva nota asociada al ticket y usuario autor.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+</w:t>
            </w:r>
          </w:p>
        </w:tc>
        <w:tc>
          <w:tcPr>
            <w:tcW w:type="dxa" w:w="4252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getters y setters</w:t>
            </w:r>
          </w:p>
        </w:tc>
        <w:tc>
          <w:tcPr>
            <w:tcW w:type="dxa" w:w="1587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void / tipos</w:t>
            </w:r>
          </w:p>
        </w:tc>
        <w:tc>
          <w:tcPr>
            <w:tcW w:type="dxa" w:w="2948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Métodos de acceso a los campos de la nota.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+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toString()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294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Texto de la nota junto con fecha y autor.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4E342E"/>
        </w:rPr>
        <w:t>15. Clase: ServicioExterno</w:t>
      </w:r>
    </w:p>
    <w:p>
      <w:r>
        <w:rPr>
          <w:b/>
          <w:sz w:val="20"/>
        </w:rPr>
        <w:t xml:space="preserve">Tipo: </w:t>
      </w:r>
      <w:r>
        <w:t xml:space="preserve">Clase Abstracta (&lt;&lt;abstract&gt;&gt;)   |   </w:t>
      </w:r>
      <w:r>
        <w:rPr>
          <w:b/>
        </w:rPr>
        <w:t xml:space="preserve">Relaciones / Herencia: </w:t>
      </w:r>
      <w:r>
        <w:t>Superclase de integración. Especializada por OCRService, WhatsAppService e IAService.</w:t>
      </w:r>
    </w:p>
    <w:p>
      <w:r>
        <w:rPr>
          <w:b/>
          <w:sz w:val="21"/>
        </w:rPr>
        <w:t xml:space="preserve">Responsabilidad: </w:t>
      </w:r>
      <w:r>
        <w:t>Define el contrato y métodos base para todos los adaptadores de servicios externos o APIs de terceros utilizados por la plataforma.</w:t>
      </w:r>
    </w:p>
    <w:p/>
    <w:p>
      <w:pPr>
        <w:pStyle w:val="Heading2"/>
      </w:pPr>
      <w:r>
        <w:rPr>
          <w:color w:val="4E342E"/>
          <w:sz w:val="22"/>
        </w:rPr>
        <w:t>Atributos</w:t>
      </w:r>
    </w:p>
    <w:p>
      <w:r>
        <w:rPr>
          <w:i/>
          <w:sz w:val="20"/>
        </w:rPr>
        <w:t>(Esta clase no define atributos de estado propios; opera como servicio o contrato funcional).</w:t>
      </w:r>
    </w:p>
    <w:p/>
    <w:p>
      <w:pPr>
        <w:pStyle w:val="Heading2"/>
      </w:pPr>
      <w:r>
        <w:rPr>
          <w:color w:val="4E342E"/>
          <w:sz w:val="22"/>
        </w:rPr>
        <w:t>Métodos y Operaciones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09"/>
        <w:gridCol w:w="2309"/>
        <w:gridCol w:w="2309"/>
        <w:gridCol w:w="2309"/>
      </w:tblGrid>
      <w:tr>
        <w:tc>
          <w:tcPr>
            <w:tcW w:type="dxa" w:w="680"/>
            <w:shd w:val="clear" w:color="auto" w:fill="4E342E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Vis.</w:t>
            </w:r>
          </w:p>
        </w:tc>
        <w:tc>
          <w:tcPr>
            <w:tcW w:type="dxa" w:w="4252"/>
            <w:shd w:val="clear" w:color="auto" w:fill="4E342E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Operación / Firma del Método</w:t>
            </w:r>
          </w:p>
        </w:tc>
        <w:tc>
          <w:tcPr>
            <w:tcW w:type="dxa" w:w="1587"/>
            <w:shd w:val="clear" w:color="auto" w:fill="4E342E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Retorno</w:t>
            </w:r>
          </w:p>
        </w:tc>
        <w:tc>
          <w:tcPr>
            <w:tcW w:type="dxa" w:w="2948"/>
            <w:shd w:val="clear" w:color="auto" w:fill="4E342E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+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ServicioExterno()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Constructor</w:t>
            </w:r>
          </w:p>
        </w:tc>
        <w:tc>
          <w:tcPr>
            <w:tcW w:type="dxa" w:w="294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Inicializa la configuración base del servicio externo.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+</w:t>
            </w:r>
          </w:p>
        </w:tc>
        <w:tc>
          <w:tcPr>
            <w:tcW w:type="dxa" w:w="4252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procesar(datos: Object)</w:t>
            </w:r>
          </w:p>
        </w:tc>
        <w:tc>
          <w:tcPr>
            <w:tcW w:type="dxa" w:w="1587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Object</w:t>
            </w:r>
          </w:p>
        </w:tc>
        <w:tc>
          <w:tcPr>
            <w:tcW w:type="dxa" w:w="2948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Método abstracto de procesamiento polimórfico de datos según el servicio.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+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verificarConexion()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boolean</w:t>
            </w:r>
          </w:p>
        </w:tc>
        <w:tc>
          <w:tcPr>
            <w:tcW w:type="dxa" w:w="294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Comprueba la disponibilidad y conectividad con la API externa.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33691E"/>
        </w:rPr>
        <w:t>16. Clase: OCRService</w:t>
      </w:r>
    </w:p>
    <w:p>
      <w:r>
        <w:rPr>
          <w:b/>
          <w:sz w:val="20"/>
        </w:rPr>
        <w:t xml:space="preserve">Tipo: </w:t>
      </w:r>
      <w:r>
        <w:t xml:space="preserve">Clase de Servicio (extiende ServicioExterno)   |   </w:t>
      </w:r>
      <w:r>
        <w:rPr>
          <w:b/>
        </w:rPr>
        <w:t xml:space="preserve">Relaciones / Herencia: </w:t>
      </w:r>
      <w:r>
        <w:t>Hereda de ServicioExterno. Utilizada por Comprobante.</w:t>
      </w:r>
    </w:p>
    <w:p>
      <w:r>
        <w:rPr>
          <w:b/>
          <w:sz w:val="21"/>
        </w:rPr>
        <w:t xml:space="preserve">Responsabilidad: </w:t>
      </w:r>
      <w:r>
        <w:t>Implementa el motor de reconocimiento óptico de caracteres para analizar imágenes de transferencias bancarias y extraer automáticamente montos, fechas y operaciones.</w:t>
      </w:r>
    </w:p>
    <w:p/>
    <w:p>
      <w:pPr>
        <w:pStyle w:val="Heading2"/>
      </w:pPr>
      <w:r>
        <w:rPr>
          <w:color w:val="33691E"/>
          <w:sz w:val="22"/>
        </w:rPr>
        <w:t>Atributos</w:t>
      </w:r>
    </w:p>
    <w:p>
      <w:r>
        <w:rPr>
          <w:i/>
          <w:sz w:val="20"/>
        </w:rPr>
        <w:t>(Esta clase no define atributos de estado propios; opera como servicio o contrato funcional).</w:t>
      </w:r>
    </w:p>
    <w:p/>
    <w:p>
      <w:pPr>
        <w:pStyle w:val="Heading2"/>
      </w:pPr>
      <w:r>
        <w:rPr>
          <w:color w:val="33691E"/>
          <w:sz w:val="22"/>
        </w:rPr>
        <w:t>Métodos y Operaciones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09"/>
        <w:gridCol w:w="2309"/>
        <w:gridCol w:w="2309"/>
        <w:gridCol w:w="2309"/>
      </w:tblGrid>
      <w:tr>
        <w:tc>
          <w:tcPr>
            <w:tcW w:type="dxa" w:w="680"/>
            <w:shd w:val="clear" w:color="auto" w:fill="33691E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Vis.</w:t>
            </w:r>
          </w:p>
        </w:tc>
        <w:tc>
          <w:tcPr>
            <w:tcW w:type="dxa" w:w="4252"/>
            <w:shd w:val="clear" w:color="auto" w:fill="33691E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Operación / Firma del Método</w:t>
            </w:r>
          </w:p>
        </w:tc>
        <w:tc>
          <w:tcPr>
            <w:tcW w:type="dxa" w:w="1587"/>
            <w:shd w:val="clear" w:color="auto" w:fill="33691E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Retorno</w:t>
            </w:r>
          </w:p>
        </w:tc>
        <w:tc>
          <w:tcPr>
            <w:tcW w:type="dxa" w:w="2948"/>
            <w:shd w:val="clear" w:color="auto" w:fill="33691E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+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OCRService()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Constructor</w:t>
            </w:r>
          </w:p>
        </w:tc>
        <w:tc>
          <w:tcPr>
            <w:tcW w:type="dxa" w:w="294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Inicializa el cliente de OCR.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+</w:t>
            </w:r>
          </w:p>
        </w:tc>
        <w:tc>
          <w:tcPr>
            <w:tcW w:type="dxa" w:w="4252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procesar(imagen: Object)</w:t>
            </w:r>
          </w:p>
        </w:tc>
        <w:tc>
          <w:tcPr>
            <w:tcW w:type="dxa" w:w="1587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Object</w:t>
            </w:r>
          </w:p>
        </w:tc>
        <w:tc>
          <w:tcPr>
            <w:tcW w:type="dxa" w:w="2948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Ejecuta el pipeline de lectura y segmentación sobre la imagen del comprobante.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+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verificarConexion()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boolean</w:t>
            </w:r>
          </w:p>
        </w:tc>
        <w:tc>
          <w:tcPr>
            <w:tcW w:type="dxa" w:w="294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Verifica el estado del servicio de reconocimiento de imágenes.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+</w:t>
            </w:r>
          </w:p>
        </w:tc>
        <w:tc>
          <w:tcPr>
            <w:tcW w:type="dxa" w:w="4252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extraerMonto(imagen: String)</w:t>
            </w:r>
          </w:p>
        </w:tc>
        <w:tc>
          <w:tcPr>
            <w:tcW w:type="dxa" w:w="1587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BigDecimal</w:t>
            </w:r>
          </w:p>
        </w:tc>
        <w:tc>
          <w:tcPr>
            <w:tcW w:type="dxa" w:w="2948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Analiza patrones monetarios en la imagen y retorna el monto detectado.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+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extraerFecha(imagen: String)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Date</w:t>
            </w:r>
          </w:p>
        </w:tc>
        <w:tc>
          <w:tcPr>
            <w:tcW w:type="dxa" w:w="294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Detecta patrones de fecha de transacción en el comprobante.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+</w:t>
            </w:r>
          </w:p>
        </w:tc>
        <w:tc>
          <w:tcPr>
            <w:tcW w:type="dxa" w:w="4252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calcularConfianza()</w:t>
            </w:r>
          </w:p>
        </w:tc>
        <w:tc>
          <w:tcPr>
            <w:tcW w:type="dxa" w:w="1587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double</w:t>
            </w:r>
          </w:p>
        </w:tc>
        <w:tc>
          <w:tcPr>
            <w:tcW w:type="dxa" w:w="2948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Retorna el índice de precisión promedio de la lectura realizada.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B5E20"/>
        </w:rPr>
        <w:t>17. Clase: WhatsAppService</w:t>
      </w:r>
    </w:p>
    <w:p>
      <w:r>
        <w:rPr>
          <w:b/>
          <w:sz w:val="20"/>
        </w:rPr>
        <w:t xml:space="preserve">Tipo: </w:t>
      </w:r>
      <w:r>
        <w:t xml:space="preserve">Clase de Servicio (extiende ServicioExterno)   |   </w:t>
      </w:r>
      <w:r>
        <w:rPr>
          <w:b/>
        </w:rPr>
        <w:t xml:space="preserve">Relaciones / Herencia: </w:t>
      </w:r>
      <w:r>
        <w:t>Hereda de ServicioExterno. Utilizada por Conversacion y Mensaje.</w:t>
      </w:r>
    </w:p>
    <w:p>
      <w:r>
        <w:rPr>
          <w:b/>
          <w:sz w:val="21"/>
        </w:rPr>
        <w:t xml:space="preserve">Responsabilidad: </w:t>
      </w:r>
      <w:r>
        <w:t>Gestiona la integración bidireccional con la API de WhatsApp, permitiendo enviar mensajes de texto, adjuntar archivos y procesar eventos entrantes vía Webhooks.</w:t>
      </w:r>
    </w:p>
    <w:p/>
    <w:p>
      <w:pPr>
        <w:pStyle w:val="Heading2"/>
      </w:pPr>
      <w:r>
        <w:rPr>
          <w:color w:val="1B5E20"/>
          <w:sz w:val="22"/>
        </w:rPr>
        <w:t>Atributos</w:t>
      </w:r>
    </w:p>
    <w:p>
      <w:r>
        <w:rPr>
          <w:i/>
          <w:sz w:val="20"/>
        </w:rPr>
        <w:t>(Esta clase no define atributos de estado propios; opera como servicio o contrato funcional).</w:t>
      </w:r>
    </w:p>
    <w:p/>
    <w:p>
      <w:pPr>
        <w:pStyle w:val="Heading2"/>
      </w:pPr>
      <w:r>
        <w:rPr>
          <w:color w:val="1B5E20"/>
          <w:sz w:val="22"/>
        </w:rPr>
        <w:t>Métodos y Operaciones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09"/>
        <w:gridCol w:w="2309"/>
        <w:gridCol w:w="2309"/>
        <w:gridCol w:w="2309"/>
      </w:tblGrid>
      <w:tr>
        <w:tc>
          <w:tcPr>
            <w:tcW w:type="dxa" w:w="680"/>
            <w:shd w:val="clear" w:color="auto" w:fill="1B5E20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Vis.</w:t>
            </w:r>
          </w:p>
        </w:tc>
        <w:tc>
          <w:tcPr>
            <w:tcW w:type="dxa" w:w="4252"/>
            <w:shd w:val="clear" w:color="auto" w:fill="1B5E20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Operación / Firma del Método</w:t>
            </w:r>
          </w:p>
        </w:tc>
        <w:tc>
          <w:tcPr>
            <w:tcW w:type="dxa" w:w="1587"/>
            <w:shd w:val="clear" w:color="auto" w:fill="1B5E20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Retorno</w:t>
            </w:r>
          </w:p>
        </w:tc>
        <w:tc>
          <w:tcPr>
            <w:tcW w:type="dxa" w:w="2948"/>
            <w:shd w:val="clear" w:color="auto" w:fill="1B5E20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+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WhatsAppService()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Constructor</w:t>
            </w:r>
          </w:p>
        </w:tc>
        <w:tc>
          <w:tcPr>
            <w:tcW w:type="dxa" w:w="294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Inicializa el cliente con las credenciales de la API de mensajería.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+</w:t>
            </w:r>
          </w:p>
        </w:tc>
        <w:tc>
          <w:tcPr>
            <w:tcW w:type="dxa" w:w="4252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procesar(datos: Object)</w:t>
            </w:r>
          </w:p>
        </w:tc>
        <w:tc>
          <w:tcPr>
            <w:tcW w:type="dxa" w:w="1587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Object</w:t>
            </w:r>
          </w:p>
        </w:tc>
        <w:tc>
          <w:tcPr>
            <w:tcW w:type="dxa" w:w="2948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Procesa payloads de eventos entrantes de la API.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+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verificarConexion()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boolean</w:t>
            </w:r>
          </w:p>
        </w:tc>
        <w:tc>
          <w:tcPr>
            <w:tcW w:type="dxa" w:w="294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Valida el token y conectividad con el proveedor de WhatsApp.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+</w:t>
            </w:r>
          </w:p>
        </w:tc>
        <w:tc>
          <w:tcPr>
            <w:tcW w:type="dxa" w:w="4252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enviarMensaje(numero: String, contenido: String)</w:t>
            </w:r>
          </w:p>
        </w:tc>
        <w:tc>
          <w:tcPr>
            <w:tcW w:type="dxa" w:w="1587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void</w:t>
            </w:r>
          </w:p>
        </w:tc>
        <w:tc>
          <w:tcPr>
            <w:tcW w:type="dxa" w:w="2948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Despacha un mensaje de texto saliente hacia un número de teléfono.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+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enviarArchivo(numero: String, archivo: String)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void</w:t>
            </w:r>
          </w:p>
        </w:tc>
        <w:tc>
          <w:tcPr>
            <w:tcW w:type="dxa" w:w="294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Envía un archivo PDF o imagen adjunta al destinatario.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+</w:t>
            </w:r>
          </w:p>
        </w:tc>
        <w:tc>
          <w:tcPr>
            <w:tcW w:type="dxa" w:w="4252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recibirMensaje(webhookData: String)</w:t>
            </w:r>
          </w:p>
        </w:tc>
        <w:tc>
          <w:tcPr>
            <w:tcW w:type="dxa" w:w="1587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Mensaje</w:t>
            </w:r>
          </w:p>
        </w:tc>
        <w:tc>
          <w:tcPr>
            <w:tcW w:type="dxa" w:w="2948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Parsea el JSON del Webhook y genera una instancia de Mensaje.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D47A1"/>
        </w:rPr>
        <w:t>18. Clase: IAService</w:t>
      </w:r>
    </w:p>
    <w:p>
      <w:r>
        <w:rPr>
          <w:b/>
          <w:sz w:val="20"/>
        </w:rPr>
        <w:t xml:space="preserve">Tipo: </w:t>
      </w:r>
      <w:r>
        <w:t xml:space="preserve">Clase de Servicio (extiende ServicioExterno)   |   </w:t>
      </w:r>
      <w:r>
        <w:rPr>
          <w:b/>
        </w:rPr>
        <w:t xml:space="preserve">Relaciones / Herencia: </w:t>
      </w:r>
      <w:r>
        <w:t>Hereda de ServicioExterno. Utilizada en el flujo de atención automatizada.</w:t>
      </w:r>
    </w:p>
    <w:p>
      <w:r>
        <w:rPr>
          <w:b/>
          <w:sz w:val="21"/>
        </w:rPr>
        <w:t xml:space="preserve">Responsabilidad: </w:t>
      </w:r>
      <w:r>
        <w:t>Provee capacidades de procesamiento de lenguaje natural (PLN) para interpretar la intención de los mensajes de los clientes en WhatsApp y generar respuestas automáticas contextuales.</w:t>
      </w:r>
    </w:p>
    <w:p/>
    <w:p>
      <w:pPr>
        <w:pStyle w:val="Heading2"/>
      </w:pPr>
      <w:r>
        <w:rPr>
          <w:color w:val="0D47A1"/>
          <w:sz w:val="22"/>
        </w:rPr>
        <w:t>Atributos</w:t>
      </w:r>
    </w:p>
    <w:p>
      <w:r>
        <w:rPr>
          <w:i/>
          <w:sz w:val="20"/>
        </w:rPr>
        <w:t>(Esta clase no define atributos de estado propios; opera como servicio o contrato funcional).</w:t>
      </w:r>
    </w:p>
    <w:p/>
    <w:p>
      <w:pPr>
        <w:pStyle w:val="Heading2"/>
      </w:pPr>
      <w:r>
        <w:rPr>
          <w:color w:val="0D47A1"/>
          <w:sz w:val="22"/>
        </w:rPr>
        <w:t>Métodos y Operaciones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09"/>
        <w:gridCol w:w="2309"/>
        <w:gridCol w:w="2309"/>
        <w:gridCol w:w="2309"/>
      </w:tblGrid>
      <w:tr>
        <w:tc>
          <w:tcPr>
            <w:tcW w:type="dxa" w:w="680"/>
            <w:shd w:val="clear" w:color="auto" w:fill="0D47A1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Vis.</w:t>
            </w:r>
          </w:p>
        </w:tc>
        <w:tc>
          <w:tcPr>
            <w:tcW w:type="dxa" w:w="4252"/>
            <w:shd w:val="clear" w:color="auto" w:fill="0D47A1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Operación / Firma del Método</w:t>
            </w:r>
          </w:p>
        </w:tc>
        <w:tc>
          <w:tcPr>
            <w:tcW w:type="dxa" w:w="1587"/>
            <w:shd w:val="clear" w:color="auto" w:fill="0D47A1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Retorno</w:t>
            </w:r>
          </w:p>
        </w:tc>
        <w:tc>
          <w:tcPr>
            <w:tcW w:type="dxa" w:w="2948"/>
            <w:shd w:val="clear" w:color="auto" w:fill="0D47A1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+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IAService()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Constructor</w:t>
            </w:r>
          </w:p>
        </w:tc>
        <w:tc>
          <w:tcPr>
            <w:tcW w:type="dxa" w:w="294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Configura el modelo de lenguaje y parámetros de inferencia.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+</w:t>
            </w:r>
          </w:p>
        </w:tc>
        <w:tc>
          <w:tcPr>
            <w:tcW w:type="dxa" w:w="4252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procesar(datos: Object)</w:t>
            </w:r>
          </w:p>
        </w:tc>
        <w:tc>
          <w:tcPr>
            <w:tcW w:type="dxa" w:w="1587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Object</w:t>
            </w:r>
          </w:p>
        </w:tc>
        <w:tc>
          <w:tcPr>
            <w:tcW w:type="dxa" w:w="2948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Ejecuta el análisis contextual sobre los datos suministrados.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+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verificarConexion()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boolean</w:t>
            </w:r>
          </w:p>
        </w:tc>
        <w:tc>
          <w:tcPr>
            <w:tcW w:type="dxa" w:w="294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Verifica la disponibilidad del endpoint de IA.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+</w:t>
            </w:r>
          </w:p>
        </w:tc>
        <w:tc>
          <w:tcPr>
            <w:tcW w:type="dxa" w:w="4252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interpretarIntencion(texto: String)</w:t>
            </w:r>
          </w:p>
        </w:tc>
        <w:tc>
          <w:tcPr>
            <w:tcW w:type="dxa" w:w="1587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2948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Clasifica la intención del cliente (ej. "consultar_saldo", "reportar_falla").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+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generarRespuesta(intencion: String, contexto: String)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294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Elabora una respuesta natural y amigable según la intención y datos del cliente.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BF360C"/>
        </w:rPr>
        <w:t>19. Clase: NotificacionService</w:t>
      </w:r>
    </w:p>
    <w:p>
      <w:r>
        <w:rPr>
          <w:b/>
          <w:sz w:val="20"/>
        </w:rPr>
        <w:t xml:space="preserve">Tipo: </w:t>
      </w:r>
      <w:r>
        <w:t xml:space="preserve">Clase de Servicio   |   </w:t>
      </w:r>
      <w:r>
        <w:rPr>
          <w:b/>
        </w:rPr>
        <w:t xml:space="preserve">Relaciones / Herencia: </w:t>
      </w:r>
      <w:r>
        <w:t>Coordina avisos entre Cliente, Cuota, Pago y Ticket.</w:t>
      </w:r>
    </w:p>
    <w:p>
      <w:r>
        <w:rPr>
          <w:b/>
          <w:sz w:val="21"/>
        </w:rPr>
        <w:t xml:space="preserve">Responsabilidad: </w:t>
      </w:r>
      <w:r>
        <w:t>Encapsula la lógica de negocio para la emisión de avisos y alertas proactivas (vencimientos de cuotas, confirmaciones de pago y novedades de tickets de soporte).</w:t>
      </w:r>
    </w:p>
    <w:p/>
    <w:p>
      <w:pPr>
        <w:pStyle w:val="Heading2"/>
      </w:pPr>
      <w:r>
        <w:rPr>
          <w:color w:val="BF360C"/>
          <w:sz w:val="22"/>
        </w:rPr>
        <w:t>Atributos</w:t>
      </w:r>
    </w:p>
    <w:p>
      <w:r>
        <w:rPr>
          <w:i/>
          <w:sz w:val="20"/>
        </w:rPr>
        <w:t>(Esta clase no define atributos de estado propios; opera como servicio o contrato funcional).</w:t>
      </w:r>
    </w:p>
    <w:p/>
    <w:p>
      <w:pPr>
        <w:pStyle w:val="Heading2"/>
      </w:pPr>
      <w:r>
        <w:rPr>
          <w:color w:val="BF360C"/>
          <w:sz w:val="22"/>
        </w:rPr>
        <w:t>Métodos y Operaciones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09"/>
        <w:gridCol w:w="2309"/>
        <w:gridCol w:w="2309"/>
        <w:gridCol w:w="2309"/>
      </w:tblGrid>
      <w:tr>
        <w:tc>
          <w:tcPr>
            <w:tcW w:type="dxa" w:w="680"/>
            <w:shd w:val="clear" w:color="auto" w:fill="BF360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Vis.</w:t>
            </w:r>
          </w:p>
        </w:tc>
        <w:tc>
          <w:tcPr>
            <w:tcW w:type="dxa" w:w="4252"/>
            <w:shd w:val="clear" w:color="auto" w:fill="BF360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Operación / Firma del Método</w:t>
            </w:r>
          </w:p>
        </w:tc>
        <w:tc>
          <w:tcPr>
            <w:tcW w:type="dxa" w:w="1587"/>
            <w:shd w:val="clear" w:color="auto" w:fill="BF360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Retorno</w:t>
            </w:r>
          </w:p>
        </w:tc>
        <w:tc>
          <w:tcPr>
            <w:tcW w:type="dxa" w:w="2948"/>
            <w:shd w:val="clear" w:color="auto" w:fill="BF360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+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NotificacionService()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Constructor</w:t>
            </w:r>
          </w:p>
        </w:tc>
        <w:tc>
          <w:tcPr>
            <w:tcW w:type="dxa" w:w="294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Inicializa el despachador de notificaciones.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+</w:t>
            </w:r>
          </w:p>
        </w:tc>
        <w:tc>
          <w:tcPr>
            <w:tcW w:type="dxa" w:w="4252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notificarPagoConfirmado(cliente: Cliente, pago: Pago)</w:t>
            </w:r>
          </w:p>
        </w:tc>
        <w:tc>
          <w:tcPr>
            <w:tcW w:type="dxa" w:w="1587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void</w:t>
            </w:r>
          </w:p>
        </w:tc>
        <w:tc>
          <w:tcPr>
            <w:tcW w:type="dxa" w:w="2948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Envía un mensaje de WhatsApp confirmando la acreditación exitosa del pago.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+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alertarVencimientoProximo(cliente: Cliente, cuota: Cuota)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void</w:t>
            </w:r>
          </w:p>
        </w:tc>
        <w:tc>
          <w:tcPr>
            <w:tcW w:type="dxa" w:w="294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Envía recordatorio de pago antes de la fecha límite de vencimiento.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+</w:t>
            </w:r>
          </w:p>
        </w:tc>
        <w:tc>
          <w:tcPr>
            <w:tcW w:type="dxa" w:w="4252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i w:val="0"/>
                <w:sz w:val="19"/>
              </w:rPr>
              <w:t>notificarTicketActualizado(ticket: Ticket)</w:t>
            </w:r>
          </w:p>
        </w:tc>
        <w:tc>
          <w:tcPr>
            <w:tcW w:type="dxa" w:w="1587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void</w:t>
            </w:r>
          </w:p>
        </w:tc>
        <w:tc>
          <w:tcPr>
            <w:tcW w:type="dxa" w:w="2948"/>
            <w:shd w:val="clear" w:color="auto" w:fill="F2F2F2"/>
          </w:tcPr>
          <w:p>
            <w:pPr>
              <w:jc w:val="left"/>
            </w:pPr>
            <w:r/>
            <w:r>
              <w:rPr>
                <w:b w:val="0"/>
                <w:i w:val="0"/>
                <w:sz w:val="19"/>
              </w:rPr>
              <w:t>Informa al cliente o técnico sobre cambios en el estado del ticket.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