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Calibri" w:hAnsi="Calibri"/>
          <w:b/>
          <w:color w:val="1A365D"/>
          <w:sz w:val="44"/>
        </w:rPr>
        <w:t>INFORME DE EVOLUCIÓN DE DISEÑO</w:t>
      </w:r>
    </w:p>
    <w:p>
      <w:pPr>
        <w:spacing w:before="0" w:after="360"/>
        <w:jc w:val="center"/>
      </w:pPr>
      <w:r>
        <w:rPr>
          <w:rFonts w:ascii="Calibri" w:hAnsi="Calibri"/>
          <w:i/>
          <w:color w:val="2B6CB0"/>
          <w:sz w:val="24"/>
        </w:rPr>
        <w:t>Refinamiento de Requerimientos Funcionales y Actualización de Modelos de Dominio</w:t>
        <w:br/>
        <w:t>Proyecto: Sistema Villafañe Wifi — Módulo 2: Atención por WhatsApp y Notificaciones</w:t>
      </w:r>
    </w:p>
    <w:tbl>
      <w:tblPr>
        <w:tblW w:type="auto" w:w="0"/>
        <w:jc w:val="center"/>
        <w:tblLook w:firstColumn="1" w:firstRow="1" w:lastColumn="0" w:lastRow="0" w:noHBand="0" w:noVBand="1" w:val="04A0"/>
      </w:tblPr>
      <w:tblGrid>
        <w:gridCol w:w="4680"/>
        <w:gridCol w:w="4680"/>
      </w:tblGrid>
      <w:tr>
        <w:trPr>
          <w:tblHeader w:val="true"/>
          <w:cantSplit/>
          <w:tblHeader w:val="true"/>
          <w:cantSplit/>
          <w:tblHeader w:val="true"/>
          <w:cantSplit/>
        </w:trPr>
        <w:tc>
          <w:tcPr>
            <w:tcW w:type="dxa" w:w="2880"/>
            <w:shd w:fill="EDF2F7"/>
          </w:tcPr>
          <w:p>
            <w:pPr>
              <w:spacing w:before="40" w:after="40"/>
            </w:pPr>
            <w:r>
              <w:rPr>
                <w:rFonts w:ascii="Calibri" w:hAnsi="Calibri"/>
                <w:b/>
                <w:color w:val="1A365D"/>
                <w:sz w:val="20"/>
              </w:rPr>
              <w:t>Proyecto:</w:t>
            </w:r>
          </w:p>
        </w:tc>
        <w:tc>
          <w:tcPr>
            <w:tcW w:type="dxa" w:w="6480"/>
            <w:shd w:fill="FFFFFF"/>
          </w:tcPr>
          <w:p>
            <w:pPr>
              <w:spacing w:before="40" w:after="40"/>
            </w:pPr>
            <w:r>
              <w:rPr>
                <w:rFonts w:ascii="Calibri" w:hAnsi="Calibri"/>
                <w:color w:val="2D3748"/>
                <w:sz w:val="20"/>
              </w:rPr>
              <w:t>Sistema de Gestión y Atención — Villafañe Wifi</w:t>
            </w:r>
          </w:p>
        </w:tc>
      </w:tr>
      <w:tr>
        <w:trPr>
          <w:cantSplit/>
          <w:cantSplit/>
          <w:cantSplit/>
        </w:trPr>
        <w:tc>
          <w:tcPr>
            <w:tcW w:type="dxa" w:w="2880"/>
            <w:shd w:fill="EDF2F7"/>
          </w:tcPr>
          <w:p>
            <w:pPr>
              <w:spacing w:before="40" w:after="40"/>
            </w:pPr>
            <w:r>
              <w:rPr>
                <w:rFonts w:ascii="Calibri" w:hAnsi="Calibri"/>
                <w:b/>
                <w:color w:val="1A365D"/>
                <w:sz w:val="20"/>
              </w:rPr>
              <w:t>Ciclo de Vida:</w:t>
            </w:r>
          </w:p>
        </w:tc>
        <w:tc>
          <w:tcPr>
            <w:tcW w:type="dxa" w:w="6480"/>
            <w:shd w:fill="FFFFFF"/>
          </w:tcPr>
          <w:p>
            <w:pPr>
              <w:spacing w:before="40" w:after="40"/>
            </w:pPr>
            <w:r>
              <w:rPr>
                <w:rFonts w:ascii="Calibri" w:hAnsi="Calibri"/>
                <w:color w:val="2D3748"/>
                <w:sz w:val="20"/>
              </w:rPr>
              <w:t>Incremental e Iterativo (Sommerville / Pressman)</w:t>
            </w:r>
          </w:p>
        </w:tc>
      </w:tr>
      <w:tr>
        <w:trPr>
          <w:cantSplit/>
          <w:cantSplit/>
          <w:cantSplit/>
        </w:trPr>
        <w:tc>
          <w:tcPr>
            <w:tcW w:type="dxa" w:w="2880"/>
            <w:shd w:fill="EDF2F7"/>
          </w:tcPr>
          <w:p>
            <w:pPr>
              <w:spacing w:before="40" w:after="40"/>
            </w:pPr>
            <w:r>
              <w:rPr>
                <w:rFonts w:ascii="Calibri" w:hAnsi="Calibri"/>
                <w:b/>
                <w:color w:val="1A365D"/>
                <w:sz w:val="20"/>
              </w:rPr>
              <w:t>Fase y Módulos:</w:t>
            </w:r>
          </w:p>
        </w:tc>
        <w:tc>
          <w:tcPr>
            <w:tcW w:type="dxa" w:w="6480"/>
            <w:shd w:fill="FFFFFF"/>
          </w:tcPr>
          <w:p>
            <w:pPr>
              <w:spacing w:before="40" w:after="40"/>
            </w:pPr>
            <w:r>
              <w:rPr>
                <w:rFonts w:ascii="Calibri" w:hAnsi="Calibri"/>
                <w:color w:val="2D3748"/>
                <w:sz w:val="20"/>
              </w:rPr>
              <w:t>Fase 2 — Cierre de Módulo 2 (Atención WhatsApp / IA / Notificaciones)</w:t>
            </w:r>
          </w:p>
        </w:tc>
      </w:tr>
      <w:tr>
        <w:trPr>
          <w:cantSplit/>
          <w:cantSplit/>
          <w:cantSplit/>
        </w:trPr>
        <w:tc>
          <w:tcPr>
            <w:tcW w:type="dxa" w:w="2880"/>
            <w:shd w:fill="EDF2F7"/>
          </w:tcPr>
          <w:p>
            <w:pPr>
              <w:spacing w:before="40" w:after="40"/>
            </w:pPr>
            <w:r>
              <w:rPr>
                <w:rFonts w:ascii="Calibri" w:hAnsi="Calibri"/>
                <w:b/>
                <w:color w:val="1A365D"/>
                <w:sz w:val="20"/>
              </w:rPr>
              <w:t>Fecha de Revisión:</w:t>
            </w:r>
          </w:p>
        </w:tc>
        <w:tc>
          <w:tcPr>
            <w:tcW w:type="dxa" w:w="6480"/>
            <w:shd w:fill="FFFFFF"/>
          </w:tcPr>
          <w:p>
            <w:pPr>
              <w:spacing w:before="40" w:after="40"/>
            </w:pPr>
            <w:r>
              <w:rPr>
                <w:rFonts w:ascii="Calibri" w:hAnsi="Calibri"/>
                <w:color w:val="2D3748"/>
                <w:sz w:val="20"/>
              </w:rPr>
              <w:t>Septiembre 2026 — Hito de Entrega Avance 2</w:t>
            </w:r>
          </w:p>
        </w:tc>
      </w:tr>
    </w:tbl>
    <w:p>
      <w:pPr>
        <w:spacing w:after="120"/>
      </w:pPr>
    </w:p>
    <w:p>
      <w:pPr>
        <w:keepNext/>
        <w:spacing w:before="320" w:after="120"/>
      </w:pPr>
      <w:r>
        <w:rPr>
          <w:rFonts w:ascii="Calibri" w:hAnsi="Calibri"/>
          <w:b/>
          <w:color w:val="1A365D"/>
          <w:sz w:val="30"/>
        </w:rPr>
        <w:t>1. Propósito y Justificación Metodológica</w:t>
      </w:r>
    </w:p>
    <w:p>
      <w:pPr>
        <w:spacing w:before="0" w:after="100" w:line="276" w:lineRule="auto"/>
      </w:pPr>
      <w:r>
        <w:rPr>
          <w:rFonts w:ascii="Calibri" w:hAnsi="Calibri"/>
          <w:i w:val="0"/>
          <w:color w:val="2D3748"/>
          <w:sz w:val="22"/>
        </w:rPr>
        <w:t>El presente informe documenta formalmente las razones técnicas, operativas y de ingeniería de software que motivaron la revisión y actualización de los diagramas del sistema (Diagrama de Entidad-Relación Conceptual, Diagrama de Entidad-Relación Lógico y Diagrama de Clases de Diseño).</w:t>
      </w:r>
    </w:p>
    <w:p>
      <w:pPr>
        <w:spacing w:before="0" w:after="100" w:line="276" w:lineRule="auto"/>
      </w:pPr>
      <w:r>
        <w:t>Bajo el ciclo de vida incremental e iterativo adoptado por la cátedra, revisamos los requerimientos antes de consolidar cada incremento. Para el Módulo 2, el informe del sistema define RF-10 a RF-18 para recepción de mensajes, reconocimiento de intención, identificación, consulta de cuenta, reclamos, atención humana, historial, cierre y avisos de vencimiento. La recepción de comprobantes está definida por separado en RF-19.</w:t>
      </w:r>
    </w:p>
    <w:p>
      <w:pPr>
        <w:spacing w:before="0" w:after="100" w:line="276" w:lineRule="auto"/>
      </w:pPr>
      <w:r>
        <w:rPr>
          <w:rFonts w:ascii="Calibri" w:hAnsi="Calibri"/>
          <w:i w:val="0"/>
          <w:color w:val="2D3748"/>
          <w:sz w:val="22"/>
        </w:rPr>
        <w:t>En estricto cumplimiento de los principios de diseño de software y trazabilidad (Requerimientos → Modelos de Análisis/Diseño → Código Fuente → Casos de Prueba), se procedió a adecuar y perfeccionar los diagramas antes de consolidar la arquitectura de implementación, asegurando un modelo robusto, libre de deuda técnica y normalizado en Tercera Forma Normal (3FN).</w:t>
      </w:r>
    </w:p>
    <w:p>
      <w:pPr>
        <w:keepNext/>
        <w:spacing w:before="320" w:after="120"/>
      </w:pPr>
      <w:r>
        <w:rPr>
          <w:rFonts w:ascii="Calibri" w:hAnsi="Calibri"/>
          <w:b/>
          <w:color w:val="1A365D"/>
          <w:sz w:val="30"/>
        </w:rPr>
        <w:t>2. Análisis de Discrepancias en Requerimientos y Causas del Refinamiento</w:t>
      </w:r>
    </w:p>
    <w:p>
      <w:pPr>
        <w:keepNext/>
        <w:spacing w:before="240" w:after="80"/>
      </w:pPr>
      <w:r>
        <w:t>2.1. Canalización y Persistencia de Avisos de Vencimiento (RF-18)</w:t>
      </w:r>
    </w:p>
    <w:p>
      <w:pPr>
        <w:spacing w:before="0" w:after="100" w:line="276" w:lineRule="auto"/>
      </w:pPr>
      <w:r>
        <w:rPr>
          <w:rFonts w:ascii="Calibri" w:hAnsi="Calibri"/>
          <w:i w:val="0"/>
          <w:color w:val="2D3748"/>
          <w:sz w:val="22"/>
        </w:rPr>
        <w:t>En la concepción original de la Fase 1, se asumía que los recordatorios de vencimiento de facturas y los avisos de corte eran meros 'mensajes salientes' enviados de manera efímera por el canal de WhatsApp, asimilándolos a la entidad genérica Mensaje.</w:t>
      </w:r>
    </w:p>
    <w:p>
      <w:pPr>
        <w:spacing w:before="0" w:after="100" w:line="276" w:lineRule="auto"/>
      </w:pPr>
      <w:r>
        <w:t>Hallazgo de Requerimiento: RF-18 solicita notificar por WhatsApp cuando un servicio esté próximo a vencer o ya vencido. Para conservar trazabilidad del proceso, se modeló cada aviso como un evento con estado de envío, intento y posible error:</w:t>
      </w:r>
    </w:p>
    <w:p>
      <w:pPr>
        <w:pStyle w:val="ListBullet"/>
        <w:spacing w:before="0" w:after="60" w:line="276" w:lineRule="auto"/>
      </w:pPr>
      <w:r>
        <w:rPr>
          <w:rFonts w:ascii="Calibri" w:hAnsi="Calibri"/>
          <w:b/>
          <w:color w:val="2D3748"/>
          <w:sz w:val="21"/>
        </w:rPr>
      </w:r>
      <w:r>
        <w:rPr>
          <w:rFonts w:ascii="Calibri" w:hAnsi="Calibri"/>
          <w:color w:val="2D3748"/>
          <w:sz w:val="21"/>
        </w:rPr>
        <w:t>Control de estados del aviso: pendiente, enviado o fallido.</w:t>
      </w:r>
    </w:p>
    <w:p>
      <w:pPr>
        <w:pStyle w:val="ListBullet"/>
        <w:spacing w:before="0" w:after="60" w:line="276" w:lineRule="auto"/>
      </w:pPr>
      <w:r>
        <w:rPr>
          <w:rFonts w:ascii="Calibri" w:hAnsi="Calibri"/>
          <w:b/>
          <w:color w:val="2D3748"/>
          <w:sz w:val="21"/>
        </w:rPr>
      </w:r>
      <w:r>
        <w:rPr>
          <w:rFonts w:ascii="Calibri" w:hAnsi="Calibri"/>
          <w:color w:val="2D3748"/>
          <w:sz w:val="21"/>
        </w:rPr>
        <w:t>Trazabilidad de reintentos y fecha/hora exacta del último intento para evitar saturación de la API.</w:t>
      </w:r>
    </w:p>
    <w:p>
      <w:pPr>
        <w:pStyle w:val="ListBullet"/>
        <w:spacing w:before="0" w:after="60" w:line="276" w:lineRule="auto"/>
      </w:pPr>
      <w:r>
        <w:rPr>
          <w:rFonts w:ascii="Calibri" w:hAnsi="Calibri"/>
          <w:b/>
          <w:color w:val="2D3748"/>
          <w:sz w:val="21"/>
        </w:rPr>
      </w:r>
      <w:r>
        <w:rPr>
          <w:rFonts w:ascii="Calibri" w:hAnsi="Calibri"/>
          <w:color w:val="2D3748"/>
          <w:sz w:val="21"/>
        </w:rPr>
        <w:t>Registro del detalle de error devuelto por la pasarela de Meta en caso de fallas de conectividad.</w:t>
      </w:r>
    </w:p>
    <w:p>
      <w:pPr>
        <w:pStyle w:val="ListBullet"/>
        <w:spacing w:before="0" w:after="60" w:line="276" w:lineRule="auto"/>
      </w:pPr>
      <w:r>
        <w:t>Unicidad compuesta [id_cuota, tipo] para conservar un registro por clase de aviso y cuota. Los intentos fallidos pueden reintentarse sobre el mismo registro.</w:t>
      </w:r>
    </w:p>
    <w:p>
      <w:pPr>
        <w:spacing w:before="0" w:after="100" w:line="276" w:lineRule="auto"/>
      </w:pPr>
      <w:r>
        <w:rPr>
          <w:rFonts w:ascii="Calibri" w:hAnsi="Calibri"/>
          <w:b/>
          <w:color w:val="2D3748"/>
          <w:sz w:val="22"/>
        </w:rPr>
        <w:t xml:space="preserve">Impacto: </w:t>
      </w:r>
      <w:r>
        <w:rPr>
          <w:rFonts w:ascii="Calibri" w:hAnsi="Calibri"/>
          <w:i w:val="0"/>
          <w:color w:val="2D3748"/>
          <w:sz w:val="22"/>
        </w:rPr>
        <w:t>Solución de Diseño: Se incorporó la entidad formal AvisoVencimiento en el DER Conceptual, DER Lógico y Diagrama de Clases, vinculada a Cuota (1 a N obligatoria) y canalizada opcionalmente a través de Conversacion y Mensaje.</w:t>
      </w:r>
    </w:p>
    <w:p>
      <w:pPr>
        <w:keepNext/>
        <w:spacing w:before="240" w:after="80"/>
      </w:pPr>
      <w:r>
        <w:t>2.2. Identificación del Cliente y Alta desde WhatsApp (RF-10 y RF-12)</w:t>
      </w:r>
    </w:p>
    <w:p>
      <w:pPr>
        <w:spacing w:before="0" w:after="100" w:line="276" w:lineRule="auto"/>
      </w:pPr>
      <w:r>
        <w:rPr>
          <w:rFonts w:ascii="Calibri" w:hAnsi="Calibri"/>
          <w:i w:val="0"/>
          <w:color w:val="2D3748"/>
          <w:sz w:val="22"/>
        </w:rPr>
        <w:t>El diseño preliminar estipulaba una relación obligatoria (1 a N) entre Cliente y Conversacion, exigiendo que todo chat entrante estuviera rígidamente atado a un id_cliente existente desde el momento en que se abría el hilo de WhatsApp.</w:t>
      </w:r>
    </w:p>
    <w:p>
      <w:pPr>
        <w:spacing w:before="0" w:after="100" w:line="276" w:lineRule="auto"/>
      </w:pPr>
      <w:r>
        <w:rPr>
          <w:rFonts w:ascii="Calibri" w:hAnsi="Calibri"/>
          <w:b/>
          <w:color w:val="2D3748"/>
          <w:sz w:val="22"/>
        </w:rPr>
        <w:t xml:space="preserve">Hallazgo de Requerimiento: </w:t>
      </w:r>
      <w:r>
        <w:rPr>
          <w:rFonts w:ascii="Calibri" w:hAnsi="Calibri"/>
          <w:i w:val="0"/>
          <w:color w:val="2D3748"/>
          <w:sz w:val="22"/>
        </w:rPr>
        <w:t>En la realidad operativa del sistema, cualquier persona puede enviar un mensaje al número de la empresa. Obligar a que id_cliente fuera no nulo generaba dos problemas críticos de análisis:</w:t>
      </w:r>
    </w:p>
    <w:p>
      <w:pPr>
        <w:pStyle w:val="ListBullet"/>
        <w:spacing w:before="0" w:after="60" w:line="276" w:lineRule="auto"/>
      </w:pPr>
      <w:r>
        <w:rPr>
          <w:rFonts w:ascii="Calibri" w:hAnsi="Calibri"/>
          <w:b/>
          <w:color w:val="2D3748"/>
          <w:sz w:val="21"/>
        </w:rPr>
        <w:t xml:space="preserve">1. </w:t>
      </w:r>
      <w:r>
        <w:rPr>
          <w:rFonts w:ascii="Calibri" w:hAnsi="Calibri"/>
          <w:color w:val="2D3748"/>
          <w:sz w:val="21"/>
        </w:rPr>
        <w:t>Imposibilidad de atender consultas de prospectos o nuevos usuarios que aún no son clientes (RF-10).</w:t>
      </w:r>
    </w:p>
    <w:p>
      <w:pPr>
        <w:pStyle w:val="ListBullet"/>
        <w:spacing w:before="0" w:after="60" w:line="276" w:lineRule="auto"/>
      </w:pPr>
      <w:r>
        <w:t>2. Imposibilidad de identificar por DNI a clientes registrados cuyo número no coincide y de ofrecer desde el chat el alta y la contratación a nuevos clientes (RF-12).</w:t>
      </w:r>
    </w:p>
    <w:p>
      <w:pPr>
        <w:spacing w:before="0" w:after="100" w:line="276" w:lineRule="auto"/>
      </w:pPr>
      <w:r>
        <w:rPr>
          <w:rFonts w:ascii="Calibri" w:hAnsi="Calibri"/>
          <w:b/>
          <w:color w:val="2D3748"/>
          <w:sz w:val="22"/>
        </w:rPr>
        <w:t xml:space="preserve">Impacto: </w:t>
      </w:r>
      <w:r>
        <w:rPr>
          <w:rFonts w:ascii="Calibri" w:hAnsi="Calibri"/>
          <w:i w:val="0"/>
          <w:color w:val="2D3748"/>
          <w:sz w:val="22"/>
        </w:rPr>
        <w:t>Solución de Diseño: Se flexibilizó id_cliente como atributo opcional (nullable) en conversacion, y se incorporó el atributo estructurado datos_registro (JSON) para almacenar la sesión interactiva del alta de clientes, manteniendo número de teléfono de WhatsApp como identificador de sesión y vinculando el id_cliente sólo cuando la identidad es confirmada.</w:t>
      </w:r>
    </w:p>
    <w:p>
      <w:pPr>
        <w:keepNext/>
        <w:spacing w:before="240" w:after="80"/>
      </w:pPr>
      <w:r>
        <w:t>2.3. Estado del Flujo y Reconocimiento de Intención (RF-11 y RF-15)</w:t>
      </w:r>
    </w:p>
    <w:p>
      <w:pPr>
        <w:spacing w:before="0" w:after="100" w:line="276" w:lineRule="auto"/>
      </w:pPr>
      <w:r>
        <w:rPr>
          <w:rFonts w:ascii="Calibri" w:hAnsi="Calibri"/>
          <w:i w:val="0"/>
          <w:color w:val="2D3748"/>
          <w:sz w:val="22"/>
        </w:rPr>
        <w:t>El modelado inicial únicamente preveía estados globales de conversación (abierta, cerrada). No obstante, el funcionamiento de un chatbot con procesamiento de lenguaje natural y menú estructurado exige almacenar en la base de datos el punto exacto de la interacción en el que se encuentra el usuario.</w:t>
      </w:r>
    </w:p>
    <w:p>
      <w:pPr>
        <w:spacing w:before="0" w:after="100" w:line="276" w:lineRule="auto"/>
      </w:pPr>
      <w:r>
        <w:t>Hallazgo de Requerimiento: RF-11 pide reconocer la intención en lenguaje natural, solicitar reformulación cuando no se comprende y derivar a una persona tras el segundo fallo. La conversación también debe conservar el paso actual del alta o gestión; por eso se persistieron el estado del flujo y el contador de fallos.</w:t>
      </w:r>
    </w:p>
    <w:p>
      <w:pPr>
        <w:spacing w:before="0" w:after="100" w:line="276" w:lineRule="auto"/>
      </w:pPr>
      <w:r>
        <w:rPr>
          <w:rFonts w:ascii="Calibri" w:hAnsi="Calibri"/>
          <w:b/>
          <w:color w:val="2D3748"/>
          <w:sz w:val="22"/>
        </w:rPr>
        <w:t xml:space="preserve">Impacto: </w:t>
      </w:r>
      <w:r>
        <w:rPr>
          <w:rFonts w:ascii="Calibri" w:hAnsi="Calibri"/>
          <w:i w:val="0"/>
          <w:color w:val="2D3748"/>
          <w:sz w:val="22"/>
        </w:rPr>
        <w:t>Solución de Diseño: Se agregaron formalmente a la entidad conversacion los atributos estado_flujo (control de pasos de árbol) e intentos_intencion (contador de fallos para derivación a soporte).</w:t>
      </w:r>
    </w:p>
    <w:p>
      <w:pPr>
        <w:keepNext/>
        <w:spacing w:before="240" w:after="80"/>
      </w:pPr>
      <w:r>
        <w:t>2.4. Recepción de Comprobantes y Brechas de OCR y Validación (RF-19 a RF-26)</w:t>
      </w:r>
    </w:p>
    <w:p>
      <w:pPr>
        <w:spacing w:before="0" w:after="100" w:line="276" w:lineRule="auto"/>
      </w:pPr>
      <w:r>
        <w:rPr>
          <w:rFonts w:ascii="Calibri" w:hAnsi="Calibri"/>
          <w:i w:val="0"/>
          <w:color w:val="2D3748"/>
          <w:sz w:val="22"/>
        </w:rPr>
        <w:t>El diseño preliminar asociaba de manera directa un pago a una conversación sin mecanismos de verificación de duplicados digitales ni trazabilidad analítica de lectura OCR.</w:t>
      </w:r>
    </w:p>
    <w:p>
      <w:pPr>
        <w:spacing w:before="0" w:after="100" w:line="276" w:lineRule="auto"/>
      </w:pPr>
      <w:r>
        <w:t>Hallazgo de Requerimiento: El envío de imagen o PDF está definido por RF-19. RF-20 a RF-26 incluyen OCR, reenvío si falla la lectura, detección de duplicados, conciliación, aprobación o rechazo y notificación del resultado. La tabla actual tiene campos previstos para ese trabajo, pero recibir el archivo y dejarlo pendiente no equivale a completar ese flujo.</w:t>
      </w:r>
    </w:p>
    <w:p>
      <w:pPr>
        <w:pStyle w:val="ListBullet"/>
        <w:spacing w:before="0" w:after="60" w:line="276" w:lineRule="auto"/>
      </w:pPr>
      <w:r>
        <w:rPr>
          <w:rFonts w:ascii="Calibri" w:hAnsi="Calibri"/>
          <w:b/>
          <w:color w:val="2D3748"/>
          <w:sz w:val="21"/>
        </w:rPr>
      </w:r>
      <w:r>
        <w:rPr>
          <w:rFonts w:ascii="Calibri" w:hAnsi="Calibri"/>
          <w:color w:val="2D3748"/>
          <w:sz w:val="21"/>
        </w:rPr>
        <w:t>Cálculo y almacenamiento del hash criptográfico SHA-256 del archivo binario con índice UNIQUE a nivel de base de datos.</w:t>
      </w:r>
    </w:p>
    <w:p>
      <w:pPr>
        <w:pStyle w:val="ListBullet"/>
        <w:spacing w:before="0" w:after="60" w:line="276" w:lineRule="auto"/>
      </w:pPr>
      <w:r>
        <w:rPr>
          <w:rFonts w:ascii="Calibri" w:hAnsi="Calibri"/>
          <w:b/>
          <w:color w:val="2D3748"/>
          <w:sz w:val="21"/>
        </w:rPr>
      </w:r>
      <w:r>
        <w:rPr>
          <w:rFonts w:ascii="Calibri" w:hAnsi="Calibri"/>
          <w:color w:val="2D3748"/>
          <w:sz w:val="21"/>
        </w:rPr>
        <w:t>Persistencia desacoplada del resultado OCR: monto extraído, fecha leída, número de operación y porcentaje de confianza probabilística.</w:t>
      </w:r>
    </w:p>
    <w:p>
      <w:pPr>
        <w:pStyle w:val="ListBullet"/>
        <w:spacing w:before="0" w:after="60" w:line="276" w:lineRule="auto"/>
      </w:pPr>
      <w:r>
        <w:rPr>
          <w:rFonts w:ascii="Calibri" w:hAnsi="Calibri"/>
          <w:b/>
          <w:color w:val="2D3748"/>
          <w:sz w:val="21"/>
        </w:rPr>
      </w:r>
      <w:r>
        <w:rPr>
          <w:rFonts w:ascii="Calibri" w:hAnsi="Calibri"/>
          <w:color w:val="2D3748"/>
          <w:sz w:val="21"/>
        </w:rPr>
        <w:t>Relación de integridad referencial optativa (0..1 a 1) entre Comprobante y Pago: no todo pago requiere un comprobante WhatsApp (pudo realizarse en efectivo en oficina), pero cada comprobante validado sólo puede acreditar a lo sumo un pago contable.</w:t>
      </w:r>
    </w:p>
    <w:p>
      <w:pPr>
        <w:keepNext/>
        <w:spacing w:before="240" w:after="80"/>
      </w:pPr>
      <w:r>
        <w:t>2.5. Notas Internas de Tickets Pendientes (RF-32)</w:t>
      </w:r>
    </w:p>
    <w:p>
      <w:pPr>
        <w:spacing w:before="0" w:after="100" w:line="276" w:lineRule="auto"/>
      </w:pPr>
      <w:r>
        <w:t>RF-32 solicita que empleados y administradores agreguen notas internas a los tickets. El código vigente todavía no tiene modelo, migración ni flujo para NotaInterna; por eso se quitó del DER lógico como si estuviera persistida, pero se conserva como requerimiento pendiente. El historial de WhatsApp no reemplaza una nota interna del ticket porque tiene otro propósito y audiencia.</w:t>
      </w:r>
    </w:p>
    <w:p>
      <w:pPr>
        <w:keepNext/>
        <w:pageBreakBefore/>
        <w:spacing w:before="320" w:after="120"/>
      </w:pPr>
      <w:r>
        <w:rPr>
          <w:rFonts w:ascii="Calibri" w:hAnsi="Calibri"/>
          <w:b/>
          <w:color w:val="1A365D"/>
          <w:sz w:val="30"/>
        </w:rPr>
        <w:t>3. Inventario de Modificaciones Concretas en los Diagramas</w:t>
      </w:r>
    </w:p>
    <w:tbl>
      <w:tblPr>
        <w:tblW w:type="auto" w:w="0"/>
        <w:jc w:val="center"/>
        <w:tblLayout w:type="fixed"/>
        <w:tblLook w:firstColumn="1" w:firstRow="1" w:lastColumn="0" w:lastRow="0" w:noHBand="0" w:noVBand="1" w:val="04A0"/>
      </w:tblPr>
      <w:tblGrid>
        <w:gridCol w:w="2340"/>
        <w:gridCol w:w="2340"/>
        <w:gridCol w:w="2340"/>
        <w:gridCol w:w="2340"/>
      </w:tblGrid>
      <w:tr>
        <w:trPr>
          <w:tblHeader w:val="true"/>
          <w:cantSplit/>
          <w:tblHeader w:val="true"/>
          <w:cantSplit/>
          <w:tblHeader w:val="true"/>
          <w:cantSplit/>
        </w:trPr>
        <w:tc>
          <w:tcPr>
            <w:tcW w:type="dxa" w:w="1728"/>
            <w:shd w:fill="1A365D"/>
          </w:tcPr>
          <w:p>
            <w:pPr>
              <w:spacing w:after="20"/>
            </w:pPr>
            <w:r>
              <w:rPr>
                <w:rFonts w:ascii="Calibri" w:hAnsi="Calibri"/>
                <w:b/>
                <w:color w:val="FFFFFF"/>
                <w:sz w:val="18"/>
              </w:rPr>
              <w:t>Diagrama</w:t>
            </w:r>
          </w:p>
        </w:tc>
        <w:tc>
          <w:tcPr>
            <w:tcW w:type="dxa" w:w="2232"/>
            <w:shd w:fill="1A365D"/>
          </w:tcPr>
          <w:p>
            <w:pPr>
              <w:spacing w:after="20"/>
            </w:pPr>
            <w:r>
              <w:rPr>
                <w:rFonts w:ascii="Calibri" w:hAnsi="Calibri"/>
                <w:b/>
                <w:color w:val="FFFFFF"/>
                <w:sz w:val="18"/>
              </w:rPr>
              <w:t>Elemento Modificado</w:t>
            </w:r>
          </w:p>
        </w:tc>
        <w:tc>
          <w:tcPr>
            <w:tcW w:type="dxa" w:w="1944"/>
            <w:shd w:fill="1A365D"/>
          </w:tcPr>
          <w:p>
            <w:pPr>
              <w:spacing w:after="20"/>
            </w:pPr>
            <w:r>
              <w:rPr>
                <w:rFonts w:ascii="Calibri" w:hAnsi="Calibri"/>
                <w:b/>
                <w:color w:val="FFFFFF"/>
                <w:sz w:val="18"/>
              </w:rPr>
              <w:t>Tipo de Modificación</w:t>
            </w:r>
          </w:p>
        </w:tc>
        <w:tc>
          <w:tcPr>
            <w:tcW w:type="dxa" w:w="3456"/>
            <w:shd w:fill="1A365D"/>
          </w:tcPr>
          <w:p>
            <w:pPr>
              <w:spacing w:after="20"/>
            </w:pPr>
            <w:r>
              <w:rPr>
                <w:rFonts w:ascii="Calibri" w:hAnsi="Calibri"/>
                <w:b/>
                <w:color w:val="FFFFFF"/>
                <w:sz w:val="18"/>
              </w:rPr>
              <w:t>Justificación / RF Asociado</w:t>
            </w:r>
          </w:p>
        </w:tc>
      </w:tr>
      <w:tr>
        <w:trPr>
          <w:cantSplit/>
          <w:cantSplit/>
          <w:cantSplit/>
        </w:trPr>
        <w:tc>
          <w:tcPr>
            <w:tcW w:type="dxa" w:w="1728"/>
            <w:shd w:fill="F7FAFC"/>
          </w:tcPr>
          <w:p>
            <w:pPr>
              <w:spacing w:before="40" w:after="20"/>
            </w:pPr>
            <w:r>
              <w:rPr>
                <w:rFonts w:ascii="Calibri" w:hAnsi="Calibri"/>
                <w:b/>
                <w:color w:val="2D3748"/>
                <w:sz w:val="18"/>
              </w:rPr>
              <w:t>DER Conceptual</w:t>
            </w:r>
          </w:p>
        </w:tc>
        <w:tc>
          <w:tcPr>
            <w:tcW w:type="dxa" w:w="2232"/>
          </w:tcPr>
          <w:p>
            <w:pPr>
              <w:spacing w:before="40" w:after="20"/>
            </w:pPr>
            <w:r>
              <w:rPr>
                <w:rFonts w:ascii="Calibri" w:hAnsi="Calibri"/>
                <w:color w:val="2D3748"/>
                <w:sz w:val="18"/>
              </w:rPr>
              <w:t>Entidad AVISO DE VENCIMIENTO</w:t>
            </w:r>
          </w:p>
        </w:tc>
        <w:tc>
          <w:tcPr>
            <w:tcW w:type="dxa" w:w="1944"/>
          </w:tcPr>
          <w:p>
            <w:pPr>
              <w:spacing w:before="40" w:after="20"/>
            </w:pPr>
            <w:r>
              <w:rPr>
                <w:rFonts w:ascii="Calibri" w:hAnsi="Calibri"/>
                <w:color w:val="2D3748"/>
                <w:sz w:val="18"/>
              </w:rPr>
              <w:t>Incorporación</w:t>
            </w:r>
          </w:p>
        </w:tc>
        <w:tc>
          <w:tcPr>
            <w:tcW w:type="dxa" w:w="3456"/>
          </w:tcPr>
          <w:p>
            <w:pPr>
              <w:spacing w:before="40" w:after="20"/>
            </w:pPr>
            <w:r>
              <w:rPr>
                <w:sz w:val="18"/>
              </w:rPr>
              <w:t>RF-18: entidad para auditar el aviso preventivo o por mora y su resultado de envío.</w:t>
            </w:r>
          </w:p>
        </w:tc>
      </w:tr>
      <w:tr>
        <w:trPr>
          <w:cantSplit/>
          <w:cantSplit/>
          <w:cantSplit/>
        </w:trPr>
        <w:tc>
          <w:tcPr>
            <w:tcW w:type="dxa" w:w="1728"/>
            <w:shd w:fill="F7FAFC"/>
          </w:tcPr>
          <w:p>
            <w:pPr>
              <w:spacing w:before="40" w:after="20"/>
            </w:pPr>
            <w:r>
              <w:rPr>
                <w:rFonts w:ascii="Calibri" w:hAnsi="Calibri"/>
                <w:b/>
                <w:color w:val="2D3748"/>
                <w:sz w:val="18"/>
              </w:rPr>
              <w:t>DER Conceptual</w:t>
            </w:r>
          </w:p>
        </w:tc>
        <w:tc>
          <w:tcPr>
            <w:tcW w:type="dxa" w:w="2232"/>
          </w:tcPr>
          <w:p>
            <w:pPr>
              <w:spacing w:before="40" w:after="20"/>
            </w:pPr>
            <w:r>
              <w:rPr>
                <w:rFonts w:ascii="Calibri" w:hAnsi="Calibri"/>
                <w:color w:val="2D3748"/>
                <w:sz w:val="18"/>
              </w:rPr>
              <w:t>Relación CUOTA — AVISO</w:t>
            </w:r>
          </w:p>
        </w:tc>
        <w:tc>
          <w:tcPr>
            <w:tcW w:type="dxa" w:w="1944"/>
          </w:tcPr>
          <w:p>
            <w:pPr>
              <w:spacing w:before="40" w:after="20"/>
            </w:pPr>
            <w:r>
              <w:rPr>
                <w:rFonts w:ascii="Calibri" w:hAnsi="Calibri"/>
                <w:color w:val="2D3748"/>
                <w:sz w:val="18"/>
              </w:rPr>
              <w:t>Nueva relación 1:N</w:t>
            </w:r>
          </w:p>
        </w:tc>
        <w:tc>
          <w:tcPr>
            <w:tcW w:type="dxa" w:w="3456"/>
          </w:tcPr>
          <w:p>
            <w:pPr>
              <w:spacing w:before="40" w:after="20"/>
            </w:pPr>
            <w:r>
              <w:rPr>
                <w:rFonts w:ascii="Calibri" w:hAnsi="Calibri"/>
                <w:color w:val="2D3748"/>
                <w:sz w:val="18"/>
              </w:rPr>
              <w:t>Una cuota genera avisos preventivos y por mora; el aviso audita el estado del recordatorio.</w:t>
            </w:r>
          </w:p>
        </w:tc>
      </w:tr>
      <w:tr>
        <w:trPr>
          <w:cantSplit/>
          <w:cantSplit/>
          <w:cantSplit/>
        </w:trPr>
        <w:tc>
          <w:tcPr>
            <w:tcW w:type="dxa" w:w="1728"/>
            <w:shd w:fill="F7FAFC"/>
          </w:tcPr>
          <w:p>
            <w:pPr>
              <w:spacing w:before="40" w:after="20"/>
            </w:pPr>
            <w:r>
              <w:rPr>
                <w:rFonts w:ascii="Calibri" w:hAnsi="Calibri"/>
                <w:b/>
                <w:color w:val="2D3748"/>
                <w:sz w:val="18"/>
              </w:rPr>
              <w:t>DER Conceptual</w:t>
            </w:r>
          </w:p>
        </w:tc>
        <w:tc>
          <w:tcPr>
            <w:tcW w:type="dxa" w:w="2232"/>
          </w:tcPr>
          <w:p>
            <w:pPr>
              <w:spacing w:before="40" w:after="20"/>
            </w:pPr>
            <w:r>
              <w:rPr>
                <w:rFonts w:ascii="Calibri" w:hAnsi="Calibri"/>
                <w:color w:val="2D3748"/>
                <w:sz w:val="18"/>
              </w:rPr>
              <w:t>Relación CONVERSACIÓN — AVISO</w:t>
            </w:r>
          </w:p>
        </w:tc>
        <w:tc>
          <w:tcPr>
            <w:tcW w:type="dxa" w:w="1944"/>
          </w:tcPr>
          <w:p>
            <w:pPr>
              <w:spacing w:before="40" w:after="20"/>
            </w:pPr>
            <w:r>
              <w:rPr>
                <w:rFonts w:ascii="Calibri" w:hAnsi="Calibri"/>
                <w:color w:val="2D3748"/>
                <w:sz w:val="18"/>
              </w:rPr>
              <w:t>Nueva relación 0..1:N</w:t>
            </w:r>
          </w:p>
        </w:tc>
        <w:tc>
          <w:tcPr>
            <w:tcW w:type="dxa" w:w="3456"/>
          </w:tcPr>
          <w:p>
            <w:pPr>
              <w:spacing w:before="40" w:after="20"/>
            </w:pPr>
            <w:r>
              <w:rPr>
                <w:rFonts w:ascii="Calibri" w:hAnsi="Calibri"/>
                <w:color w:val="2D3748"/>
                <w:sz w:val="18"/>
              </w:rPr>
              <w:t>Canalización opcional del aviso mediante el chat de WhatsApp del cliente.</w:t>
            </w:r>
          </w:p>
        </w:tc>
      </w:tr>
      <w:tr>
        <w:trPr>
          <w:cantSplit/>
          <w:cantSplit/>
          <w:cantSplit/>
        </w:trPr>
        <w:tc>
          <w:tcPr>
            <w:tcW w:type="dxa" w:w="1728"/>
            <w:shd w:fill="F7FAFC"/>
          </w:tcPr>
          <w:p>
            <w:pPr>
              <w:spacing w:before="40" w:after="20"/>
            </w:pPr>
            <w:r>
              <w:rPr>
                <w:rFonts w:ascii="Calibri" w:hAnsi="Calibri"/>
                <w:b/>
                <w:color w:val="2D3748"/>
                <w:sz w:val="18"/>
              </w:rPr>
              <w:t>DER Lógico</w:t>
            </w:r>
          </w:p>
        </w:tc>
        <w:tc>
          <w:tcPr>
            <w:tcW w:type="dxa" w:w="2232"/>
          </w:tcPr>
          <w:p>
            <w:pPr>
              <w:spacing w:before="40" w:after="20"/>
            </w:pPr>
            <w:r>
              <w:rPr>
                <w:rFonts w:ascii="Calibri" w:hAnsi="Calibri"/>
                <w:color w:val="2D3748"/>
                <w:sz w:val="18"/>
              </w:rPr>
              <w:t>Tabla aviso_vencimiento</w:t>
            </w:r>
          </w:p>
        </w:tc>
        <w:tc>
          <w:tcPr>
            <w:tcW w:type="dxa" w:w="1944"/>
          </w:tcPr>
          <w:p>
            <w:pPr>
              <w:spacing w:before="40" w:after="20"/>
            </w:pPr>
            <w:r>
              <w:rPr>
                <w:rFonts w:ascii="Calibri" w:hAnsi="Calibri"/>
                <w:color w:val="2D3748"/>
                <w:sz w:val="18"/>
              </w:rPr>
              <w:t>Nueva tabla en 3FN</w:t>
            </w:r>
          </w:p>
        </w:tc>
        <w:tc>
          <w:tcPr>
            <w:tcW w:type="dxa" w:w="3456"/>
          </w:tcPr>
          <w:p>
            <w:pPr>
              <w:spacing w:before="40" w:after="20"/>
            </w:pPr>
            <w:r>
              <w:rPr>
                <w:rFonts w:ascii="Calibri" w:hAnsi="Calibri"/>
                <w:color w:val="2D3748"/>
                <w:sz w:val="18"/>
              </w:rPr>
              <w:t>Estructura completa con PK, FK a cuota, FKs opcionales a conversación/mensaje y UNIQUE compuesto.</w:t>
            </w:r>
          </w:p>
        </w:tc>
      </w:tr>
      <w:tr>
        <w:trPr>
          <w:cantSplit/>
          <w:cantSplit/>
          <w:cantSplit/>
        </w:trPr>
        <w:tc>
          <w:tcPr>
            <w:tcW w:type="dxa" w:w="1728"/>
            <w:shd w:fill="F7FAFC"/>
          </w:tcPr>
          <w:p>
            <w:pPr>
              <w:spacing w:before="40" w:after="20"/>
            </w:pPr>
            <w:r>
              <w:rPr>
                <w:rFonts w:ascii="Calibri" w:hAnsi="Calibri"/>
                <w:b/>
                <w:color w:val="2D3748"/>
                <w:sz w:val="18"/>
              </w:rPr>
              <w:t>DER Lógico</w:t>
            </w:r>
          </w:p>
        </w:tc>
        <w:tc>
          <w:tcPr>
            <w:tcW w:type="dxa" w:w="2232"/>
          </w:tcPr>
          <w:p>
            <w:pPr>
              <w:spacing w:before="40" w:after="20"/>
            </w:pPr>
            <w:r>
              <w:rPr>
                <w:rFonts w:ascii="Calibri" w:hAnsi="Calibri"/>
                <w:color w:val="2D3748"/>
                <w:sz w:val="18"/>
              </w:rPr>
              <w:t>Tabla conversacion</w:t>
            </w:r>
          </w:p>
        </w:tc>
        <w:tc>
          <w:tcPr>
            <w:tcW w:type="dxa" w:w="1944"/>
          </w:tcPr>
          <w:p>
            <w:pPr>
              <w:spacing w:before="40" w:after="20"/>
            </w:pPr>
            <w:r>
              <w:rPr>
                <w:rFonts w:ascii="Calibri" w:hAnsi="Calibri"/>
                <w:color w:val="2D3748"/>
                <w:sz w:val="18"/>
              </w:rPr>
              <w:t>Modificación de columnas</w:t>
            </w:r>
          </w:p>
        </w:tc>
        <w:tc>
          <w:tcPr>
            <w:tcW w:type="dxa" w:w="3456"/>
          </w:tcPr>
          <w:p>
            <w:pPr>
              <w:spacing w:before="40" w:after="20"/>
            </w:pPr>
            <w:r>
              <w:rPr>
                <w:rFonts w:ascii="Calibri" w:hAnsi="Calibri"/>
                <w:color w:val="2D3748"/>
                <w:sz w:val="18"/>
              </w:rPr>
              <w:t>id_cliente como nullable; incorporación de estado_flujo, intentos_intencion y datos_registro (JSON).</w:t>
            </w:r>
          </w:p>
        </w:tc>
      </w:tr>
      <w:tr>
        <w:trPr>
          <w:cantSplit/>
          <w:cantSplit/>
          <w:cantSplit/>
        </w:trPr>
        <w:tc>
          <w:tcPr>
            <w:tcW w:type="dxa" w:w="1728"/>
            <w:shd w:fill="F7FAFC"/>
          </w:tcPr>
          <w:p>
            <w:pPr>
              <w:spacing w:before="40" w:after="20"/>
            </w:pPr>
            <w:r>
              <w:rPr>
                <w:rFonts w:ascii="Calibri" w:hAnsi="Calibri"/>
                <w:b/>
                <w:color w:val="2D3748"/>
                <w:sz w:val="18"/>
              </w:rPr>
              <w:t>DER Lógico</w:t>
            </w:r>
          </w:p>
        </w:tc>
        <w:tc>
          <w:tcPr>
            <w:tcW w:type="dxa" w:w="2232"/>
          </w:tcPr>
          <w:p>
            <w:pPr>
              <w:spacing w:before="40" w:after="20"/>
            </w:pPr>
            <w:r>
              <w:rPr>
                <w:rFonts w:ascii="Calibri" w:hAnsi="Calibri"/>
                <w:color w:val="2D3748"/>
                <w:sz w:val="18"/>
              </w:rPr>
              <w:t>Tabla comprobante</w:t>
            </w:r>
          </w:p>
        </w:tc>
        <w:tc>
          <w:tcPr>
            <w:tcW w:type="dxa" w:w="1944"/>
          </w:tcPr>
          <w:p>
            <w:pPr>
              <w:spacing w:before="40" w:after="20"/>
            </w:pPr>
            <w:r>
              <w:rPr>
                <w:rFonts w:ascii="Calibri" w:hAnsi="Calibri"/>
                <w:color w:val="2D3748"/>
                <w:sz w:val="18"/>
              </w:rPr>
              <w:t>Atributos de auditoría</w:t>
            </w:r>
          </w:p>
        </w:tc>
        <w:tc>
          <w:tcPr>
            <w:tcW w:type="dxa" w:w="3456"/>
          </w:tcPr>
          <w:p>
            <w:pPr>
              <w:spacing w:before="40" w:after="20"/>
            </w:pPr>
            <w:r>
              <w:rPr>
                <w:sz w:val="18"/>
              </w:rPr>
              <w:t>RF-19 a RF-26: esquema con campos previstos para OCR, operación y hash; el código aún no calcula el hash ni ejecuta OCR o conciliación.</w:t>
            </w:r>
          </w:p>
        </w:tc>
      </w:tr>
      <w:tr>
        <w:trPr>
          <w:cantSplit/>
          <w:cantSplit/>
          <w:cantSplit/>
        </w:trPr>
        <w:tc>
          <w:tcPr>
            <w:tcW w:type="dxa" w:w="1728"/>
            <w:shd w:fill="F7FAFC"/>
          </w:tcPr>
          <w:p>
            <w:pPr>
              <w:spacing w:before="40" w:after="20"/>
            </w:pPr>
            <w:r>
              <w:rPr>
                <w:rFonts w:ascii="Calibri" w:hAnsi="Calibri"/>
                <w:b/>
                <w:color w:val="2D3748"/>
                <w:sz w:val="18"/>
              </w:rPr>
              <w:t>DER Lógico</w:t>
            </w:r>
          </w:p>
        </w:tc>
        <w:tc>
          <w:tcPr>
            <w:tcW w:type="dxa" w:w="2232"/>
          </w:tcPr>
          <w:p>
            <w:pPr>
              <w:spacing w:before="40" w:after="20"/>
            </w:pPr>
            <w:r>
              <w:rPr>
                <w:rFonts w:ascii="Calibri" w:hAnsi="Calibri"/>
                <w:color w:val="2D3748"/>
                <w:sz w:val="18"/>
              </w:rPr>
              <w:t>Tabla pago</w:t>
            </w:r>
          </w:p>
        </w:tc>
        <w:tc>
          <w:tcPr>
            <w:tcW w:type="dxa" w:w="1944"/>
          </w:tcPr>
          <w:p>
            <w:pPr>
              <w:spacing w:before="40" w:after="20"/>
            </w:pPr>
            <w:r>
              <w:rPr>
                <w:rFonts w:ascii="Calibri" w:hAnsi="Calibri"/>
                <w:color w:val="2D3748"/>
                <w:sz w:val="18"/>
              </w:rPr>
              <w:t>Integridad referencial</w:t>
            </w:r>
          </w:p>
        </w:tc>
        <w:tc>
          <w:tcPr>
            <w:tcW w:type="dxa" w:w="3456"/>
          </w:tcPr>
          <w:p>
            <w:pPr>
              <w:spacing w:before="40" w:after="20"/>
            </w:pPr>
            <w:r>
              <w:rPr>
                <w:rFonts w:ascii="Calibri" w:hAnsi="Calibri"/>
                <w:color w:val="2D3748"/>
                <w:sz w:val="18"/>
              </w:rPr>
              <w:t>id_comprobante nullable con constraint UNIQUE (asociación 0..1 a 1 comprobante-pago).</w:t>
            </w:r>
          </w:p>
        </w:tc>
      </w:tr>
      <w:tr>
        <w:trPr>
          <w:cantSplit/>
          <w:cantSplit/>
          <w:cantSplit/>
        </w:trPr>
        <w:tc>
          <w:tcPr>
            <w:tcW w:type="dxa" w:w="1728"/>
            <w:shd w:fill="F7FAFC"/>
          </w:tcPr>
          <w:p>
            <w:pPr>
              <w:spacing w:before="40" w:after="20"/>
            </w:pPr>
            <w:r>
              <w:rPr>
                <w:rFonts w:ascii="Calibri" w:hAnsi="Calibri"/>
                <w:b/>
                <w:color w:val="2D3748"/>
                <w:sz w:val="18"/>
              </w:rPr>
              <w:t>Diagrama de Clases</w:t>
            </w:r>
          </w:p>
        </w:tc>
        <w:tc>
          <w:tcPr>
            <w:tcW w:type="dxa" w:w="2232"/>
          </w:tcPr>
          <w:p>
            <w:pPr>
              <w:spacing w:before="40" w:after="20"/>
            </w:pPr>
            <w:r>
              <w:rPr>
                <w:rFonts w:ascii="Calibri" w:hAnsi="Calibri"/>
                <w:color w:val="2D3748"/>
                <w:sz w:val="18"/>
              </w:rPr>
              <w:t>Clase AvisoVencimiento</w:t>
            </w:r>
          </w:p>
        </w:tc>
        <w:tc>
          <w:tcPr>
            <w:tcW w:type="dxa" w:w="1944"/>
          </w:tcPr>
          <w:p>
            <w:pPr>
              <w:spacing w:before="40" w:after="20"/>
            </w:pPr>
            <w:r>
              <w:rPr>
                <w:rFonts w:ascii="Calibri" w:hAnsi="Calibri"/>
                <w:color w:val="2D3748"/>
                <w:sz w:val="18"/>
              </w:rPr>
              <w:t>Nueva clase de entidad</w:t>
            </w:r>
          </w:p>
        </w:tc>
        <w:tc>
          <w:tcPr>
            <w:tcW w:type="dxa" w:w="3456"/>
          </w:tcPr>
          <w:p>
            <w:pPr>
              <w:spacing w:before="40" w:after="20"/>
            </w:pPr>
            <w:r>
              <w:rPr>
                <w:sz w:val="18"/>
              </w:rPr>
              <w:t>Atributos y relaciones cotejados con el modelo Eloquent y la migración vigente.</w:t>
            </w:r>
          </w:p>
        </w:tc>
      </w:tr>
      <w:tr>
        <w:trPr>
          <w:cantSplit/>
          <w:cantSplit/>
          <w:cantSplit/>
        </w:trPr>
        <w:tc>
          <w:tcPr>
            <w:tcW w:type="dxa" w:w="1728"/>
            <w:shd w:fill="F7FAFC"/>
          </w:tcPr>
          <w:p>
            <w:pPr>
              <w:spacing w:before="40" w:after="20"/>
            </w:pPr>
            <w:r>
              <w:rPr>
                <w:rFonts w:ascii="Calibri" w:hAnsi="Calibri"/>
                <w:b/>
                <w:color w:val="2D3748"/>
                <w:sz w:val="18"/>
              </w:rPr>
              <w:t>Diagrama de Clases</w:t>
            </w:r>
          </w:p>
        </w:tc>
        <w:tc>
          <w:tcPr>
            <w:tcW w:type="dxa" w:w="2232"/>
          </w:tcPr>
          <w:p>
            <w:pPr>
              <w:spacing w:before="40" w:after="20"/>
            </w:pPr>
            <w:r>
              <w:rPr>
                <w:rFonts w:ascii="Calibri" w:hAnsi="Calibri"/>
                <w:color w:val="2D3748"/>
                <w:sz w:val="18"/>
              </w:rPr>
              <w:t>Clase Conversacion</w:t>
            </w:r>
          </w:p>
        </w:tc>
        <w:tc>
          <w:tcPr>
            <w:tcW w:type="dxa" w:w="1944"/>
          </w:tcPr>
          <w:p>
            <w:pPr>
              <w:spacing w:before="40" w:after="20"/>
            </w:pPr>
            <w:r>
              <w:rPr>
                <w:rFonts w:ascii="Calibri" w:hAnsi="Calibri"/>
                <w:color w:val="2D3748"/>
                <w:sz w:val="18"/>
              </w:rPr>
              <w:t>Actualización de miembros</w:t>
            </w:r>
          </w:p>
        </w:tc>
        <w:tc>
          <w:tcPr>
            <w:tcW w:type="dxa" w:w="3456"/>
          </w:tcPr>
          <w:p>
            <w:pPr>
              <w:spacing w:before="40" w:after="20"/>
            </w:pPr>
            <w:r>
              <w:rPr>
                <w:rFonts w:ascii="Calibri" w:hAnsi="Calibri"/>
                <w:color w:val="2D3748"/>
                <w:sz w:val="18"/>
              </w:rPr>
              <w:t>Atributos de flujo y métodos de escalado: usuarioAtencion(), avisosVencimiento(), tickets().</w:t>
            </w:r>
          </w:p>
        </w:tc>
      </w:tr>
      <w:tr>
        <w:trPr>
          <w:cantSplit/>
          <w:cantSplit/>
          <w:cantSplit/>
        </w:trPr>
        <w:tc>
          <w:tcPr>
            <w:tcW w:type="dxa" w:w="1728"/>
            <w:shd w:fill="F7FAFC"/>
          </w:tcPr>
          <w:p>
            <w:pPr>
              <w:spacing w:before="40" w:after="20"/>
            </w:pPr>
            <w:r>
              <w:rPr>
                <w:rFonts w:ascii="Calibri" w:hAnsi="Calibri"/>
                <w:b/>
                <w:color w:val="2D3748"/>
                <w:sz w:val="18"/>
              </w:rPr>
              <w:t>Diagrama de Clases</w:t>
            </w:r>
          </w:p>
        </w:tc>
        <w:tc>
          <w:tcPr>
            <w:tcW w:type="dxa" w:w="2232"/>
          </w:tcPr>
          <w:p>
            <w:pPr>
              <w:spacing w:before="40" w:after="20"/>
            </w:pPr>
            <w:r>
              <w:rPr>
                <w:rFonts w:ascii="Calibri" w:hAnsi="Calibri"/>
                <w:color w:val="2D3748"/>
                <w:sz w:val="18"/>
              </w:rPr>
              <w:t>Clases Cuota, Mensaje, Usuario</w:t>
            </w:r>
          </w:p>
        </w:tc>
        <w:tc>
          <w:tcPr>
            <w:tcW w:type="dxa" w:w="1944"/>
          </w:tcPr>
          <w:p>
            <w:pPr>
              <w:spacing w:before="40" w:after="20"/>
            </w:pPr>
            <w:r>
              <w:rPr>
                <w:rFonts w:ascii="Calibri" w:hAnsi="Calibri"/>
                <w:color w:val="2D3748"/>
                <w:sz w:val="18"/>
              </w:rPr>
              <w:t>Relaciones Eloquent</w:t>
            </w:r>
          </w:p>
        </w:tc>
        <w:tc>
          <w:tcPr>
            <w:tcW w:type="dxa" w:w="3456"/>
          </w:tcPr>
          <w:p>
            <w:pPr>
              <w:spacing w:before="40" w:after="20"/>
            </w:pPr>
            <w:r>
              <w:rPr>
                <w:rFonts w:ascii="Calibri" w:hAnsi="Calibri"/>
                <w:color w:val="2D3748"/>
                <w:sz w:val="18"/>
              </w:rPr>
              <w:t>Sincronización de métodos hasMany y belongsTo para reflejar el modelo de dominio activo.</w:t>
            </w:r>
          </w:p>
        </w:tc>
      </w:tr>
    </w:tbl>
    <w:p>
      <w:pPr>
        <w:spacing w:after="120"/>
      </w:pPr>
    </w:p>
    <w:p>
      <w:pPr>
        <w:keepNext/>
        <w:pageBreakBefore/>
        <w:spacing w:before="320" w:after="120"/>
      </w:pPr>
      <w:r>
        <w:rPr>
          <w:rFonts w:ascii="Calibri" w:hAnsi="Calibri"/>
          <w:b/>
          <w:color w:val="1A365D"/>
          <w:sz w:val="30"/>
        </w:rPr>
        <w:t>4. Matriz de Trazabilidad: Requerimientos → Diseño → Implementación</w:t>
      </w:r>
    </w:p>
    <w:p>
      <w:pPr>
        <w:spacing w:before="0" w:after="100" w:line="276" w:lineRule="auto"/>
      </w:pPr>
      <w:r>
        <w:rPr>
          <w:rFonts w:ascii="Calibri" w:hAnsi="Calibri"/>
          <w:i w:val="0"/>
          <w:color w:val="2D3748"/>
          <w:sz w:val="22"/>
        </w:rPr>
        <w:t>A continuación se resume la correlación formal que valida cómo las adaptaciones del diseño respondieron directamente a los requisitos planteados para el Módulo 2:</w:t>
      </w:r>
    </w:p>
    <w:tbl>
      <w:tblPr>
        <w:tblW w:type="auto" w:w="0"/>
        <w:jc w:val="center"/>
        <w:tblLayout w:type="fixed"/>
        <w:tblLook w:firstColumn="1" w:firstRow="1" w:lastColumn="0" w:lastRow="0" w:noHBand="0" w:noVBand="1" w:val="04A0"/>
      </w:tblPr>
      <w:tblGrid>
        <w:gridCol w:w="2340"/>
        <w:gridCol w:w="2340"/>
        <w:gridCol w:w="2340"/>
        <w:gridCol w:w="2340"/>
      </w:tblGrid>
      <w:tr>
        <w:trPr>
          <w:tblHeader w:val="true"/>
          <w:cantSplit/>
          <w:tblHeader w:val="true"/>
          <w:cantSplit/>
          <w:tblHeader w:val="true"/>
          <w:cantSplit/>
        </w:trPr>
        <w:tc>
          <w:tcPr>
            <w:tcW w:type="dxa" w:w="2340"/>
            <w:shd w:fill="2B6CB0"/>
          </w:tcPr>
          <w:p>
            <w:pPr>
              <w:spacing w:after="40"/>
            </w:pPr>
            <w:r>
              <w:rPr>
                <w:sz w:val="18"/>
              </w:rPr>
              <w:t>Requerimiento Funcional</w:t>
            </w:r>
          </w:p>
        </w:tc>
        <w:tc>
          <w:tcPr>
            <w:tcW w:type="dxa" w:w="2340"/>
            <w:shd w:fill="2B6CB0"/>
          </w:tcPr>
          <w:p>
            <w:pPr>
              <w:spacing w:after="40"/>
            </w:pPr>
            <w:r>
              <w:rPr>
                <w:sz w:val="18"/>
              </w:rPr>
              <w:t>Necesidad / Alcance</w:t>
            </w:r>
          </w:p>
        </w:tc>
        <w:tc>
          <w:tcPr>
            <w:tcW w:type="dxa" w:w="2340"/>
            <w:shd w:fill="2B6CB0"/>
          </w:tcPr>
          <w:p>
            <w:pPr>
              <w:spacing w:after="40"/>
            </w:pPr>
            <w:r>
              <w:rPr>
                <w:sz w:val="18"/>
              </w:rPr>
              <w:t>Reflejo en Diagramas</w:t>
            </w:r>
          </w:p>
        </w:tc>
        <w:tc>
          <w:tcPr>
            <w:tcW w:type="dxa" w:w="2340"/>
            <w:shd w:fill="2B6CB0"/>
          </w:tcPr>
          <w:p>
            <w:pPr>
              <w:spacing w:after="40"/>
            </w:pPr>
            <w:r>
              <w:rPr>
                <w:sz w:val="18"/>
              </w:rPr>
              <w:t>Componente / Estado</w:t>
            </w:r>
          </w:p>
        </w:tc>
      </w:tr>
      <w:tr>
        <w:trPr>
          <w:cantSplit/>
          <w:cantSplit/>
          <w:cantSplit/>
        </w:trPr>
        <w:tc>
          <w:tcPr>
            <w:tcW w:type="dxa" w:w="2340"/>
            <w:shd w:fill="F7FAFC"/>
          </w:tcPr>
          <w:p>
            <w:pPr>
              <w:spacing w:before="40" w:after="40"/>
            </w:pPr>
            <w:r>
              <w:rPr>
                <w:sz w:val="18"/>
              </w:rPr>
              <w:t>RF-10: Recepción y respuesta automática</w:t>
            </w:r>
          </w:p>
        </w:tc>
        <w:tc>
          <w:tcPr>
            <w:tcW w:type="dxa" w:w="2340"/>
          </w:tcPr>
          <w:p>
            <w:pPr>
              <w:spacing w:before="40" w:after="40"/>
            </w:pPr>
            <w:r>
              <w:rPr>
                <w:sz w:val="18"/>
              </w:rPr>
              <w:t>Recibir mensajes de WhatsApp y responder mediante el bot.</w:t>
            </w:r>
          </w:p>
        </w:tc>
        <w:tc>
          <w:tcPr>
            <w:tcW w:type="dxa" w:w="2340"/>
          </w:tcPr>
          <w:p>
            <w:pPr>
              <w:spacing w:before="40" w:after="40"/>
            </w:pPr>
            <w:r>
              <w:rPr>
                <w:sz w:val="18"/>
              </w:rPr>
              <w:t>Caso de Uso M2; Secuencia Recepción y Bot.</w:t>
            </w:r>
          </w:p>
        </w:tc>
        <w:tc>
          <w:tcPr>
            <w:tcW w:type="dxa" w:w="2340"/>
          </w:tcPr>
          <w:p>
            <w:pPr>
              <w:spacing w:before="40" w:after="40"/>
            </w:pPr>
            <w:r>
              <w:rPr>
                <w:sz w:val="18"/>
              </w:rPr>
              <w:t>ServicioRecepcionWhatsapp y ServicioEnvioWhatsapp; cubierto para los tipos admitidos.</w:t>
            </w:r>
          </w:p>
        </w:tc>
      </w:tr>
      <w:tr>
        <w:trPr>
          <w:cantSplit/>
          <w:cantSplit/>
          <w:cantSplit/>
        </w:trPr>
        <w:tc>
          <w:tcPr>
            <w:tcW w:type="dxa" w:w="2340"/>
            <w:shd w:fill="F7FAFC"/>
          </w:tcPr>
          <w:p>
            <w:pPr>
              <w:spacing w:before="40" w:after="40"/>
            </w:pPr>
            <w:r>
              <w:rPr>
                <w:sz w:val="18"/>
              </w:rPr>
              <w:t>RF-11: Reconocimiento de intención por IA</w:t>
            </w:r>
          </w:p>
        </w:tc>
        <w:tc>
          <w:tcPr>
            <w:tcW w:type="dxa" w:w="2340"/>
          </w:tcPr>
          <w:p>
            <w:pPr>
              <w:spacing w:before="40" w:after="40"/>
            </w:pPr>
            <w:r>
              <w:rPr>
                <w:sz w:val="18"/>
              </w:rPr>
              <w:t>Reconocer intención, pedir reformulación y derivar tras dos fallos.</w:t>
            </w:r>
          </w:p>
        </w:tc>
        <w:tc>
          <w:tcPr>
            <w:tcW w:type="dxa" w:w="2340"/>
          </w:tcPr>
          <w:p>
            <w:pPr>
              <w:spacing w:before="40" w:after="40"/>
            </w:pPr>
            <w:r>
              <w:rPr>
                <w:sz w:val="18"/>
              </w:rPr>
              <w:t>Caso de Uso M2; Recepción y Bot; Atención Humana.</w:t>
            </w:r>
          </w:p>
        </w:tc>
        <w:tc>
          <w:tcPr>
            <w:tcW w:type="dxa" w:w="2340"/>
          </w:tcPr>
          <w:p>
            <w:pPr>
              <w:spacing w:before="40" w:after="40"/>
            </w:pPr>
            <w:r>
              <w:rPr>
                <w:sz w:val="18"/>
              </w:rPr>
              <w:t>ServicioReconocimientoIntencionWhatsapp; Gemini requiere clave y tiene respaldo local.</w:t>
            </w:r>
          </w:p>
        </w:tc>
      </w:tr>
      <w:tr>
        <w:trPr>
          <w:cantSplit/>
          <w:cantSplit/>
          <w:cantSplit/>
        </w:trPr>
        <w:tc>
          <w:tcPr>
            <w:tcW w:type="dxa" w:w="2340"/>
            <w:shd w:fill="F7FAFC"/>
          </w:tcPr>
          <w:p>
            <w:pPr>
              <w:spacing w:before="40" w:after="40"/>
            </w:pPr>
            <w:r>
              <w:rPr>
                <w:sz w:val="18"/>
              </w:rPr>
              <w:t>RF-12: Identificación y alta desde el chat</w:t>
            </w:r>
          </w:p>
        </w:tc>
        <w:tc>
          <w:tcPr>
            <w:tcW w:type="dxa" w:w="2340"/>
          </w:tcPr>
          <w:p>
            <w:pPr>
              <w:spacing w:before="40" w:after="40"/>
            </w:pPr>
            <w:r>
              <w:rPr>
                <w:sz w:val="18"/>
              </w:rPr>
              <w:t>Asociar por teléfono o DNI; permitir alta y contratación a prospectos.</w:t>
            </w:r>
          </w:p>
        </w:tc>
        <w:tc>
          <w:tcPr>
            <w:tcW w:type="dxa" w:w="2340"/>
          </w:tcPr>
          <w:p>
            <w:pPr>
              <w:spacing w:before="40" w:after="40"/>
            </w:pPr>
            <w:r>
              <w:rPr>
                <w:sz w:val="18"/>
              </w:rPr>
              <w:t>Caso de Uso M2; nueva Secuencia Identificación y Alta.</w:t>
            </w:r>
          </w:p>
        </w:tc>
        <w:tc>
          <w:tcPr>
            <w:tcW w:type="dxa" w:w="2340"/>
          </w:tcPr>
          <w:p>
            <w:pPr>
              <w:spacing w:before="40" w:after="40"/>
            </w:pPr>
            <w:r>
              <w:rPr>
                <w:sz w:val="18"/>
              </w:rPr>
              <w:t>ServicioRegistroClienteWhatsapp; cliente/servicio se crean al completar el flujo.</w:t>
            </w:r>
          </w:p>
        </w:tc>
      </w:tr>
      <w:tr>
        <w:trPr>
          <w:cantSplit/>
          <w:cantSplit/>
          <w:cantSplit/>
        </w:trPr>
        <w:tc>
          <w:tcPr>
            <w:tcW w:type="dxa" w:w="2340"/>
            <w:shd w:fill="F7FAFC"/>
          </w:tcPr>
          <w:p>
            <w:pPr>
              <w:spacing w:before="40" w:after="40"/>
            </w:pPr>
            <w:r>
              <w:rPr>
                <w:sz w:val="18"/>
              </w:rPr>
              <w:t>RF-13: Consulta de estado de cuenta</w:t>
            </w:r>
          </w:p>
        </w:tc>
        <w:tc>
          <w:tcPr>
            <w:tcW w:type="dxa" w:w="2340"/>
          </w:tcPr>
          <w:p>
            <w:pPr>
              <w:spacing w:before="40" w:after="40"/>
            </w:pPr>
            <w:r>
              <w:rPr>
                <w:sz w:val="18"/>
              </w:rPr>
              <w:t>Informar estado al día o en mora y próximo vencimiento.</w:t>
            </w:r>
          </w:p>
        </w:tc>
        <w:tc>
          <w:tcPr>
            <w:tcW w:type="dxa" w:w="2340"/>
          </w:tcPr>
          <w:p>
            <w:pPr>
              <w:spacing w:before="40" w:after="40"/>
            </w:pPr>
            <w:r>
              <w:rPr>
                <w:sz w:val="18"/>
              </w:rPr>
              <w:t>Caso de Uso M2; nueva Secuencia Consulta Estado de Cuenta.</w:t>
            </w:r>
          </w:p>
        </w:tc>
        <w:tc>
          <w:tcPr>
            <w:tcW w:type="dxa" w:w="2340"/>
          </w:tcPr>
          <w:p>
            <w:pPr>
              <w:spacing w:before="40" w:after="40"/>
            </w:pPr>
            <w:r>
              <w:rPr>
                <w:sz w:val="18"/>
              </w:rPr>
              <w:t>ServicioConsultaCuentaWhatsapp; incluye cuotas, totales y fecha de vencimiento.</w:t>
            </w:r>
          </w:p>
        </w:tc>
      </w:tr>
      <w:tr>
        <w:trPr>
          <w:cantSplit/>
          <w:cantSplit/>
          <w:cantSplit/>
        </w:trPr>
        <w:tc>
          <w:tcPr>
            <w:tcW w:type="dxa" w:w="2340"/>
            <w:shd w:fill="F7FAFC"/>
          </w:tcPr>
          <w:p>
            <w:pPr>
              <w:spacing w:before="40" w:after="40"/>
            </w:pPr>
            <w:r>
              <w:rPr>
                <w:sz w:val="18"/>
              </w:rPr>
              <w:t>RF-14: Registro de reclamo vía bot</w:t>
            </w:r>
          </w:p>
        </w:tc>
        <w:tc>
          <w:tcPr>
            <w:tcW w:type="dxa" w:w="2340"/>
          </w:tcPr>
          <w:p>
            <w:pPr>
              <w:spacing w:before="40" w:after="40"/>
            </w:pPr>
            <w:r>
              <w:rPr>
                <w:sz w:val="18"/>
              </w:rPr>
              <w:t>Crear un ticket desde la conversación.</w:t>
            </w:r>
          </w:p>
        </w:tc>
        <w:tc>
          <w:tcPr>
            <w:tcW w:type="dxa" w:w="2340"/>
          </w:tcPr>
          <w:p>
            <w:pPr>
              <w:spacing w:before="40" w:after="40"/>
            </w:pPr>
            <w:r>
              <w:rPr>
                <w:sz w:val="18"/>
              </w:rPr>
              <w:t>Caso de Uso M2; Secuencia Reclamo Técnico.</w:t>
            </w:r>
          </w:p>
        </w:tc>
        <w:tc>
          <w:tcPr>
            <w:tcW w:type="dxa" w:w="2340"/>
          </w:tcPr>
          <w:p>
            <w:pPr>
              <w:spacing w:before="40" w:after="40"/>
            </w:pPr>
            <w:r>
              <w:rPr>
                <w:sz w:val="18"/>
              </w:rPr>
              <w:t>ServicioRegistroReclamoWhatsapp y Ticket; creación manual corresponde a RF-27.</w:t>
            </w:r>
          </w:p>
        </w:tc>
      </w:tr>
      <w:tr>
        <w:trPr>
          <w:cantSplit/>
          <w:cantSplit/>
          <w:cantSplit/>
        </w:trPr>
        <w:tc>
          <w:tcPr>
            <w:tcW w:type="dxa" w:w="2340"/>
            <w:shd w:fill="F7FAFC"/>
          </w:tcPr>
          <w:p>
            <w:pPr>
              <w:spacing w:before="40" w:after="40"/>
            </w:pPr>
            <w:r>
              <w:rPr>
                <w:sz w:val="18"/>
              </w:rPr>
              <w:t>RF-15: Toma de control humano</w:t>
            </w:r>
          </w:p>
        </w:tc>
        <w:tc>
          <w:tcPr>
            <w:tcW w:type="dxa" w:w="2340"/>
          </w:tcPr>
          <w:p>
            <w:pPr>
              <w:spacing w:before="40" w:after="40"/>
            </w:pPr>
            <w:r>
              <w:rPr>
                <w:sz w:val="18"/>
              </w:rPr>
              <w:t>Permitir que empleado o administrador continúe cuando el bot no resuelve.</w:t>
            </w:r>
          </w:p>
        </w:tc>
        <w:tc>
          <w:tcPr>
            <w:tcW w:type="dxa" w:w="2340"/>
          </w:tcPr>
          <w:p>
            <w:pPr>
              <w:spacing w:before="40" w:after="40"/>
            </w:pPr>
            <w:r>
              <w:rPr>
                <w:sz w:val="18"/>
              </w:rPr>
              <w:t>Caso de Uso M2; Secuencia Atención Humana.</w:t>
            </w:r>
          </w:p>
        </w:tc>
        <w:tc>
          <w:tcPr>
            <w:tcW w:type="dxa" w:w="2340"/>
          </w:tcPr>
          <w:p>
            <w:pPr>
              <w:spacing w:before="40" w:after="40"/>
            </w:pPr>
            <w:r>
              <w:rPr>
                <w:sz w:val="18"/>
              </w:rPr>
              <w:t>ServicioAtencionHumanaWhatsapp; toma exclusiva y autorización comprobadas.</w:t>
            </w:r>
          </w:p>
        </w:tc>
      </w:tr>
      <w:tr>
        <w:trPr>
          <w:cantSplit/>
          <w:cantSplit/>
          <w:cantSplit/>
        </w:trPr>
        <w:tc>
          <w:tcPr>
            <w:tcW w:type="dxa" w:w="2340"/>
            <w:shd w:fill="F7FAFC"/>
          </w:tcPr>
          <w:p>
            <w:pPr>
              <w:spacing w:before="40" w:after="40"/>
            </w:pPr>
            <w:r>
              <w:rPr>
                <w:sz w:val="18"/>
              </w:rPr>
              <w:t>RF-16: Historial de mensajes</w:t>
            </w:r>
          </w:p>
        </w:tc>
        <w:tc>
          <w:tcPr>
            <w:tcW w:type="dxa" w:w="2340"/>
          </w:tcPr>
          <w:p>
            <w:pPr>
              <w:spacing w:before="40" w:after="40"/>
            </w:pPr>
            <w:r>
              <w:rPr>
                <w:sz w:val="18"/>
              </w:rPr>
              <w:t>Conservar fecha/hora, contenido, tipo y emisor.</w:t>
            </w:r>
          </w:p>
        </w:tc>
        <w:tc>
          <w:tcPr>
            <w:tcW w:type="dxa" w:w="2340"/>
          </w:tcPr>
          <w:p>
            <w:pPr>
              <w:spacing w:before="40" w:after="40"/>
            </w:pPr>
            <w:r>
              <w:rPr>
                <w:sz w:val="18"/>
              </w:rPr>
              <w:t>Caso de Uso M2 y secuencias de recepción, reclamo y atención.</w:t>
            </w:r>
          </w:p>
        </w:tc>
        <w:tc>
          <w:tcPr>
            <w:tcW w:type="dxa" w:w="2340"/>
          </w:tcPr>
          <w:p>
            <w:pPr>
              <w:spacing w:before="40" w:after="40"/>
            </w:pPr>
            <w:r>
              <w:rPr>
                <w:sz w:val="18"/>
              </w:rPr>
              <w:t>Modelo Mensaje y detalle de conversación; cubre tipos admitidos por la integración.</w:t>
            </w:r>
          </w:p>
        </w:tc>
      </w:tr>
      <w:tr>
        <w:trPr>
          <w:cantSplit/>
          <w:cantSplit/>
          <w:cantSplit/>
        </w:trPr>
        <w:tc>
          <w:tcPr>
            <w:tcW w:type="dxa" w:w="2340"/>
            <w:shd w:fill="F7FAFC"/>
          </w:tcPr>
          <w:p>
            <w:pPr>
              <w:spacing w:before="40" w:after="40"/>
            </w:pPr>
            <w:r>
              <w:rPr>
                <w:sz w:val="18"/>
              </w:rPr>
              <w:t>RF-17: Cierre de conversación</w:t>
            </w:r>
          </w:p>
        </w:tc>
        <w:tc>
          <w:tcPr>
            <w:tcW w:type="dxa" w:w="2340"/>
          </w:tcPr>
          <w:p>
            <w:pPr>
              <w:spacing w:before="40" w:after="40"/>
            </w:pPr>
            <w:r>
              <w:rPr>
                <w:sz w:val="18"/>
              </w:rPr>
              <w:t>Cerrar al resolver con el bot o al terminar atención humana.</w:t>
            </w:r>
          </w:p>
        </w:tc>
        <w:tc>
          <w:tcPr>
            <w:tcW w:type="dxa" w:w="2340"/>
          </w:tcPr>
          <w:p>
            <w:pPr>
              <w:spacing w:before="40" w:after="40"/>
            </w:pPr>
            <w:r>
              <w:rPr>
                <w:sz w:val="18"/>
              </w:rPr>
              <w:t>Caso de Uso M2; secuencias de consulta, reclamo y atención.</w:t>
            </w:r>
          </w:p>
        </w:tc>
        <w:tc>
          <w:tcPr>
            <w:tcW w:type="dxa" w:w="2340"/>
          </w:tcPr>
          <w:p>
            <w:pPr>
              <w:spacing w:before="40" w:after="40"/>
            </w:pPr>
            <w:r>
              <w:rPr>
                <w:sz w:val="18"/>
              </w:rPr>
              <w:t>ServicioConversaciones::cerrar; conserva historial y bloquea nuevos mensajes.</w:t>
            </w:r>
          </w:p>
        </w:tc>
      </w:tr>
      <w:tr>
        <w:trPr>
          <w:cantSplit/>
          <w:cantSplit/>
          <w:cantSplit/>
        </w:trPr>
        <w:tc>
          <w:tcPr>
            <w:tcW w:type="dxa" w:w="2340"/>
          </w:tcPr>
          <w:p>
            <w:pPr>
              <w:spacing w:after="40"/>
            </w:pPr>
            <w:r>
              <w:rPr>
                <w:sz w:val="18"/>
              </w:rPr>
              <w:t>RF-18: Aviso de vencimientos por WhatsApp</w:t>
            </w:r>
          </w:p>
        </w:tc>
        <w:tc>
          <w:tcPr>
            <w:tcW w:type="dxa" w:w="2340"/>
          </w:tcPr>
          <w:p>
            <w:pPr>
              <w:spacing w:after="40"/>
            </w:pPr>
            <w:r>
              <w:rPr>
                <w:sz w:val="18"/>
              </w:rPr>
              <w:t>Notificar servicios próximos a vencer o ya vencidos.</w:t>
            </w:r>
          </w:p>
        </w:tc>
        <w:tc>
          <w:tcPr>
            <w:tcW w:type="dxa" w:w="2340"/>
          </w:tcPr>
          <w:p>
            <w:pPr>
              <w:spacing w:after="40"/>
            </w:pPr>
            <w:r>
              <w:rPr>
                <w:sz w:val="18"/>
              </w:rPr>
              <w:t>Caso de Uso M2; Secuencia Avisos de Vencimiento.</w:t>
            </w:r>
          </w:p>
        </w:tc>
        <w:tc>
          <w:tcPr>
            <w:tcW w:type="dxa" w:w="2340"/>
          </w:tcPr>
          <w:p>
            <w:pPr>
              <w:spacing w:after="40"/>
            </w:pPr>
            <w:r>
              <w:rPr>
                <w:sz w:val="18"/>
              </w:rPr>
              <w:t>ServicioAvisosVencimiento; ejecución diaria requiere activo el scheduler de Laravel.</w:t>
            </w:r>
          </w:p>
        </w:tc>
      </w:tr>
    </w:tbl>
    <w:p>
      <w:pPr>
        <w:spacing w:after="160"/>
      </w:pPr>
    </w:p>
    <w:p>
      <w:pPr>
        <w:keepNext/>
        <w:pageBreakBefore/>
        <w:spacing w:before="320" w:after="120"/>
      </w:pPr>
      <w:r>
        <w:rPr>
          <w:rFonts w:ascii="Calibri" w:hAnsi="Calibri"/>
          <w:b/>
          <w:color w:val="1A365D"/>
          <w:sz w:val="30"/>
        </w:rPr>
        <w:t>5. Conclusiones</w:t>
      </w:r>
    </w:p>
    <w:p>
      <w:pPr>
        <w:spacing w:before="0" w:after="100" w:line="276" w:lineRule="auto"/>
      </w:pPr>
      <w:r>
        <w:rPr>
          <w:rFonts w:ascii="Calibri" w:hAnsi="Calibri"/>
          <w:b/>
          <w:color w:val="2D3748"/>
          <w:sz w:val="22"/>
        </w:rPr>
      </w:r>
      <w:r>
        <w:rPr>
          <w:rFonts w:ascii="Calibri" w:hAnsi="Calibri"/>
          <w:i w:val="0"/>
          <w:color w:val="2D3748"/>
          <w:sz w:val="22"/>
        </w:rPr>
        <w:t>1. Rigor Metodológico: El proceso llevado a cabo ejemplifica el valor práctico del ciclo de vida incremental. La revisión de los requerimientos detallados permitió anticipar inconsistencias de negocio y resolverlas a nivel de modelo antes de comprometer la base de datos y la codificación final.</w:t>
      </w:r>
    </w:p>
    <w:p>
      <w:pPr>
        <w:spacing w:before="0" w:after="100" w:line="276" w:lineRule="auto"/>
      </w:pPr>
      <w:r>
        <w:t>2. Integridad y Coherencia del Sistema: corregimos la matriz de trazabilidad para que la numeración coincida con el Informe del Sistema. Las ocho fuentes del Módulo 2 y los diagramas generales revisados aún deben pasar la inspección visual y la exportación de PNG.</w:t>
      </w:r>
    </w:p>
    <w:p>
      <w:pPr>
        <w:spacing w:before="0" w:after="100" w:line="276" w:lineRule="auto"/>
      </w:pPr>
      <w:r>
        <w:t>3. Preparación para el trabajo de comprobantes: el esquema contiene campos para OCR y unicidad, pero el código todavía no calcula el hash ni implementa OCR y conciliación. Esos comportamientos deben diseñarse contra RF-20 a RF-26 antes de considerarlos terminados.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