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— Enterprise Cloud Migration</w:t>
      </w:r>
    </w:p>
    <w:p>
      <w:pPr>
        <w:pStyle w:val="Heading1"/>
      </w:pPr>
      <w:r>
        <w:t>1. Client / Organisation</w:t>
      </w:r>
    </w:p>
    <w:p>
      <w:r>
        <w:t>Acme Financial Services</w:t>
      </w:r>
    </w:p>
    <w:p>
      <w:pPr>
        <w:pStyle w:val="Heading1"/>
      </w:pPr>
      <w:r>
        <w:t>2. RFP Reference Number</w:t>
      </w:r>
    </w:p>
    <w:p>
      <w:r>
        <w:t>RFP-2026-CLOUD-118</w:t>
      </w:r>
    </w:p>
    <w:p>
      <w:pPr>
        <w:pStyle w:val="Heading1"/>
      </w:pPr>
      <w:r>
        <w:t>3. Solution Domain</w:t>
      </w:r>
    </w:p>
    <w:p>
      <w:r>
        <w:t>Cloud Migration</w:t>
      </w:r>
    </w:p>
    <w:p>
      <w:pPr>
        <w:pStyle w:val="Heading1"/>
      </w:pPr>
      <w:r>
        <w:t>4. Region</w:t>
      </w:r>
    </w:p>
    <w:p>
      <w:r>
        <w:t>North America</w:t>
      </w:r>
    </w:p>
    <w:p>
      <w:pPr>
        <w:pStyle w:val="Heading1"/>
      </w:pPr>
      <w:r>
        <w:t>5. Submission Deadline</w:t>
      </w:r>
    </w:p>
    <w:p>
      <w:r>
        <w:t>10 Jul 2026</w:t>
      </w:r>
    </w:p>
    <w:p>
      <w:pPr>
        <w:pStyle w:val="Heading1"/>
      </w:pPr>
      <w:r>
        <w:t>6. Background</w:t>
      </w:r>
    </w:p>
    <w:p>
      <w:r>
        <w:t>Acme Financial Services seeks a partner to migrate its on-premises core banking workloads to a managed public cloud platform with high availability, strong security, and full regulatory compliance.</w:t>
      </w:r>
    </w:p>
    <w:p>
      <w:pPr>
        <w:pStyle w:val="Heading1"/>
      </w:pPr>
      <w:r>
        <w:t>7. Functional Requirements</w:t>
      </w:r>
    </w:p>
    <w:p>
      <w:pPr>
        <w:pStyle w:val="ListBullet"/>
      </w:pPr>
      <w:r>
        <w:t>Migrate 120 application workloads from on-premises VMware to the cloud with minimal downtime.</w:t>
      </w:r>
    </w:p>
    <w:p>
      <w:pPr>
        <w:pStyle w:val="ListBullet"/>
      </w:pPr>
      <w:r>
        <w:t>Provide a phased migration plan (assess, pilot, migrate, optimise).</w:t>
      </w:r>
    </w:p>
    <w:p>
      <w:pPr>
        <w:pStyle w:val="ListBullet"/>
      </w:pPr>
      <w:r>
        <w:t>Re-platform two monolithic applications into containerised microservices.</w:t>
      </w:r>
    </w:p>
    <w:p>
      <w:pPr>
        <w:pStyle w:val="ListBullet"/>
      </w:pPr>
      <w:r>
        <w:t>Set up CI/CD pipelines for automated deployment.</w:t>
      </w:r>
    </w:p>
    <w:p>
      <w:pPr>
        <w:pStyle w:val="ListBullet"/>
      </w:pPr>
      <w:r>
        <w:t>Provide a unified observability and monitoring dashboard.</w:t>
      </w:r>
    </w:p>
    <w:p>
      <w:pPr>
        <w:pStyle w:val="Heading1"/>
      </w:pPr>
      <w:r>
        <w:t>8. Non-Functional Requirements</w:t>
      </w:r>
    </w:p>
    <w:p>
      <w:pPr>
        <w:pStyle w:val="ListBullet"/>
      </w:pPr>
      <w:r>
        <w:t>Achieve 99.95% platform uptime SLA.</w:t>
      </w:r>
    </w:p>
    <w:p>
      <w:pPr>
        <w:pStyle w:val="ListBullet"/>
      </w:pPr>
      <w:r>
        <w:t>Recovery Time Objective (RTO) under 30 minutes; Recovery Point Objective (RPO) under 5 minutes.</w:t>
      </w:r>
    </w:p>
    <w:p>
      <w:pPr>
        <w:pStyle w:val="ListBullet"/>
      </w:pPr>
      <w:r>
        <w:t>Support auto-scaling to handle 3x peak load.</w:t>
      </w:r>
    </w:p>
    <w:p>
      <w:pPr>
        <w:pStyle w:val="Heading1"/>
      </w:pPr>
      <w:r>
        <w:t>9. Compliance &amp; Security Requirements</w:t>
      </w:r>
    </w:p>
    <w:p>
      <w:pPr>
        <w:pStyle w:val="ListBullet"/>
      </w:pPr>
      <w:r>
        <w:t>Customer data must remain in-region per local data-residency regulation.</w:t>
      </w:r>
    </w:p>
    <w:p>
      <w:pPr>
        <w:pStyle w:val="ListBullet"/>
      </w:pPr>
      <w:r>
        <w:t>Solution must be SOC 2 Type II and ISO 27001 certified.</w:t>
      </w:r>
    </w:p>
    <w:p>
      <w:pPr>
        <w:pStyle w:val="ListBullet"/>
      </w:pPr>
      <w:r>
        <w:t>Encryption at rest and in transit (AES-256, TLS 1.2+).</w:t>
      </w:r>
    </w:p>
    <w:p>
      <w:pPr>
        <w:pStyle w:val="Heading1"/>
      </w:pPr>
      <w:r>
        <w:t>10. Commercial / Pricing Line Items</w:t>
      </w:r>
    </w:p>
    <w:p>
      <w:pPr>
        <w:pStyle w:val="ListBullet"/>
      </w:pPr>
      <w:r>
        <w:t>Compute instances (managed VMs) (per month, 12 instances)</w:t>
      </w:r>
    </w:p>
    <w:p>
      <w:pPr>
        <w:pStyle w:val="ListBullet"/>
      </w:pPr>
      <w:r>
        <w:t>Managed Kubernetes service (per cluster per month)</w:t>
      </w:r>
    </w:p>
    <w:p>
      <w:pPr>
        <w:pStyle w:val="ListBullet"/>
      </w:pPr>
      <w:r>
        <w:t>Migration professional services (labor, estimated 480 hours)</w:t>
      </w:r>
    </w:p>
    <w:p>
      <w:pPr>
        <w:pStyle w:val="ListBullet"/>
      </w:pPr>
      <w:r>
        <w:t>24/7 managed support (per month)</w:t>
      </w:r>
    </w:p>
    <w:p>
      <w:pPr>
        <w:pStyle w:val="Heading1"/>
      </w:pPr>
      <w:r>
        <w:t>11. Evaluation Criteria</w:t>
      </w:r>
    </w:p>
    <w:p>
      <w:pPr>
        <w:pStyle w:val="ListBullet"/>
      </w:pPr>
      <w:r>
        <w:t>Technical approach 40%</w:t>
      </w:r>
    </w:p>
    <w:p>
      <w:pPr>
        <w:pStyle w:val="ListBullet"/>
      </w:pPr>
      <w:r>
        <w:t>Compliance &amp; security 25%</w:t>
      </w:r>
    </w:p>
    <w:p>
      <w:pPr>
        <w:pStyle w:val="ListBullet"/>
      </w:pPr>
      <w:r>
        <w:t>Commercials 20%</w:t>
      </w:r>
    </w:p>
    <w:p>
      <w:pPr>
        <w:pStyle w:val="ListBullet"/>
      </w:pPr>
      <w:r>
        <w:t>Experience &amp; references 15%</w:t>
      </w:r>
    </w:p>
    <w:p>
      <w:pPr>
        <w:pStyle w:val="Heading1"/>
      </w:pPr>
      <w:r>
        <w:t>12. Submission Instructions</w:t>
      </w:r>
    </w:p>
    <w:p>
      <w:pPr>
        <w:pStyle w:val="ListBullet"/>
      </w:pPr>
      <w:r>
        <w:t>Responses must be submitted in PDF or DOCX format by the submission deadline.</w:t>
      </w:r>
    </w:p>
    <w:p>
      <w:pPr>
        <w:pStyle w:val="ListBullet"/>
      </w:pPr>
      <w:r>
        <w:t>Vendors must address every functional and compliance requirement explicitly.</w:t>
      </w:r>
    </w:p>
    <w:p>
      <w:pPr>
        <w:pStyle w:val="ListBullet"/>
      </w:pPr>
      <w:r>
        <w:t>Pricing must be itemised and valid for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