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Request for Proposal — Managed Cybersecurity Services</w:t>
      </w:r>
    </w:p>
    <w:p>
      <w:pPr>
        <w:pStyle w:val="Heading1"/>
      </w:pPr>
      <w:r>
        <w:t>1. Client / Organisation</w:t>
      </w:r>
    </w:p>
    <w:p>
      <w:r>
        <w:t>Globex Manufacturing Corp</w:t>
      </w:r>
    </w:p>
    <w:p>
      <w:pPr>
        <w:pStyle w:val="Heading1"/>
      </w:pPr>
      <w:r>
        <w:t>2. RFP Reference Number</w:t>
      </w:r>
    </w:p>
    <w:p>
      <w:r>
        <w:t>RFP-2026-SEC-204</w:t>
      </w:r>
    </w:p>
    <w:p>
      <w:pPr>
        <w:pStyle w:val="Heading1"/>
      </w:pPr>
      <w:r>
        <w:t>3. Solution Domain</w:t>
      </w:r>
    </w:p>
    <w:p>
      <w:r>
        <w:t>Cybersecurity Services</w:t>
      </w:r>
    </w:p>
    <w:p>
      <w:pPr>
        <w:pStyle w:val="Heading1"/>
      </w:pPr>
      <w:r>
        <w:t>4. Region</w:t>
      </w:r>
    </w:p>
    <w:p>
      <w:r>
        <w:t>Europe (EU)</w:t>
      </w:r>
    </w:p>
    <w:p>
      <w:pPr>
        <w:pStyle w:val="Heading1"/>
      </w:pPr>
      <w:r>
        <w:t>5. Submission Deadline</w:t>
      </w:r>
    </w:p>
    <w:p>
      <w:r>
        <w:t>14 Jul 2026</w:t>
      </w:r>
    </w:p>
    <w:p>
      <w:pPr>
        <w:pStyle w:val="Heading1"/>
      </w:pPr>
      <w:r>
        <w:t>6. Background</w:t>
      </w:r>
    </w:p>
    <w:p>
      <w:r>
        <w:t>Globex requires a managed security service provider (MSSP) to deliver 24/7 threat monitoring, incident response, and vulnerability management across its global IT estate.</w:t>
      </w:r>
    </w:p>
    <w:p>
      <w:pPr>
        <w:pStyle w:val="Heading1"/>
      </w:pPr>
      <w:r>
        <w:t>7. Functional Requirements</w:t>
      </w:r>
    </w:p>
    <w:p>
      <w:pPr>
        <w:pStyle w:val="ListBullet"/>
      </w:pPr>
      <w:r>
        <w:t>Deploy and operate a 24/7 Security Operations Centre (SOC).</w:t>
      </w:r>
    </w:p>
    <w:p>
      <w:pPr>
        <w:pStyle w:val="ListBullet"/>
      </w:pPr>
      <w:r>
        <w:t>Provide SIEM-based log collection and correlation across 4,000 endpoints.</w:t>
      </w:r>
    </w:p>
    <w:p>
      <w:pPr>
        <w:pStyle w:val="ListBullet"/>
      </w:pPr>
      <w:r>
        <w:t>Conduct quarterly penetration testing and continuous vulnerability scanning.</w:t>
      </w:r>
    </w:p>
    <w:p>
      <w:pPr>
        <w:pStyle w:val="ListBullet"/>
      </w:pPr>
      <w:r>
        <w:t>Deliver an incident response retainer with a 1-hour response SLA.</w:t>
      </w:r>
    </w:p>
    <w:p>
      <w:pPr>
        <w:pStyle w:val="ListBullet"/>
      </w:pPr>
      <w:r>
        <w:t>Provide monthly executive risk reporting.</w:t>
      </w:r>
    </w:p>
    <w:p>
      <w:pPr>
        <w:pStyle w:val="Heading1"/>
      </w:pPr>
      <w:r>
        <w:t>8. Non-Functional Requirements</w:t>
      </w:r>
    </w:p>
    <w:p>
      <w:pPr>
        <w:pStyle w:val="ListBullet"/>
      </w:pPr>
      <w:r>
        <w:t>Mean time to detect (MTTD) under 15 minutes for critical alerts.</w:t>
      </w:r>
    </w:p>
    <w:p>
      <w:pPr>
        <w:pStyle w:val="ListBullet"/>
      </w:pPr>
      <w:r>
        <w:t>Log retention of at least 12 months.</w:t>
      </w:r>
    </w:p>
    <w:p>
      <w:pPr>
        <w:pStyle w:val="ListBullet"/>
      </w:pPr>
      <w:r>
        <w:t>Platform availability of 99.9%.</w:t>
      </w:r>
    </w:p>
    <w:p>
      <w:pPr>
        <w:pStyle w:val="Heading1"/>
      </w:pPr>
      <w:r>
        <w:t>9. Compliance &amp; Security Requirements</w:t>
      </w:r>
    </w:p>
    <w:p>
      <w:pPr>
        <w:pStyle w:val="ListBullet"/>
      </w:pPr>
      <w:r>
        <w:t>Must comply with GDPR for processing of EU personal data.</w:t>
      </w:r>
    </w:p>
    <w:p>
      <w:pPr>
        <w:pStyle w:val="ListBullet"/>
      </w:pPr>
      <w:r>
        <w:t>Adherence to NIST Cybersecurity Framework.</w:t>
      </w:r>
    </w:p>
    <w:p>
      <w:pPr>
        <w:pStyle w:val="ListBullet"/>
      </w:pPr>
      <w:r>
        <w:t>ISO 27001 certified operations.</w:t>
      </w:r>
    </w:p>
    <w:p>
      <w:pPr>
        <w:pStyle w:val="Heading1"/>
      </w:pPr>
      <w:r>
        <w:t>10. Commercial / Pricing Line Items</w:t>
      </w:r>
    </w:p>
    <w:p>
      <w:pPr>
        <w:pStyle w:val="ListBullet"/>
      </w:pPr>
      <w:r>
        <w:t>SOC monitoring subscription (per endpoint per month, 4000 endpoints)</w:t>
      </w:r>
    </w:p>
    <w:p>
      <w:pPr>
        <w:pStyle w:val="ListBullet"/>
      </w:pPr>
      <w:r>
        <w:t>SIEM platform license (per month)</w:t>
      </w:r>
    </w:p>
    <w:p>
      <w:pPr>
        <w:pStyle w:val="ListBullet"/>
      </w:pPr>
      <w:r>
        <w:t>Penetration testing (per engagement, quarterly)</w:t>
      </w:r>
    </w:p>
    <w:p>
      <w:pPr>
        <w:pStyle w:val="ListBullet"/>
      </w:pPr>
      <w:r>
        <w:t>Incident response retainer (annual)</w:t>
      </w:r>
    </w:p>
    <w:p>
      <w:pPr>
        <w:pStyle w:val="Heading1"/>
      </w:pPr>
      <w:r>
        <w:t>11. Evaluation Criteria</w:t>
      </w:r>
    </w:p>
    <w:p>
      <w:pPr>
        <w:pStyle w:val="ListBullet"/>
      </w:pPr>
      <w:r>
        <w:t>Detection &amp; response capability 35%</w:t>
      </w:r>
    </w:p>
    <w:p>
      <w:pPr>
        <w:pStyle w:val="ListBullet"/>
      </w:pPr>
      <w:r>
        <w:t>Compliance 25%</w:t>
      </w:r>
    </w:p>
    <w:p>
      <w:pPr>
        <w:pStyle w:val="ListBullet"/>
      </w:pPr>
      <w:r>
        <w:t>Price 25%</w:t>
      </w:r>
    </w:p>
    <w:p>
      <w:pPr>
        <w:pStyle w:val="ListBullet"/>
      </w:pPr>
      <w:r>
        <w:t>Reporting &amp; SLAs 15%</w:t>
      </w:r>
    </w:p>
    <w:p>
      <w:pPr>
        <w:pStyle w:val="Heading1"/>
      </w:pPr>
      <w:r>
        <w:t>12. Submission Instructions</w:t>
      </w:r>
    </w:p>
    <w:p>
      <w:pPr>
        <w:pStyle w:val="ListBullet"/>
      </w:pPr>
      <w:r>
        <w:t>Responses must be submitted in PDF or DOCX format by the submission deadline.</w:t>
      </w:r>
    </w:p>
    <w:p>
      <w:pPr>
        <w:pStyle w:val="ListBullet"/>
      </w:pPr>
      <w:r>
        <w:t>Vendors must address every functional and compliance requirement explicitly.</w:t>
      </w:r>
    </w:p>
    <w:p>
      <w:pPr>
        <w:pStyle w:val="ListBullet"/>
      </w:pPr>
      <w:r>
        <w:t>Pricing must be itemised and valid for 90 days.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