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— Electronic Health Record (EHR) Platform</w:t>
      </w:r>
    </w:p>
    <w:p>
      <w:pPr>
        <w:pStyle w:val="Heading1"/>
      </w:pPr>
      <w:r>
        <w:t>1. Client / Organisation</w:t>
      </w:r>
    </w:p>
    <w:p>
      <w:r>
        <w:t>Riverside Regional Hospital</w:t>
      </w:r>
    </w:p>
    <w:p>
      <w:pPr>
        <w:pStyle w:val="Heading1"/>
      </w:pPr>
      <w:r>
        <w:t>2. RFP Reference Number</w:t>
      </w:r>
    </w:p>
    <w:p>
      <w:r>
        <w:t>RFP-2026-HEALTH-077</w:t>
      </w:r>
    </w:p>
    <w:p>
      <w:pPr>
        <w:pStyle w:val="Heading1"/>
      </w:pPr>
      <w:r>
        <w:t>3. Solution Domain</w:t>
      </w:r>
    </w:p>
    <w:p>
      <w:r>
        <w:t>Healthcare IT</w:t>
      </w:r>
    </w:p>
    <w:p>
      <w:pPr>
        <w:pStyle w:val="Heading1"/>
      </w:pPr>
      <w:r>
        <w:t>4. Region</w:t>
      </w:r>
    </w:p>
    <w:p>
      <w:r>
        <w:t>United States</w:t>
      </w:r>
    </w:p>
    <w:p>
      <w:pPr>
        <w:pStyle w:val="Heading1"/>
      </w:pPr>
      <w:r>
        <w:t>5. Submission Deadline</w:t>
      </w:r>
    </w:p>
    <w:p>
      <w:r>
        <w:t>22 Jul 2026</w:t>
      </w:r>
    </w:p>
    <w:p>
      <w:pPr>
        <w:pStyle w:val="Heading1"/>
      </w:pPr>
      <w:r>
        <w:t>6. Background</w:t>
      </w:r>
    </w:p>
    <w:p>
      <w:r>
        <w:t>Riverside Regional Hospital seeks an integrated EHR platform to unify clinical records, scheduling, billing, and patient engagement across five facilities.</w:t>
      </w:r>
    </w:p>
    <w:p>
      <w:pPr>
        <w:pStyle w:val="Heading1"/>
      </w:pPr>
      <w:r>
        <w:t>7. Functional Requirements</w:t>
      </w:r>
    </w:p>
    <w:p>
      <w:pPr>
        <w:pStyle w:val="ListBullet"/>
      </w:pPr>
      <w:r>
        <w:t>Provide a unified electronic health record across inpatient and outpatient settings.</w:t>
      </w:r>
    </w:p>
    <w:p>
      <w:pPr>
        <w:pStyle w:val="ListBullet"/>
      </w:pPr>
      <w:r>
        <w:t>Support e-prescribing and clinical decision support.</w:t>
      </w:r>
    </w:p>
    <w:p>
      <w:pPr>
        <w:pStyle w:val="ListBullet"/>
      </w:pPr>
      <w:r>
        <w:t>Integrate with existing lab and radiology (HL7 / FHIR) systems.</w:t>
      </w:r>
    </w:p>
    <w:p>
      <w:pPr>
        <w:pStyle w:val="ListBullet"/>
      </w:pPr>
      <w:r>
        <w:t>Offer a patient portal with appointment booking and secure messaging.</w:t>
      </w:r>
    </w:p>
    <w:p>
      <w:pPr>
        <w:pStyle w:val="ListBullet"/>
      </w:pPr>
      <w:r>
        <w:t>Provide configurable clinical workflows and templates.</w:t>
      </w:r>
    </w:p>
    <w:p>
      <w:pPr>
        <w:pStyle w:val="Heading1"/>
      </w:pPr>
      <w:r>
        <w:t>8. Non-Functional Requirements</w:t>
      </w:r>
    </w:p>
    <w:p>
      <w:pPr>
        <w:pStyle w:val="ListBullet"/>
      </w:pPr>
      <w:r>
        <w:t>System availability of 99.99% during clinical hours.</w:t>
      </w:r>
    </w:p>
    <w:p>
      <w:pPr>
        <w:pStyle w:val="ListBullet"/>
      </w:pPr>
      <w:r>
        <w:t>Sub-2-second response time for record retrieval.</w:t>
      </w:r>
    </w:p>
    <w:p>
      <w:pPr>
        <w:pStyle w:val="ListBullet"/>
      </w:pPr>
      <w:r>
        <w:t>Support 2,500 concurrent clinical users.</w:t>
      </w:r>
    </w:p>
    <w:p>
      <w:pPr>
        <w:pStyle w:val="Heading1"/>
      </w:pPr>
      <w:r>
        <w:t>9. Compliance &amp; Security Requirements</w:t>
      </w:r>
    </w:p>
    <w:p>
      <w:pPr>
        <w:pStyle w:val="ListBullet"/>
      </w:pPr>
      <w:r>
        <w:t>Full HIPAA compliance for protected health information (PHI).</w:t>
      </w:r>
    </w:p>
    <w:p>
      <w:pPr>
        <w:pStyle w:val="ListBullet"/>
      </w:pPr>
      <w:r>
        <w:t>HITRUST certification preferred.</w:t>
      </w:r>
    </w:p>
    <w:p>
      <w:pPr>
        <w:pStyle w:val="ListBullet"/>
      </w:pPr>
      <w:r>
        <w:t>Comprehensive audit logging of all PHI access.</w:t>
      </w:r>
    </w:p>
    <w:p>
      <w:pPr>
        <w:pStyle w:val="Heading1"/>
      </w:pPr>
      <w:r>
        <w:t>10. Commercial / Pricing Line Items</w:t>
      </w:r>
    </w:p>
    <w:p>
      <w:pPr>
        <w:pStyle w:val="ListBullet"/>
      </w:pPr>
      <w:r>
        <w:t>EHR platform license (per bed per month, 800 beds)</w:t>
      </w:r>
    </w:p>
    <w:p>
      <w:pPr>
        <w:pStyle w:val="ListBullet"/>
      </w:pPr>
      <w:r>
        <w:t>Implementation services (labor, estimated 2000 hours)</w:t>
      </w:r>
    </w:p>
    <w:p>
      <w:pPr>
        <w:pStyle w:val="ListBullet"/>
      </w:pPr>
      <w:r>
        <w:t>Interface / integration engine (per interface)</w:t>
      </w:r>
    </w:p>
    <w:p>
      <w:pPr>
        <w:pStyle w:val="ListBullet"/>
      </w:pPr>
      <w:r>
        <w:t>Training &amp; change management (fixed package)</w:t>
      </w:r>
    </w:p>
    <w:p>
      <w:pPr>
        <w:pStyle w:val="Heading1"/>
      </w:pPr>
      <w:r>
        <w:t>11. Evaluation Criteria</w:t>
      </w:r>
    </w:p>
    <w:p>
      <w:pPr>
        <w:pStyle w:val="ListBullet"/>
      </w:pPr>
      <w:r>
        <w:t>Clinical functionality 40%</w:t>
      </w:r>
    </w:p>
    <w:p>
      <w:pPr>
        <w:pStyle w:val="ListBullet"/>
      </w:pPr>
      <w:r>
        <w:t>Compliance &amp; security 25%</w:t>
      </w:r>
    </w:p>
    <w:p>
      <w:pPr>
        <w:pStyle w:val="ListBullet"/>
      </w:pPr>
      <w:r>
        <w:t>Total cost of ownership 20%</w:t>
      </w:r>
    </w:p>
    <w:p>
      <w:pPr>
        <w:pStyle w:val="ListBullet"/>
      </w:pPr>
      <w:r>
        <w:t>Implementation plan 15%</w:t>
      </w:r>
    </w:p>
    <w:p>
      <w:pPr>
        <w:pStyle w:val="Heading1"/>
      </w:pPr>
      <w:r>
        <w:t>12. Submission Instructions</w:t>
      </w:r>
    </w:p>
    <w:p>
      <w:pPr>
        <w:pStyle w:val="ListBullet"/>
      </w:pPr>
      <w:r>
        <w:t>Responses must be submitted in PDF or DOCX format by the submission deadline.</w:t>
      </w:r>
    </w:p>
    <w:p>
      <w:pPr>
        <w:pStyle w:val="ListBullet"/>
      </w:pPr>
      <w:r>
        <w:t>Vendors must address every functional and compliance requirement explicitly.</w:t>
      </w:r>
    </w:p>
    <w:p>
      <w:pPr>
        <w:pStyle w:val="ListBullet"/>
      </w:pPr>
      <w:r>
        <w:t>Pricing must be itemised and valid for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