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— Core Banking Modernisation</w:t>
      </w:r>
    </w:p>
    <w:p>
      <w:pPr>
        <w:pStyle w:val="Heading1"/>
      </w:pPr>
      <w:r>
        <w:t>1. Client / Organisation</w:t>
      </w:r>
    </w:p>
    <w:p>
      <w:r>
        <w:t>Initech Bank</w:t>
      </w:r>
    </w:p>
    <w:p>
      <w:pPr>
        <w:pStyle w:val="Heading1"/>
      </w:pPr>
      <w:r>
        <w:t>2. RFP Reference Number</w:t>
      </w:r>
    </w:p>
    <w:p>
      <w:r>
        <w:t>RFP-2026-FIN-330</w:t>
      </w:r>
    </w:p>
    <w:p>
      <w:pPr>
        <w:pStyle w:val="Heading1"/>
      </w:pPr>
      <w:r>
        <w:t>3. Solution Domain</w:t>
      </w:r>
    </w:p>
    <w:p>
      <w:r>
        <w:t>Banking / Fintech</w:t>
      </w:r>
    </w:p>
    <w:p>
      <w:pPr>
        <w:pStyle w:val="Heading1"/>
      </w:pPr>
      <w:r>
        <w:t>4. Region</w:t>
      </w:r>
    </w:p>
    <w:p>
      <w:r>
        <w:t>Asia Pacific</w:t>
      </w:r>
    </w:p>
    <w:p>
      <w:pPr>
        <w:pStyle w:val="Heading1"/>
      </w:pPr>
      <w:r>
        <w:t>5. Submission Deadline</w:t>
      </w:r>
    </w:p>
    <w:p>
      <w:r>
        <w:t>28 Jul 2026</w:t>
      </w:r>
    </w:p>
    <w:p>
      <w:pPr>
        <w:pStyle w:val="Heading1"/>
      </w:pPr>
      <w:r>
        <w:t>6. Background</w:t>
      </w:r>
    </w:p>
    <w:p>
      <w:r>
        <w:t>Initech Bank intends to modernise its legacy core banking system to a cloud-native, API-first platform supporting real-time payments and open banking.</w:t>
      </w:r>
    </w:p>
    <w:p>
      <w:pPr>
        <w:pStyle w:val="Heading1"/>
      </w:pPr>
      <w:r>
        <w:t>7. Functional Requirements</w:t>
      </w:r>
    </w:p>
    <w:p>
      <w:pPr>
        <w:pStyle w:val="ListBullet"/>
      </w:pPr>
      <w:r>
        <w:t>Provide a real-time core banking ledger supporting deposits, loans, and payments.</w:t>
      </w:r>
    </w:p>
    <w:p>
      <w:pPr>
        <w:pStyle w:val="ListBullet"/>
      </w:pPr>
      <w:r>
        <w:t>Expose open-banking compliant REST APIs.</w:t>
      </w:r>
    </w:p>
    <w:p>
      <w:pPr>
        <w:pStyle w:val="ListBullet"/>
      </w:pPr>
      <w:r>
        <w:t>Support real-time fraud detection and transaction monitoring.</w:t>
      </w:r>
    </w:p>
    <w:p>
      <w:pPr>
        <w:pStyle w:val="ListBullet"/>
      </w:pPr>
      <w:r>
        <w:t>Deliver a customer onboarding journey with digital KYC.</w:t>
      </w:r>
    </w:p>
    <w:p>
      <w:pPr>
        <w:pStyle w:val="ListBullet"/>
      </w:pPr>
      <w:r>
        <w:t>Provide a data migration plan from the legacy mainframe.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Process at least 5,000 transactions per second at peak.</w:t>
      </w:r>
    </w:p>
    <w:p>
      <w:pPr>
        <w:pStyle w:val="ListBullet"/>
      </w:pPr>
      <w:r>
        <w:t>99.99% availability for payment services.</w:t>
      </w:r>
    </w:p>
    <w:p>
      <w:pPr>
        <w:pStyle w:val="ListBullet"/>
      </w:pPr>
      <w:r>
        <w:t>End-to-end transaction latency under 200 ms.</w:t>
      </w:r>
    </w:p>
    <w:p>
      <w:pPr>
        <w:pStyle w:val="Heading1"/>
      </w:pPr>
      <w:r>
        <w:t>9. Compliance &amp; Security Requirements</w:t>
      </w:r>
    </w:p>
    <w:p>
      <w:pPr>
        <w:pStyle w:val="ListBullet"/>
      </w:pPr>
      <w:r>
        <w:t>Compliance with PCI DSS for cardholder data.</w:t>
      </w:r>
    </w:p>
    <w:p>
      <w:pPr>
        <w:pStyle w:val="ListBullet"/>
      </w:pPr>
      <w:r>
        <w:t>Adherence to local central-bank data-residency rules.</w:t>
      </w:r>
    </w:p>
    <w:p>
      <w:pPr>
        <w:pStyle w:val="ListBullet"/>
      </w:pPr>
      <w:r>
        <w:t>ISO 27001 and SOC 2 Type II certified.</w:t>
      </w:r>
    </w:p>
    <w:p>
      <w:pPr>
        <w:pStyle w:val="Heading1"/>
      </w:pPr>
      <w:r>
        <w:t>10. Commercial / Pricing Line Items</w:t>
      </w:r>
    </w:p>
    <w:p>
      <w:pPr>
        <w:pStyle w:val="ListBullet"/>
      </w:pPr>
      <w:r>
        <w:t>Core banking platform license (per account per year, 2M accounts)</w:t>
      </w:r>
    </w:p>
    <w:p>
      <w:pPr>
        <w:pStyle w:val="ListBullet"/>
      </w:pPr>
      <w:r>
        <w:t>Cloud infrastructure (per month)</w:t>
      </w:r>
    </w:p>
    <w:p>
      <w:pPr>
        <w:pStyle w:val="ListBullet"/>
      </w:pPr>
      <w:r>
        <w:t>Implementation &amp; migration (labor, estimated 6000 hours)</w:t>
      </w:r>
    </w:p>
    <w:p>
      <w:pPr>
        <w:pStyle w:val="ListBullet"/>
      </w:pPr>
      <w:r>
        <w:t>Premium support (annual)</w:t>
      </w:r>
    </w:p>
    <w:p>
      <w:pPr>
        <w:pStyle w:val="Heading1"/>
      </w:pPr>
      <w:r>
        <w:t>11. Evaluation Criteria</w:t>
      </w:r>
    </w:p>
    <w:p>
      <w:pPr>
        <w:pStyle w:val="ListBullet"/>
      </w:pPr>
      <w:r>
        <w:t>Platform capability 35%</w:t>
      </w:r>
    </w:p>
    <w:p>
      <w:pPr>
        <w:pStyle w:val="ListBullet"/>
      </w:pPr>
      <w:r>
        <w:t>Compliance &amp; resilience 25%</w:t>
      </w:r>
    </w:p>
    <w:p>
      <w:pPr>
        <w:pStyle w:val="ListBullet"/>
      </w:pPr>
      <w:r>
        <w:t>Commercials 25%</w:t>
      </w:r>
    </w:p>
    <w:p>
      <w:pPr>
        <w:pStyle w:val="ListBullet"/>
      </w:pPr>
      <w:r>
        <w:t>Delivery track record 15%</w:t>
      </w:r>
    </w:p>
    <w:p>
      <w:pPr>
        <w:pStyle w:val="Heading1"/>
      </w:pPr>
      <w:r>
        <w:t>12. Submission Instructions</w:t>
      </w:r>
    </w:p>
    <w:p>
      <w:pPr>
        <w:pStyle w:val="ListBullet"/>
      </w:pPr>
      <w:r>
        <w:t>Responses must be submitted in PDF or DOCX format by the submission deadline.</w:t>
      </w:r>
    </w:p>
    <w:p>
      <w:pPr>
        <w:pStyle w:val="ListBullet"/>
      </w:pPr>
      <w:r>
        <w:t>Vendors must address every functional and compliance requirement explicitly.</w:t>
      </w:r>
    </w:p>
    <w:p>
      <w:pPr>
        <w:pStyle w:val="ListBullet"/>
      </w:pPr>
      <w:r>
        <w:t>Pricing must be itemised and valid for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