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0" w:before="0"/>
        <w:jc w:val="center"/>
      </w:pPr>
      <w:r>
        <w:rPr>
          <w:rFonts w:ascii="Arial" w:cs="Arial" w:eastAsia="Arial" w:hAnsi="Arial"/>
          <w:b/>
          <w:bCs/>
          <w:color w:val="1C1612"/>
          <w:spacing w:val="100"/>
          <w:sz w:val="72"/>
          <w:szCs w:val="72"/>
        </w:rPr>
        <w:t xml:space="preserve">PROPSENSE</w:t>
      </w:r>
    </w:p>
    <w:p>
      <w:pPr>
        <w:spacing w:after="0" w:before="40"/>
        <w:jc w:val="center"/>
      </w:pPr>
      <w:r>
        <w:rPr>
          <w:rFonts w:ascii="Arial" w:cs="Arial" w:eastAsia="Arial" w:hAnsi="Arial"/>
          <w:b w:val="false"/>
          <w:bCs w:val="false"/>
          <w:color w:val="8B6F47"/>
          <w:spacing w:val="400"/>
          <w:sz w:val="44"/>
          <w:szCs w:val="44"/>
        </w:rPr>
        <w:t xml:space="preserve">CONSULTING</w:t>
      </w:r>
    </w:p>
    <w:p>
      <w:pPr>
        <w:spacing w:after="0" w:before="60"/>
      </w:pPr>
    </w:p>
    <w:p>
      <w:pPr>
        <w:pBdr>
          <w:bottom w:val="single" w:color="8B6F47" w:sz="6" w:space="4"/>
        </w:pBdr>
        <w:spacing w:after="200" w:before="0"/>
        <w:jc w:val="center"/>
      </w:pPr>
    </w:p>
    <w:p>
      <w:pPr>
        <w:spacing w:after="0" w:before="60"/>
      </w:pPr>
    </w:p>
    <w:p>
      <w:pPr>
        <w:spacing w:after="80" w:before="0"/>
        <w:jc w:val="center"/>
      </w:pPr>
      <w:r>
        <w:rPr>
          <w:rFonts w:ascii="Arial" w:cs="Arial" w:eastAsia="Arial" w:hAnsi="Arial"/>
          <w:color w:val="6B5E4E"/>
          <w:spacing w:val="80"/>
          <w:sz w:val="26"/>
          <w:szCs w:val="26"/>
        </w:rPr>
        <w:t xml:space="preserve">Valuation  ·  Survey  ·  Advisory</w:t>
      </w:r>
    </w:p>
    <w:p>
      <w:pPr>
        <w:spacing w:after="0" w:before="600"/>
      </w:pPr>
    </w:p>
    <w:p>
      <w:pPr>
        <w:spacing w:after="80" w:before="0"/>
        <w:jc w:val="center"/>
      </w:pPr>
      <w:r>
        <w:rPr>
          <w:rFonts w:ascii="Arial" w:cs="Arial" w:eastAsia="Arial" w:hAnsi="Arial"/>
          <w:b/>
          <w:bCs/>
          <w:color w:val="6B5E4E"/>
          <w:spacing w:val="200"/>
          <w:sz w:val="22"/>
          <w:szCs w:val="22"/>
        </w:rPr>
        <w:t xml:space="preserve">FIRM PROFILE &amp; CAPABILITY STATEMENT</w:t>
      </w:r>
    </w:p>
    <w:p>
      <w:pPr>
        <w:spacing w:after="80" w:before="0"/>
        <w:jc w:val="center"/>
      </w:pPr>
      <w:r>
        <w:rPr>
          <w:rFonts w:ascii="Arial" w:cs="Arial" w:eastAsia="Arial" w:hAnsi="Arial"/>
          <w:i/>
          <w:iCs/>
          <w:color w:val="6B5E4E"/>
          <w:sz w:val="20"/>
          <w:szCs w:val="20"/>
        </w:rPr>
        <w:t xml:space="preserve">Confidential  —  June 2026</w:t>
      </w:r>
    </w:p>
    <w:p>
      <w:pPr>
        <w:pageBreakBefore/>
      </w:pPr>
    </w:p>
    <w:p>
      <w:pPr>
        <w:sectPr>
          <w:pgSz w:w="11906" w:h="16838" w:orient="portrait"/>
          <w:pgMar w:top="1440" w:right="1440" w:bottom="1440" w:left="1440" w:header="708" w:footer="708" w:gutter="0"/>
          <w:pgNumType/>
          <w:docGrid w:linePitch="360"/>
        </w:sectPr>
      </w:pPr>
    </w:p>
    <w:p>
      <w:pPr>
        <w:pStyle w:val="Heading1"/>
        <w:spacing w:after="120" w:before="400"/>
      </w:pPr>
      <w:r>
        <w:rPr>
          <w:rFonts w:ascii="Arial" w:cs="Arial" w:eastAsia="Arial" w:hAnsi="Arial"/>
          <w:b/>
          <w:bCs/>
          <w:color w:val="1C1612"/>
          <w:sz w:val="32"/>
          <w:szCs w:val="32"/>
        </w:rPr>
        <w:t xml:space="preserve">About Propsense Consulting</w:t>
      </w:r>
    </w:p>
    <w:p>
      <w:pPr>
        <w:pBdr>
          <w:bottom w:val="single" w:color="C4A97A" w:sz="4" w:space="4"/>
        </w:pBdr>
        <w:spacing w:after="200" w:before="80"/>
      </w:pPr>
    </w:p>
    <w:p>
      <w:pPr>
        <w:spacing w:after="120" w:before="60" w:line="360" w:lineRule="auto"/>
        <w:jc w:val="left"/>
      </w:pPr>
      <w:r>
        <w:rPr>
          <w:rFonts w:ascii="Arial" w:cs="Arial" w:eastAsia="Arial" w:hAnsi="Arial"/>
          <w:color w:val="1C1612"/>
          <w:sz w:val="22"/>
          <w:szCs w:val="22"/>
        </w:rPr>
        <w:t xml:space="preserve">Propsense Consulting is a full-service real estate surveying and advisory firm providing independent, evidence-based property intelligence to clients across the residential, commercial, and industrial sectors. Founded on the principles of professional rigour, transparent methodology, and client-centred service, the firm delivers actionable insights that underpin high-stakes property decisions.</w:t>
      </w:r>
    </w:p>
    <w:p>
      <w:pPr>
        <w:spacing w:after="0" w:before="100"/>
      </w:pPr>
    </w:p>
    <w:p>
      <w:pPr>
        <w:spacing w:after="120" w:before="60" w:line="360" w:lineRule="auto"/>
        <w:jc w:val="left"/>
      </w:pPr>
      <w:r>
        <w:rPr>
          <w:rFonts w:ascii="Arial" w:cs="Arial" w:eastAsia="Arial" w:hAnsi="Arial"/>
          <w:color w:val="1C1612"/>
          <w:sz w:val="22"/>
          <w:szCs w:val="22"/>
        </w:rPr>
        <w:t xml:space="preserve">From single-dwelling valuations to large-scale portfolio assessments, Propsense combines qualified professional expertise with proprietary data frameworks to produce reports that meet the demands of lenders, developers, investors, legal professionals, and public institutions alike.</w:t>
      </w:r>
    </w:p>
    <w:p>
      <w:pPr>
        <w:spacing w:after="0" w:before="160"/>
      </w:pPr>
    </w:p>
    <w:p>
      <w:pPr>
        <w:spacing w:after="100" w:before="280"/>
      </w:pPr>
      <w:r>
        <w:rPr>
          <w:rFonts w:ascii="Arial" w:cs="Arial" w:eastAsia="Arial" w:hAnsi="Arial"/>
          <w:b/>
          <w:bCs/>
          <w:color w:val="8B6F47"/>
          <w:sz w:val="26"/>
          <w:szCs w:val="26"/>
        </w:rPr>
        <w:t xml:space="preserve">Mission Statement</w:t>
      </w:r>
    </w:p>
    <w:p>
      <w:pPr>
        <w:spacing w:after="120" w:before="60" w:line="360" w:lineRule="auto"/>
        <w:jc w:val="left"/>
      </w:pPr>
      <w:r>
        <w:rPr>
          <w:rFonts w:ascii="Arial" w:cs="Arial" w:eastAsia="Arial" w:hAnsi="Arial"/>
          <w:color w:val="1C1612"/>
          <w:sz w:val="22"/>
          <w:szCs w:val="22"/>
        </w:rPr>
        <w:t xml:space="preserve">To provide clients with the most accurate, defensible, and professionally robust property assessments available — delivered with speed, clarity, and complete independence.</w:t>
      </w:r>
    </w:p>
    <w:p>
      <w:pPr>
        <w:spacing w:after="0" w:before="160"/>
      </w:pPr>
    </w:p>
    <w:p>
      <w:pPr>
        <w:spacing w:after="100" w:before="280"/>
      </w:pPr>
      <w:r>
        <w:rPr>
          <w:rFonts w:ascii="Arial" w:cs="Arial" w:eastAsia="Arial" w:hAnsi="Arial"/>
          <w:b/>
          <w:bCs/>
          <w:color w:val="8B6F47"/>
          <w:sz w:val="26"/>
          <w:szCs w:val="26"/>
        </w:rPr>
        <w:t xml:space="preserve">Our Values</w:t>
      </w:r>
    </w:p>
    <w:p>
      <w:pPr>
        <w:pStyle w:val="ListParagraph"/>
        <w:numPr>
          <w:ilvl w:val="0"/>
          <w:numId w:val="2"/>
        </w:numPr>
        <w:spacing w:after="60" w:before="60" w:line="340" w:lineRule="auto"/>
      </w:pPr>
      <w:r>
        <w:rPr>
          <w:rFonts w:ascii="Arial" w:cs="Arial" w:eastAsia="Arial" w:hAnsi="Arial"/>
          <w:color w:val="1C1612"/>
          <w:sz w:val="22"/>
          <w:szCs w:val="22"/>
        </w:rPr>
        <w:t xml:space="preserve">Independence: All opinions and valuations are free from third-party influence, conflict of interest, or commercial bias.</w:t>
      </w:r>
    </w:p>
    <w:p>
      <w:pPr>
        <w:pStyle w:val="ListParagraph"/>
        <w:numPr>
          <w:ilvl w:val="0"/>
          <w:numId w:val="2"/>
        </w:numPr>
        <w:spacing w:after="60" w:before="60" w:line="340" w:lineRule="auto"/>
      </w:pPr>
      <w:r>
        <w:rPr>
          <w:rFonts w:ascii="Arial" w:cs="Arial" w:eastAsia="Arial" w:hAnsi="Arial"/>
          <w:color w:val="1C1612"/>
          <w:sz w:val="22"/>
          <w:szCs w:val="22"/>
        </w:rPr>
        <w:t xml:space="preserve">Precision: We apply recognised methodology, current market evidence, and professional judgement in equal measure.</w:t>
      </w:r>
    </w:p>
    <w:p>
      <w:pPr>
        <w:pStyle w:val="ListParagraph"/>
        <w:numPr>
          <w:ilvl w:val="0"/>
          <w:numId w:val="2"/>
        </w:numPr>
        <w:spacing w:after="60" w:before="60" w:line="340" w:lineRule="auto"/>
      </w:pPr>
      <w:r>
        <w:rPr>
          <w:rFonts w:ascii="Arial" w:cs="Arial" w:eastAsia="Arial" w:hAnsi="Arial"/>
          <w:color w:val="1C1612"/>
          <w:sz w:val="22"/>
          <w:szCs w:val="22"/>
        </w:rPr>
        <w:t xml:space="preserve">Accountability: Every report is signed by a chartered professional and carries full professional indemnity cover.</w:t>
      </w:r>
    </w:p>
    <w:p>
      <w:pPr>
        <w:pStyle w:val="ListParagraph"/>
        <w:numPr>
          <w:ilvl w:val="0"/>
          <w:numId w:val="2"/>
        </w:numPr>
        <w:spacing w:after="60" w:before="60" w:line="340" w:lineRule="auto"/>
      </w:pPr>
      <w:r>
        <w:rPr>
          <w:rFonts w:ascii="Arial" w:cs="Arial" w:eastAsia="Arial" w:hAnsi="Arial"/>
          <w:color w:val="1C1612"/>
          <w:sz w:val="22"/>
          <w:szCs w:val="22"/>
        </w:rPr>
        <w:t xml:space="preserve">Transparency: Our methodology is documented, auditable, and communicated clearly to clients at every stage.</w:t>
      </w:r>
    </w:p>
    <w:p>
      <w:pPr>
        <w:pStyle w:val="ListParagraph"/>
        <w:numPr>
          <w:ilvl w:val="0"/>
          <w:numId w:val="2"/>
        </w:numPr>
        <w:spacing w:after="60" w:before="60" w:line="340" w:lineRule="auto"/>
      </w:pPr>
      <w:r>
        <w:rPr>
          <w:rFonts w:ascii="Arial" w:cs="Arial" w:eastAsia="Arial" w:hAnsi="Arial"/>
          <w:color w:val="1C1612"/>
          <w:sz w:val="22"/>
          <w:szCs w:val="22"/>
        </w:rPr>
        <w:t xml:space="preserve">Responsiveness: We operate with defined turnaround standards and maintain active communication throughout each instruction.</w:t>
      </w:r>
    </w:p>
    <w:p>
      <w:pPr>
        <w:spacing w:after="0" w:before="160"/>
      </w:pPr>
    </w:p>
    <w:p>
      <w:pPr>
        <w:spacing w:after="100" w:before="280"/>
      </w:pPr>
      <w:r>
        <w:rPr>
          <w:rFonts w:ascii="Arial" w:cs="Arial" w:eastAsia="Arial" w:hAnsi="Arial"/>
          <w:b/>
          <w:bCs/>
          <w:color w:val="8B6F47"/>
          <w:sz w:val="26"/>
          <w:szCs w:val="26"/>
        </w:rPr>
        <w:t xml:space="preserve">Regulatory Standing</w:t>
      </w:r>
    </w:p>
    <w:p>
      <w:pPr>
        <w:spacing w:after="120" w:before="60" w:line="360" w:lineRule="auto"/>
        <w:jc w:val="left"/>
      </w:pPr>
      <w:r>
        <w:rPr>
          <w:rFonts w:ascii="Arial" w:cs="Arial" w:eastAsia="Arial" w:hAnsi="Arial"/>
          <w:color w:val="1C1612"/>
          <w:sz w:val="22"/>
          <w:szCs w:val="22"/>
        </w:rPr>
        <w:t xml:space="preserve">Propsense Consulting operates in compliance with all applicable professional standards. Key professional affiliations and regulatory frameworks include:</w:t>
      </w:r>
    </w:p>
    <w:p>
      <w:pPr>
        <w:pStyle w:val="ListParagraph"/>
        <w:numPr>
          <w:ilvl w:val="0"/>
          <w:numId w:val="2"/>
        </w:numPr>
        <w:spacing w:after="60" w:before="60" w:line="340" w:lineRule="auto"/>
      </w:pPr>
      <w:r>
        <w:rPr>
          <w:rFonts w:ascii="Arial" w:cs="Arial" w:eastAsia="Arial" w:hAnsi="Arial"/>
          <w:color w:val="1C1612"/>
          <w:sz w:val="22"/>
          <w:szCs w:val="22"/>
        </w:rPr>
        <w:t xml:space="preserve">Member firm registered with the Royal Institution of Chartered Surveyors (RICS)</w:t>
      </w:r>
    </w:p>
    <w:p>
      <w:pPr>
        <w:pStyle w:val="ListParagraph"/>
        <w:numPr>
          <w:ilvl w:val="0"/>
          <w:numId w:val="2"/>
        </w:numPr>
        <w:spacing w:after="60" w:before="60" w:line="340" w:lineRule="auto"/>
      </w:pPr>
      <w:r>
        <w:rPr>
          <w:rFonts w:ascii="Arial" w:cs="Arial" w:eastAsia="Arial" w:hAnsi="Arial"/>
          <w:color w:val="1C1612"/>
          <w:sz w:val="22"/>
          <w:szCs w:val="22"/>
        </w:rPr>
        <w:t xml:space="preserve">Regulated by RICS under the Red Book Global Standards (RICS Valuation — Professional Standards 2022)</w:t>
      </w:r>
    </w:p>
    <w:p>
      <w:pPr>
        <w:pStyle w:val="ListParagraph"/>
        <w:numPr>
          <w:ilvl w:val="0"/>
          <w:numId w:val="2"/>
        </w:numPr>
        <w:spacing w:after="60" w:before="60" w:line="340" w:lineRule="auto"/>
      </w:pPr>
      <w:r>
        <w:rPr>
          <w:rFonts w:ascii="Arial" w:cs="Arial" w:eastAsia="Arial" w:hAnsi="Arial"/>
          <w:color w:val="1C1612"/>
          <w:sz w:val="22"/>
          <w:szCs w:val="22"/>
        </w:rPr>
        <w:t xml:space="preserve">Compliant with IVSC International Valuation Standards for cross-border and institutional instructions</w:t>
      </w:r>
    </w:p>
    <w:p>
      <w:pPr>
        <w:pStyle w:val="ListParagraph"/>
        <w:numPr>
          <w:ilvl w:val="0"/>
          <w:numId w:val="2"/>
        </w:numPr>
        <w:spacing w:after="60" w:before="60" w:line="340" w:lineRule="auto"/>
      </w:pPr>
      <w:r>
        <w:rPr>
          <w:rFonts w:ascii="Arial" w:cs="Arial" w:eastAsia="Arial" w:hAnsi="Arial"/>
          <w:color w:val="1C1612"/>
          <w:sz w:val="22"/>
          <w:szCs w:val="22"/>
        </w:rPr>
        <w:t xml:space="preserve">Professional Indemnity Insurance held at levels commensurate with scope of instruction</w:t>
      </w:r>
    </w:p>
    <w:p>
      <w:pPr>
        <w:pStyle w:val="ListParagraph"/>
        <w:numPr>
          <w:ilvl w:val="0"/>
          <w:numId w:val="2"/>
        </w:numPr>
        <w:spacing w:after="60" w:before="60" w:line="340" w:lineRule="auto"/>
      </w:pPr>
      <w:r>
        <w:rPr>
          <w:rFonts w:ascii="Arial" w:cs="Arial" w:eastAsia="Arial" w:hAnsi="Arial"/>
          <w:color w:val="1C1612"/>
          <w:sz w:val="22"/>
          <w:szCs w:val="22"/>
        </w:rPr>
        <w:t xml:space="preserve">All lead valuers hold MRICS or FRICS designation</w:t>
      </w:r>
    </w:p>
    <w:p>
      <w:pPr>
        <w:pStyle w:val="Heading1"/>
        <w:spacing w:after="120" w:before="400"/>
      </w:pPr>
      <w:r>
        <w:rPr>
          <w:rFonts w:ascii="Arial" w:cs="Arial" w:eastAsia="Arial" w:hAnsi="Arial"/>
          <w:b/>
          <w:bCs/>
          <w:color w:val="1C1612"/>
          <w:sz w:val="32"/>
          <w:szCs w:val="32"/>
        </w:rPr>
        <w:t xml:space="preserve">Services</w:t>
      </w:r>
    </w:p>
    <w:p>
      <w:pPr>
        <w:pBdr>
          <w:bottom w:val="single" w:color="C4A97A" w:sz="4" w:space="4"/>
        </w:pBdr>
        <w:spacing w:after="200" w:before="80"/>
      </w:pPr>
    </w:p>
    <w:p>
      <w:pPr>
        <w:spacing w:after="120" w:before="60" w:line="360" w:lineRule="auto"/>
        <w:jc w:val="left"/>
      </w:pPr>
      <w:r>
        <w:rPr>
          <w:rFonts w:ascii="Arial" w:cs="Arial" w:eastAsia="Arial" w:hAnsi="Arial"/>
          <w:color w:val="1C1612"/>
          <w:sz w:val="22"/>
          <w:szCs w:val="22"/>
        </w:rPr>
        <w:t xml:space="preserve">Propsense Consulting provides a structured suite of surveying and advisory services across four primary practice areas. Each service is delivered to a defined standard, with clear scope boundaries, output formats, and turnaround commitments.</w:t>
      </w:r>
    </w:p>
    <w:p>
      <w:pPr>
        <w:spacing w:after="0" w:before="200"/>
      </w:pPr>
    </w:p>
    <w:p>
      <w:pPr>
        <w:spacing w:after="100" w:before="280"/>
      </w:pPr>
      <w:r>
        <w:rPr>
          <w:rFonts w:ascii="Arial" w:cs="Arial" w:eastAsia="Arial" w:hAnsi="Arial"/>
          <w:b/>
          <w:bCs/>
          <w:color w:val="8B6F47"/>
          <w:sz w:val="26"/>
          <w:szCs w:val="26"/>
        </w:rPr>
        <w:t xml:space="preserve">1. Valuation Services</w:t>
      </w:r>
    </w:p>
    <w:p>
      <w:pPr>
        <w:spacing w:after="120" w:before="60" w:line="360" w:lineRule="auto"/>
        <w:jc w:val="left"/>
      </w:pPr>
      <w:r>
        <w:rPr>
          <w:rFonts w:ascii="Arial" w:cs="Arial" w:eastAsia="Arial" w:hAnsi="Arial"/>
          <w:color w:val="1C1612"/>
          <w:sz w:val="22"/>
          <w:szCs w:val="22"/>
        </w:rPr>
        <w:t xml:space="preserve">Formal property valuations conducted under RICS Red Book standards for a range of purposes. All valuations are prepared by MRICS or FRICS designated professionals and carry full regulatory standing.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Service</w:t>
            </w:r>
          </w:p>
        </w:tc>
        <w:tc>
          <w:tcPr>
            <w:tcW w:type="dxa" w:w="160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Scope</w:t>
            </w:r>
          </w:p>
        </w:tc>
        <w:tc>
          <w:tcPr>
            <w:tcW w:type="dxa" w:w="456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Key Deliverables</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Market Value Assessment</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Residential / Commercial / Industrial</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Formal RICS-compliant valuation report; comparable evidence schedule; market commentary</w:t>
            </w:r>
          </w:p>
        </w:tc>
      </w:tr>
      <w:tr>
        <w:tc>
          <w:tcPr>
            <w:tcW w:type="dxa" w:w="32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Mortgage &amp; Lending Valuation</w:t>
            </w:r>
          </w:p>
        </w:tc>
        <w:tc>
          <w:tcPr>
            <w:tcW w:type="dxa" w:w="16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Residential / BTL / Commercial</w:t>
            </w:r>
          </w:p>
        </w:tc>
        <w:tc>
          <w:tcPr>
            <w:tcW w:type="dxa" w:w="45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Lender-standard report; capital value opinion; risk indicators</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Portfolio Valuation</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Multi-asset / Institutional</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Aggregated portfolio report; individual asset schedules; desktop and site-inspected methodologies</w:t>
            </w:r>
          </w:p>
        </w:tc>
      </w:tr>
      <w:tr>
        <w:tc>
          <w:tcPr>
            <w:tcW w:type="dxa" w:w="32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Insurance Reinstatement Valuation</w:t>
            </w:r>
          </w:p>
        </w:tc>
        <w:tc>
          <w:tcPr>
            <w:tcW w:type="dxa" w:w="16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All property types</w:t>
            </w:r>
          </w:p>
        </w:tc>
        <w:tc>
          <w:tcPr>
            <w:tcW w:type="dxa" w:w="45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Full reinstatement cost assessment (RCA); RICS-compliant IBC report</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Probate &amp; Matrimonial Valuation</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Residential</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Date-specific historical valuation; court-admissible format</w:t>
            </w:r>
          </w:p>
        </w:tc>
      </w:tr>
      <w:tr>
        <w:tc>
          <w:tcPr>
            <w:tcW w:type="dxa" w:w="32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Compulsory Purchase &amp; Compensation</w:t>
            </w:r>
          </w:p>
        </w:tc>
        <w:tc>
          <w:tcPr>
            <w:tcW w:type="dxa" w:w="16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Residential / Commercial / Agricultural</w:t>
            </w:r>
          </w:p>
        </w:tc>
        <w:tc>
          <w:tcPr>
            <w:tcW w:type="dxa" w:w="45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Claimant or acquiring authority instruction; compensation calculation report</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Development Appraisal</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Land / Mixed-use / Residential</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GDV assessment; residual land value; viability opinion</w:t>
            </w:r>
          </w:p>
        </w:tc>
      </w:tr>
    </w:tbl>
    <w:p>
      <w:pPr>
        <w:spacing w:after="0" w:before="280"/>
      </w:pPr>
    </w:p>
    <w:p>
      <w:pPr>
        <w:spacing w:after="100" w:before="280"/>
      </w:pPr>
      <w:r>
        <w:rPr>
          <w:rFonts w:ascii="Arial" w:cs="Arial" w:eastAsia="Arial" w:hAnsi="Arial"/>
          <w:b/>
          <w:bCs/>
          <w:color w:val="8B6F47"/>
          <w:sz w:val="26"/>
          <w:szCs w:val="26"/>
        </w:rPr>
        <w:t xml:space="preserve">2. Building &amp; Structural Survey</w:t>
      </w:r>
    </w:p>
    <w:p>
      <w:pPr>
        <w:spacing w:after="120" w:before="60" w:line="360" w:lineRule="auto"/>
        <w:jc w:val="left"/>
      </w:pPr>
      <w:r>
        <w:rPr>
          <w:rFonts w:ascii="Arial" w:cs="Arial" w:eastAsia="Arial" w:hAnsi="Arial"/>
          <w:color w:val="1C1612"/>
          <w:sz w:val="22"/>
          <w:szCs w:val="22"/>
        </w:rPr>
        <w:t xml:space="preserve">Detailed physical inspections covering condition, defect identification, and maintenance liability. Propsense surveyors follow a systematic inspection framework aligned to RICS Home Survey Standard and BS 7913 for historic properties.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Service</w:t>
            </w:r>
          </w:p>
        </w:tc>
        <w:tc>
          <w:tcPr>
            <w:tcW w:type="dxa" w:w="160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Scope</w:t>
            </w:r>
          </w:p>
        </w:tc>
        <w:tc>
          <w:tcPr>
            <w:tcW w:type="dxa" w:w="456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Key Deliverables</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RICS Level 1 (Condition Report)</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Residential</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Traffic-light condition ratings; key risk flags; summary report</w:t>
            </w:r>
          </w:p>
        </w:tc>
      </w:tr>
      <w:tr>
        <w:tc>
          <w:tcPr>
            <w:tcW w:type="dxa" w:w="32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RICS Level 2 (HomeBuyer Report)</w:t>
            </w:r>
          </w:p>
        </w:tc>
        <w:tc>
          <w:tcPr>
            <w:tcW w:type="dxa" w:w="16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Residential up to ~£2M</w:t>
            </w:r>
          </w:p>
        </w:tc>
        <w:tc>
          <w:tcPr>
            <w:tcW w:type="dxa" w:w="45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Condition ratings; defect analysis; market value opinion; repair cost indications</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RICS Level 3 (Building Survey)</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All residential types</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Comprehensive structural inspection; defect root cause analysis; priority repair schedule; cost ranges</w:t>
            </w:r>
          </w:p>
        </w:tc>
      </w:tr>
      <w:tr>
        <w:tc>
          <w:tcPr>
            <w:tcW w:type="dxa" w:w="32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Commercial Property Survey</w:t>
            </w:r>
          </w:p>
        </w:tc>
        <w:tc>
          <w:tcPr>
            <w:tcW w:type="dxa" w:w="16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Office / Retail / Industrial</w:t>
            </w:r>
          </w:p>
        </w:tc>
        <w:tc>
          <w:tcPr>
            <w:tcW w:type="dxa" w:w="45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Structural and M&amp;E condition; schedule of dilapidations risk; capex planning data</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Pre-Acquisition Technical Due Diligence</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Commercial / Development</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Structural, M&amp;E, environmental, and planning review; risk register; SLA for vendor warranty</w:t>
            </w:r>
          </w:p>
        </w:tc>
      </w:tr>
      <w:tr>
        <w:tc>
          <w:tcPr>
            <w:tcW w:type="dxa" w:w="32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Schedules of Condition</w:t>
            </w:r>
          </w:p>
        </w:tc>
        <w:tc>
          <w:tcPr>
            <w:tcW w:type="dxa" w:w="16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All types</w:t>
            </w:r>
          </w:p>
        </w:tc>
        <w:tc>
          <w:tcPr>
            <w:tcW w:type="dxa" w:w="45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Baseline condition record for lease commencement; photographic schedule; dispute-ready format</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Dilapidations Assessment</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Leasehold commercial</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Tenant or landlord instruction; terminal schedule; diminution in value cap assessment</w:t>
            </w:r>
          </w:p>
        </w:tc>
      </w:tr>
    </w:tbl>
    <w:p>
      <w:pPr>
        <w:spacing w:after="0" w:before="280"/>
      </w:pPr>
    </w:p>
    <w:p>
      <w:pPr>
        <w:spacing w:after="100" w:before="280"/>
      </w:pPr>
      <w:r>
        <w:rPr>
          <w:rFonts w:ascii="Arial" w:cs="Arial" w:eastAsia="Arial" w:hAnsi="Arial"/>
          <w:b/>
          <w:bCs/>
          <w:color w:val="8B6F47"/>
          <w:sz w:val="26"/>
          <w:szCs w:val="26"/>
        </w:rPr>
        <w:t xml:space="preserve">3. Planning &amp; Development Advisory</w:t>
      </w:r>
    </w:p>
    <w:p>
      <w:pPr>
        <w:spacing w:after="120" w:before="60" w:line="360" w:lineRule="auto"/>
        <w:jc w:val="left"/>
      </w:pPr>
      <w:r>
        <w:rPr>
          <w:rFonts w:ascii="Arial" w:cs="Arial" w:eastAsia="Arial" w:hAnsi="Arial"/>
          <w:color w:val="1C1612"/>
          <w:sz w:val="22"/>
          <w:szCs w:val="22"/>
        </w:rPr>
        <w:t xml:space="preserve">Strategic advisory services for landowners, developers, and investors navigating the planning and development process. Propsense provides independent expert input at all stages of the project lifecycle.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Service</w:t>
            </w:r>
          </w:p>
        </w:tc>
        <w:tc>
          <w:tcPr>
            <w:tcW w:type="dxa" w:w="160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Scope</w:t>
            </w:r>
          </w:p>
        </w:tc>
        <w:tc>
          <w:tcPr>
            <w:tcW w:type="dxa" w:w="456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Key Deliverables</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Planning Viability Assessment</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Residential / Mixed-use</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RICS-compliant viability report for planning submission; affordable housing negotiation support</w:t>
            </w:r>
          </w:p>
        </w:tc>
      </w:tr>
      <w:tr>
        <w:tc>
          <w:tcPr>
            <w:tcW w:type="dxa" w:w="32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Residual Land Value Analysis</w:t>
            </w:r>
          </w:p>
        </w:tc>
        <w:tc>
          <w:tcPr>
            <w:tcW w:type="dxa" w:w="16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Land / Development sites</w:t>
            </w:r>
          </w:p>
        </w:tc>
        <w:tc>
          <w:tcPr>
            <w:tcW w:type="dxa" w:w="45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Benchmark GDV; build cost assessment; target land value; sensitivity analysis</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Expert Witness &amp; Planning Inquiry</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All types</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Written evidence; oral evidence at PINS inquiry; statutory undertaker obligations</w:t>
            </w:r>
          </w:p>
        </w:tc>
      </w:tr>
      <w:tr>
        <w:tc>
          <w:tcPr>
            <w:tcW w:type="dxa" w:w="32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Development Monitoring</w:t>
            </w:r>
          </w:p>
        </w:tc>
        <w:tc>
          <w:tcPr>
            <w:tcW w:type="dxa" w:w="16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Active construction sites</w:t>
            </w:r>
          </w:p>
        </w:tc>
        <w:tc>
          <w:tcPr>
            <w:tcW w:type="dxa" w:w="45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Funder-facing progress reports; draw-down certification; cost-to-complete assessment</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Affordable Housing Viability Review</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Residential developments</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Section 106 negotiation support; viability re-appraisal; independent reviewer role</w:t>
            </w:r>
          </w:p>
        </w:tc>
      </w:tr>
    </w:tbl>
    <w:p>
      <w:pPr>
        <w:spacing w:after="0" w:before="280"/>
      </w:pPr>
    </w:p>
    <w:p>
      <w:pPr>
        <w:spacing w:after="100" w:before="280"/>
      </w:pPr>
      <w:r>
        <w:rPr>
          <w:rFonts w:ascii="Arial" w:cs="Arial" w:eastAsia="Arial" w:hAnsi="Arial"/>
          <w:b/>
          <w:bCs/>
          <w:color w:val="8B6F47"/>
          <w:sz w:val="26"/>
          <w:szCs w:val="26"/>
        </w:rPr>
        <w:t xml:space="preserve">4. Dispute Resolution &amp; Expert Services</w:t>
      </w:r>
    </w:p>
    <w:p>
      <w:pPr>
        <w:spacing w:after="120" w:before="60" w:line="360" w:lineRule="auto"/>
        <w:jc w:val="left"/>
      </w:pPr>
      <w:r>
        <w:rPr>
          <w:rFonts w:ascii="Arial" w:cs="Arial" w:eastAsia="Arial" w:hAnsi="Arial"/>
          <w:color w:val="1C1612"/>
          <w:sz w:val="22"/>
          <w:szCs w:val="22"/>
        </w:rPr>
        <w:t xml:space="preserve">Propsense professionals act as independent experts, arbitrators, and expert witnesses across a range of property-related disputes and legal proceedings. All expert instructions comply with CPR Part 35 (UK) and equivalent procedural rules in applicable jurisdictions.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Service</w:t>
            </w:r>
          </w:p>
        </w:tc>
        <w:tc>
          <w:tcPr>
            <w:tcW w:type="dxa" w:w="160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Scope</w:t>
            </w:r>
          </w:p>
        </w:tc>
        <w:tc>
          <w:tcPr>
            <w:tcW w:type="dxa" w:w="456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Key Deliverables</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Expert Witness Report (Court)</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All property types</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CPR-compliant expert report; single joint expert (SJE) role available; oral examination support</w:t>
            </w:r>
          </w:p>
        </w:tc>
      </w:tr>
      <w:tr>
        <w:tc>
          <w:tcPr>
            <w:tcW w:type="dxa" w:w="32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Arbitration &amp; Dispute Reference</w:t>
            </w:r>
          </w:p>
        </w:tc>
        <w:tc>
          <w:tcPr>
            <w:tcW w:type="dxa" w:w="16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Lease renewals / Rent reviews / Dilapidations</w:t>
            </w:r>
          </w:p>
        </w:tc>
        <w:tc>
          <w:tcPr>
            <w:tcW w:type="dxa" w:w="45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Independent arbitration or determination; reasoned award; enforceable outcome</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Rent Review &amp; Lease Renewal</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Commercial leasehold</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Open market rental assessment; comparable evidence; negotiation support; tribunal submission</w:t>
            </w:r>
          </w:p>
        </w:tc>
      </w:tr>
      <w:tr>
        <w:tc>
          <w:tcPr>
            <w:tcW w:type="dxa" w:w="32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RICS Dispute Resolution Service</w:t>
            </w:r>
          </w:p>
        </w:tc>
        <w:tc>
          <w:tcPr>
            <w:tcW w:type="dxa" w:w="16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All types</w:t>
            </w:r>
          </w:p>
        </w:tc>
        <w:tc>
          <w:tcPr>
            <w:tcW w:type="dxa" w:w="45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Accredited mediator support; expert determination; structured negotiation</w:t>
            </w:r>
          </w:p>
        </w:tc>
      </w:tr>
      <w:tr>
        <w:tc>
          <w:tcPr>
            <w:tcW w:type="dxa" w:w="32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b/>
                <w:bCs/>
                <w:color w:val="1C1612"/>
                <w:sz w:val="21"/>
                <w:szCs w:val="21"/>
              </w:rPr>
              <w:t xml:space="preserve">Professional Negligence Assessment</w:t>
            </w:r>
          </w:p>
        </w:tc>
        <w:tc>
          <w:tcPr>
            <w:tcW w:type="dxa" w:w="16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All types</w:t>
            </w:r>
          </w:p>
        </w:tc>
        <w:tc>
          <w:tcPr>
            <w:tcW w:type="dxa" w:w="45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Independent review of prior surveyor or valuer work; quantum of loss report</w:t>
            </w:r>
          </w:p>
        </w:tc>
      </w:tr>
    </w:tbl>
    <w:p>
      <w:pPr>
        <w:pStyle w:val="Heading1"/>
        <w:spacing w:after="120" w:before="400"/>
      </w:pPr>
      <w:r>
        <w:rPr>
          <w:rFonts w:ascii="Arial" w:cs="Arial" w:eastAsia="Arial" w:hAnsi="Arial"/>
          <w:b/>
          <w:bCs/>
          <w:color w:val="1C1612"/>
          <w:sz w:val="32"/>
          <w:szCs w:val="32"/>
        </w:rPr>
        <w:t xml:space="preserve">Sectors &amp; Client Types</w:t>
      </w:r>
    </w:p>
    <w:p>
      <w:pPr>
        <w:pBdr>
          <w:bottom w:val="single" w:color="C4A97A" w:sz="4" w:space="4"/>
        </w:pBdr>
        <w:spacing w:after="200" w:before="80"/>
      </w:pPr>
    </w:p>
    <w:p>
      <w:pPr>
        <w:spacing w:after="120" w:before="60" w:line="360" w:lineRule="auto"/>
        <w:jc w:val="left"/>
      </w:pPr>
      <w:r>
        <w:rPr>
          <w:rFonts w:ascii="Arial" w:cs="Arial" w:eastAsia="Arial" w:hAnsi="Arial"/>
          <w:color w:val="1C1612"/>
          <w:sz w:val="22"/>
          <w:szCs w:val="22"/>
        </w:rPr>
        <w:t xml:space="preserve">Propsense Consulting serves clients across a broad range of sectors. Our experience spans both the private and institutional markets, enabling us to calibrate our approach to the specific standards, expectations, and risk tolerance of each client group.</w:t>
      </w:r>
    </w:p>
    <w:p>
      <w:pPr>
        <w:spacing w:after="0" w:before="200"/>
      </w:pPr>
    </w:p>
    <w:p>
      <w:pPr>
        <w:spacing w:after="100" w:before="280"/>
      </w:pPr>
      <w:r>
        <w:rPr>
          <w:rFonts w:ascii="Arial" w:cs="Arial" w:eastAsia="Arial" w:hAnsi="Arial"/>
          <w:b/>
          <w:bCs/>
          <w:color w:val="8B6F47"/>
          <w:sz w:val="26"/>
          <w:szCs w:val="26"/>
        </w:rPr>
        <w:t xml:space="preserve">Residential</w:t>
      </w:r>
    </w:p>
    <w:p>
      <w:pPr>
        <w:spacing w:after="120" w:before="60" w:line="360" w:lineRule="auto"/>
        <w:jc w:val="left"/>
      </w:pPr>
      <w:r>
        <w:rPr>
          <w:rFonts w:ascii="Arial" w:cs="Arial" w:eastAsia="Arial" w:hAnsi="Arial"/>
          <w:color w:val="1C1612"/>
          <w:sz w:val="22"/>
          <w:szCs w:val="22"/>
        </w:rPr>
        <w:t xml:space="preserve">Private homeowners, residential landlords, buy-to-let investors, and high-net-worth individuals. Services include HomeBuyer Reports, Level 3 Building Surveys, market valuations, probate instructions, and matrimonial proceedings.</w:t>
      </w:r>
    </w:p>
    <w:p>
      <w:pPr>
        <w:spacing w:after="0" w:before="160"/>
      </w:pPr>
    </w:p>
    <w:p>
      <w:pPr>
        <w:spacing w:after="100" w:before="280"/>
      </w:pPr>
      <w:r>
        <w:rPr>
          <w:rFonts w:ascii="Arial" w:cs="Arial" w:eastAsia="Arial" w:hAnsi="Arial"/>
          <w:b/>
          <w:bCs/>
          <w:color w:val="8B6F47"/>
          <w:sz w:val="26"/>
          <w:szCs w:val="26"/>
        </w:rPr>
        <w:t xml:space="preserve">Commercial &amp; Retail</w:t>
      </w:r>
    </w:p>
    <w:p>
      <w:pPr>
        <w:spacing w:after="120" w:before="60" w:line="360" w:lineRule="auto"/>
        <w:jc w:val="left"/>
      </w:pPr>
      <w:r>
        <w:rPr>
          <w:rFonts w:ascii="Arial" w:cs="Arial" w:eastAsia="Arial" w:hAnsi="Arial"/>
          <w:color w:val="1C1612"/>
          <w:sz w:val="22"/>
          <w:szCs w:val="22"/>
        </w:rPr>
        <w:t xml:space="preserve">Retailers, office occupiers, hospitality operators, and commercial property investors. Typical instructions include rent reviews, lease renewals, dilapidations claims, acquisition due diligence, and asset management support.</w:t>
      </w:r>
    </w:p>
    <w:p>
      <w:pPr>
        <w:spacing w:after="0" w:before="160"/>
      </w:pPr>
    </w:p>
    <w:p>
      <w:pPr>
        <w:spacing w:after="100" w:before="280"/>
      </w:pPr>
      <w:r>
        <w:rPr>
          <w:rFonts w:ascii="Arial" w:cs="Arial" w:eastAsia="Arial" w:hAnsi="Arial"/>
          <w:b/>
          <w:bCs/>
          <w:color w:val="8B6F47"/>
          <w:sz w:val="26"/>
          <w:szCs w:val="26"/>
        </w:rPr>
        <w:t xml:space="preserve">Development &amp; Housebuilding</w:t>
      </w:r>
    </w:p>
    <w:p>
      <w:pPr>
        <w:spacing w:after="120" w:before="60" w:line="360" w:lineRule="auto"/>
        <w:jc w:val="left"/>
      </w:pPr>
      <w:r>
        <w:rPr>
          <w:rFonts w:ascii="Arial" w:cs="Arial" w:eastAsia="Arial" w:hAnsi="Arial"/>
          <w:color w:val="1C1612"/>
          <w:sz w:val="22"/>
          <w:szCs w:val="22"/>
        </w:rPr>
        <w:t xml:space="preserve">Developers, registered providers, and housebuilders seeking planning viability assessments, section 106 negotiations, development monitoring, and GDV analysis. We act for both developer and local authority clients to maintain a balanced understanding of the planning negotiation dynamic.</w:t>
      </w:r>
    </w:p>
    <w:p>
      <w:pPr>
        <w:spacing w:after="0" w:before="160"/>
      </w:pPr>
    </w:p>
    <w:p>
      <w:pPr>
        <w:spacing w:after="100" w:before="280"/>
      </w:pPr>
      <w:r>
        <w:rPr>
          <w:rFonts w:ascii="Arial" w:cs="Arial" w:eastAsia="Arial" w:hAnsi="Arial"/>
          <w:b/>
          <w:bCs/>
          <w:color w:val="8B6F47"/>
          <w:sz w:val="26"/>
          <w:szCs w:val="26"/>
        </w:rPr>
        <w:t xml:space="preserve">Institutional &amp; Investment</w:t>
      </w:r>
    </w:p>
    <w:p>
      <w:pPr>
        <w:spacing w:after="120" w:before="60" w:line="360" w:lineRule="auto"/>
        <w:jc w:val="left"/>
      </w:pPr>
      <w:r>
        <w:rPr>
          <w:rFonts w:ascii="Arial" w:cs="Arial" w:eastAsia="Arial" w:hAnsi="Arial"/>
          <w:color w:val="1C1612"/>
          <w:sz w:val="22"/>
          <w:szCs w:val="22"/>
        </w:rPr>
        <w:t xml:space="preserve">Property funds, REITs, pension funds, and family offices requiring portfolio valuations, acquisition appraisals, and asset strategy support. Reports are produced to institutional-grade standards with full IVSC compliance where required.</w:t>
      </w:r>
    </w:p>
    <w:p>
      <w:pPr>
        <w:spacing w:after="0" w:before="160"/>
      </w:pPr>
    </w:p>
    <w:p>
      <w:pPr>
        <w:spacing w:after="100" w:before="280"/>
      </w:pPr>
      <w:r>
        <w:rPr>
          <w:rFonts w:ascii="Arial" w:cs="Arial" w:eastAsia="Arial" w:hAnsi="Arial"/>
          <w:b/>
          <w:bCs/>
          <w:color w:val="8B6F47"/>
          <w:sz w:val="26"/>
          <w:szCs w:val="26"/>
        </w:rPr>
        <w:t xml:space="preserve">Financial &amp; Legal</w:t>
      </w:r>
    </w:p>
    <w:p>
      <w:pPr>
        <w:spacing w:after="120" w:before="60" w:line="360" w:lineRule="auto"/>
        <w:jc w:val="left"/>
      </w:pPr>
      <w:r>
        <w:rPr>
          <w:rFonts w:ascii="Arial" w:cs="Arial" w:eastAsia="Arial" w:hAnsi="Arial"/>
          <w:color w:val="1C1612"/>
          <w:sz w:val="22"/>
          <w:szCs w:val="22"/>
        </w:rPr>
        <w:t xml:space="preserve">Mortgage lenders, solicitors, insolvency practitioners, and litigation teams. We provide lending valuations, expert witness reports, professional negligence assessments, and Court of Protection instructions.</w:t>
      </w:r>
    </w:p>
    <w:p>
      <w:pPr>
        <w:spacing w:after="0" w:before="160"/>
      </w:pPr>
    </w:p>
    <w:p>
      <w:pPr>
        <w:spacing w:after="100" w:before="280"/>
      </w:pPr>
      <w:r>
        <w:rPr>
          <w:rFonts w:ascii="Arial" w:cs="Arial" w:eastAsia="Arial" w:hAnsi="Arial"/>
          <w:b/>
          <w:bCs/>
          <w:color w:val="8B6F47"/>
          <w:sz w:val="26"/>
          <w:szCs w:val="26"/>
        </w:rPr>
        <w:t xml:space="preserve">Public Sector &amp; Infrastructure</w:t>
      </w:r>
    </w:p>
    <w:p>
      <w:pPr>
        <w:spacing w:after="120" w:before="60" w:line="360" w:lineRule="auto"/>
        <w:jc w:val="left"/>
      </w:pPr>
      <w:r>
        <w:rPr>
          <w:rFonts w:ascii="Arial" w:cs="Arial" w:eastAsia="Arial" w:hAnsi="Arial"/>
          <w:color w:val="1C1612"/>
          <w:sz w:val="22"/>
          <w:szCs w:val="22"/>
        </w:rPr>
        <w:t xml:space="preserve">Local authorities, government departments, housing associations, statutory undertakers, and Network Rail. Instructions include compulsory purchase assessments, compensation claims, housing viability reviews, and public inquiry evidence.</w:t>
      </w:r>
    </w:p>
    <w:p>
      <w:pPr>
        <w:pStyle w:val="Heading1"/>
        <w:spacing w:after="120" w:before="400"/>
      </w:pPr>
      <w:r>
        <w:rPr>
          <w:rFonts w:ascii="Arial" w:cs="Arial" w:eastAsia="Arial" w:hAnsi="Arial"/>
          <w:b/>
          <w:bCs/>
          <w:color w:val="1C1612"/>
          <w:sz w:val="32"/>
          <w:szCs w:val="32"/>
        </w:rPr>
        <w:t xml:space="preserve">Instruction Process</w:t>
      </w:r>
    </w:p>
    <w:p>
      <w:pPr>
        <w:pBdr>
          <w:bottom w:val="single" w:color="C4A97A" w:sz="4" w:space="4"/>
        </w:pBdr>
        <w:spacing w:after="200" w:before="80"/>
      </w:pPr>
    </w:p>
    <w:p>
      <w:pPr>
        <w:spacing w:after="120" w:before="60" w:line="360" w:lineRule="auto"/>
        <w:jc w:val="left"/>
      </w:pPr>
      <w:r>
        <w:rPr>
          <w:rFonts w:ascii="Arial" w:cs="Arial" w:eastAsia="Arial" w:hAnsi="Arial"/>
          <w:color w:val="1C1612"/>
          <w:sz w:val="22"/>
          <w:szCs w:val="22"/>
        </w:rPr>
        <w:t xml:space="preserve">Propsense Consulting operates a structured instruction and delivery framework designed to maximise accuracy, minimise delay, and ensure full traceability from instruction to final report. The following workflow applies to all standard instructions.</w:t>
      </w:r>
    </w:p>
    <w:p>
      <w:pPr>
        <w:spacing w:after="0" w:before="200"/>
      </w:pPr>
    </w:p>
    <w:p>
      <w:pPr>
        <w:spacing w:after="100" w:before="280"/>
      </w:pPr>
      <w:r>
        <w:rPr>
          <w:rFonts w:ascii="Arial" w:cs="Arial" w:eastAsia="Arial" w:hAnsi="Arial"/>
          <w:b/>
          <w:bCs/>
          <w:color w:val="8B6F47"/>
          <w:sz w:val="26"/>
          <w:szCs w:val="26"/>
        </w:rPr>
        <w:t xml:space="preserve">Stage 1 — Instruction &amp; Scoping</w:t>
      </w:r>
    </w:p>
    <w:p>
      <w:pPr>
        <w:pStyle w:val="ListParagraph"/>
        <w:numPr>
          <w:ilvl w:val="0"/>
          <w:numId w:val="2"/>
        </w:numPr>
        <w:spacing w:after="60" w:before="60" w:line="340" w:lineRule="auto"/>
      </w:pPr>
      <w:r>
        <w:rPr>
          <w:rFonts w:ascii="Arial" w:cs="Arial" w:eastAsia="Arial" w:hAnsi="Arial"/>
          <w:color w:val="1C1612"/>
          <w:sz w:val="22"/>
          <w:szCs w:val="22"/>
        </w:rPr>
        <w:t xml:space="preserve">Client submits an instruction via the online portal, email, or telephone.</w:t>
      </w:r>
    </w:p>
    <w:p>
      <w:pPr>
        <w:pStyle w:val="ListParagraph"/>
        <w:numPr>
          <w:ilvl w:val="0"/>
          <w:numId w:val="2"/>
        </w:numPr>
        <w:spacing w:after="60" w:before="60" w:line="340" w:lineRule="auto"/>
      </w:pPr>
      <w:r>
        <w:rPr>
          <w:rFonts w:ascii="Arial" w:cs="Arial" w:eastAsia="Arial" w:hAnsi="Arial"/>
          <w:color w:val="1C1612"/>
          <w:sz w:val="22"/>
          <w:szCs w:val="22"/>
        </w:rPr>
        <w:t xml:space="preserve">A Senior Surveyor reviews the instruction and confirms scope, property type, valuation basis, and purpose.</w:t>
      </w:r>
    </w:p>
    <w:p>
      <w:pPr>
        <w:pStyle w:val="ListParagraph"/>
        <w:numPr>
          <w:ilvl w:val="0"/>
          <w:numId w:val="2"/>
        </w:numPr>
        <w:spacing w:after="60" w:before="60" w:line="340" w:lineRule="auto"/>
      </w:pPr>
      <w:r>
        <w:rPr>
          <w:rFonts w:ascii="Arial" w:cs="Arial" w:eastAsia="Arial" w:hAnsi="Arial"/>
          <w:color w:val="1C1612"/>
          <w:sz w:val="22"/>
          <w:szCs w:val="22"/>
        </w:rPr>
        <w:t xml:space="preserve">Fee estimate and engagement letter issued within one business day.</w:t>
      </w:r>
    </w:p>
    <w:p>
      <w:pPr>
        <w:pStyle w:val="ListParagraph"/>
        <w:numPr>
          <w:ilvl w:val="0"/>
          <w:numId w:val="2"/>
        </w:numPr>
        <w:spacing w:after="60" w:before="60" w:line="340" w:lineRule="auto"/>
      </w:pPr>
      <w:r>
        <w:rPr>
          <w:rFonts w:ascii="Arial" w:cs="Arial" w:eastAsia="Arial" w:hAnsi="Arial"/>
          <w:color w:val="1C1612"/>
          <w:sz w:val="22"/>
          <w:szCs w:val="22"/>
        </w:rPr>
        <w:t xml:space="preserve">Client confirms instruction; initial conflict-of-interest check completed.</w:t>
      </w:r>
    </w:p>
    <w:p>
      <w:pPr>
        <w:spacing w:after="0" w:before="160"/>
      </w:pPr>
    </w:p>
    <w:p>
      <w:pPr>
        <w:spacing w:after="100" w:before="280"/>
      </w:pPr>
      <w:r>
        <w:rPr>
          <w:rFonts w:ascii="Arial" w:cs="Arial" w:eastAsia="Arial" w:hAnsi="Arial"/>
          <w:b/>
          <w:bCs/>
          <w:color w:val="8B6F47"/>
          <w:sz w:val="26"/>
          <w:szCs w:val="26"/>
        </w:rPr>
        <w:t xml:space="preserve">Stage 2 — Inspection</w:t>
      </w:r>
    </w:p>
    <w:p>
      <w:pPr>
        <w:pStyle w:val="ListParagraph"/>
        <w:numPr>
          <w:ilvl w:val="0"/>
          <w:numId w:val="2"/>
        </w:numPr>
        <w:spacing w:after="60" w:before="60" w:line="340" w:lineRule="auto"/>
      </w:pPr>
      <w:r>
        <w:rPr>
          <w:rFonts w:ascii="Arial" w:cs="Arial" w:eastAsia="Arial" w:hAnsi="Arial"/>
          <w:color w:val="1C1612"/>
          <w:sz w:val="22"/>
          <w:szCs w:val="22"/>
        </w:rPr>
        <w:t xml:space="preserve">Inspection appointment scheduled within agreed lead time (see SLAs).</w:t>
      </w:r>
    </w:p>
    <w:p>
      <w:pPr>
        <w:pStyle w:val="ListParagraph"/>
        <w:numPr>
          <w:ilvl w:val="0"/>
          <w:numId w:val="2"/>
        </w:numPr>
        <w:spacing w:after="60" w:before="60" w:line="340" w:lineRule="auto"/>
      </w:pPr>
      <w:r>
        <w:rPr>
          <w:rFonts w:ascii="Arial" w:cs="Arial" w:eastAsia="Arial" w:hAnsi="Arial"/>
          <w:color w:val="1C1612"/>
          <w:sz w:val="22"/>
          <w:szCs w:val="22"/>
        </w:rPr>
        <w:t xml:space="preserve">Qualified surveyor conducts a systematic physical inspection of the property.</w:t>
      </w:r>
    </w:p>
    <w:p>
      <w:pPr>
        <w:pStyle w:val="ListParagraph"/>
        <w:numPr>
          <w:ilvl w:val="0"/>
          <w:numId w:val="2"/>
        </w:numPr>
        <w:spacing w:after="60" w:before="60" w:line="340" w:lineRule="auto"/>
      </w:pPr>
      <w:r>
        <w:rPr>
          <w:rFonts w:ascii="Arial" w:cs="Arial" w:eastAsia="Arial" w:hAnsi="Arial"/>
          <w:color w:val="1C1612"/>
          <w:sz w:val="22"/>
          <w:szCs w:val="22"/>
        </w:rPr>
        <w:t xml:space="preserve">Photographic record taken; structural, legal, and environmental flags documented.</w:t>
      </w:r>
    </w:p>
    <w:p>
      <w:pPr>
        <w:pStyle w:val="ListParagraph"/>
        <w:numPr>
          <w:ilvl w:val="0"/>
          <w:numId w:val="2"/>
        </w:numPr>
        <w:spacing w:after="60" w:before="60" w:line="340" w:lineRule="auto"/>
      </w:pPr>
      <w:r>
        <w:rPr>
          <w:rFonts w:ascii="Arial" w:cs="Arial" w:eastAsia="Arial" w:hAnsi="Arial"/>
          <w:color w:val="1C1612"/>
          <w:sz w:val="22"/>
          <w:szCs w:val="22"/>
        </w:rPr>
        <w:t xml:space="preserve">Where required: drone survey, specialist sub-contractor, or specialist report commissioned.</w:t>
      </w:r>
    </w:p>
    <w:p>
      <w:pPr>
        <w:spacing w:after="0" w:before="160"/>
      </w:pPr>
    </w:p>
    <w:p>
      <w:pPr>
        <w:spacing w:after="100" w:before="280"/>
      </w:pPr>
      <w:r>
        <w:rPr>
          <w:rFonts w:ascii="Arial" w:cs="Arial" w:eastAsia="Arial" w:hAnsi="Arial"/>
          <w:b/>
          <w:bCs/>
          <w:color w:val="8B6F47"/>
          <w:sz w:val="26"/>
          <w:szCs w:val="26"/>
        </w:rPr>
        <w:t xml:space="preserve">Stage 3 — Research &amp; Analysis</w:t>
      </w:r>
    </w:p>
    <w:p>
      <w:pPr>
        <w:pStyle w:val="ListParagraph"/>
        <w:numPr>
          <w:ilvl w:val="0"/>
          <w:numId w:val="2"/>
        </w:numPr>
        <w:spacing w:after="60" w:before="60" w:line="340" w:lineRule="auto"/>
      </w:pPr>
      <w:r>
        <w:rPr>
          <w:rFonts w:ascii="Arial" w:cs="Arial" w:eastAsia="Arial" w:hAnsi="Arial"/>
          <w:color w:val="1C1612"/>
          <w:sz w:val="22"/>
          <w:szCs w:val="22"/>
        </w:rPr>
        <w:t xml:space="preserve">Comparable market evidence researched across primary databases (Land Registry, CoStar, EGi, MSCI, local agent data).</w:t>
      </w:r>
    </w:p>
    <w:p>
      <w:pPr>
        <w:pStyle w:val="ListParagraph"/>
        <w:numPr>
          <w:ilvl w:val="0"/>
          <w:numId w:val="2"/>
        </w:numPr>
        <w:spacing w:after="60" w:before="60" w:line="340" w:lineRule="auto"/>
      </w:pPr>
      <w:r>
        <w:rPr>
          <w:rFonts w:ascii="Arial" w:cs="Arial" w:eastAsia="Arial" w:hAnsi="Arial"/>
          <w:color w:val="1C1612"/>
          <w:sz w:val="22"/>
          <w:szCs w:val="22"/>
        </w:rPr>
        <w:t xml:space="preserve">Planning history reviewed; tenure and title issues identified.</w:t>
      </w:r>
    </w:p>
    <w:p>
      <w:pPr>
        <w:pStyle w:val="ListParagraph"/>
        <w:numPr>
          <w:ilvl w:val="0"/>
          <w:numId w:val="2"/>
        </w:numPr>
        <w:spacing w:after="60" w:before="60" w:line="340" w:lineRule="auto"/>
      </w:pPr>
      <w:r>
        <w:rPr>
          <w:rFonts w:ascii="Arial" w:cs="Arial" w:eastAsia="Arial" w:hAnsi="Arial"/>
          <w:color w:val="1C1612"/>
          <w:sz w:val="22"/>
          <w:szCs w:val="22"/>
        </w:rPr>
        <w:t xml:space="preserve">Comparable selection, adjustment, and weighting documented in the working file.</w:t>
      </w:r>
    </w:p>
    <w:p>
      <w:pPr>
        <w:pStyle w:val="ListParagraph"/>
        <w:numPr>
          <w:ilvl w:val="0"/>
          <w:numId w:val="2"/>
        </w:numPr>
        <w:spacing w:after="60" w:before="60" w:line="340" w:lineRule="auto"/>
      </w:pPr>
      <w:r>
        <w:rPr>
          <w:rFonts w:ascii="Arial" w:cs="Arial" w:eastAsia="Arial" w:hAnsi="Arial"/>
          <w:color w:val="1C1612"/>
          <w:sz w:val="22"/>
          <w:szCs w:val="22"/>
        </w:rPr>
        <w:t xml:space="preserve">Environmental search, flood risk assessment, and infrastructure risk checked as standard.</w:t>
      </w:r>
    </w:p>
    <w:p>
      <w:pPr>
        <w:spacing w:after="0" w:before="160"/>
      </w:pPr>
    </w:p>
    <w:p>
      <w:pPr>
        <w:spacing w:after="100" w:before="280"/>
      </w:pPr>
      <w:r>
        <w:rPr>
          <w:rFonts w:ascii="Arial" w:cs="Arial" w:eastAsia="Arial" w:hAnsi="Arial"/>
          <w:b/>
          <w:bCs/>
          <w:color w:val="8B6F47"/>
          <w:sz w:val="26"/>
          <w:szCs w:val="26"/>
        </w:rPr>
        <w:t xml:space="preserve">Stage 4 — Report Preparation &amp; Quality Review</w:t>
      </w:r>
    </w:p>
    <w:p>
      <w:pPr>
        <w:pStyle w:val="ListParagraph"/>
        <w:numPr>
          <w:ilvl w:val="0"/>
          <w:numId w:val="2"/>
        </w:numPr>
        <w:spacing w:after="60" w:before="60" w:line="340" w:lineRule="auto"/>
      </w:pPr>
      <w:r>
        <w:rPr>
          <w:rFonts w:ascii="Arial" w:cs="Arial" w:eastAsia="Arial" w:hAnsi="Arial"/>
          <w:color w:val="1C1612"/>
          <w:sz w:val="22"/>
          <w:szCs w:val="22"/>
        </w:rPr>
        <w:t xml:space="preserve">Draft report prepared by inspecting surveyor.</w:t>
      </w:r>
    </w:p>
    <w:p>
      <w:pPr>
        <w:pStyle w:val="ListParagraph"/>
        <w:numPr>
          <w:ilvl w:val="0"/>
          <w:numId w:val="2"/>
        </w:numPr>
        <w:spacing w:after="60" w:before="60" w:line="340" w:lineRule="auto"/>
      </w:pPr>
      <w:r>
        <w:rPr>
          <w:rFonts w:ascii="Arial" w:cs="Arial" w:eastAsia="Arial" w:hAnsi="Arial"/>
          <w:color w:val="1C1612"/>
          <w:sz w:val="22"/>
          <w:szCs w:val="22"/>
        </w:rPr>
        <w:t xml:space="preserve">All reports above a defined fee threshold subject to independent peer review before issue.</w:t>
      </w:r>
    </w:p>
    <w:p>
      <w:pPr>
        <w:pStyle w:val="ListParagraph"/>
        <w:numPr>
          <w:ilvl w:val="0"/>
          <w:numId w:val="2"/>
        </w:numPr>
        <w:spacing w:after="60" w:before="60" w:line="340" w:lineRule="auto"/>
      </w:pPr>
      <w:r>
        <w:rPr>
          <w:rFonts w:ascii="Arial" w:cs="Arial" w:eastAsia="Arial" w:hAnsi="Arial"/>
          <w:color w:val="1C1612"/>
          <w:sz w:val="22"/>
          <w:szCs w:val="22"/>
        </w:rPr>
        <w:t xml:space="preserve">Peer reviewer confirms: methodology, comparable selection, adjustment rationale, and conclusion consistency.</w:t>
      </w:r>
    </w:p>
    <w:p>
      <w:pPr>
        <w:pStyle w:val="ListParagraph"/>
        <w:numPr>
          <w:ilvl w:val="0"/>
          <w:numId w:val="2"/>
        </w:numPr>
        <w:spacing w:after="60" w:before="60" w:line="340" w:lineRule="auto"/>
      </w:pPr>
      <w:r>
        <w:rPr>
          <w:rFonts w:ascii="Arial" w:cs="Arial" w:eastAsia="Arial" w:hAnsi="Arial"/>
          <w:color w:val="1C1612"/>
          <w:sz w:val="22"/>
          <w:szCs w:val="22"/>
        </w:rPr>
        <w:t xml:space="preserve">Senior partner sign-off for lending, litigation, or portfolio instructions.</w:t>
      </w:r>
    </w:p>
    <w:p>
      <w:pPr>
        <w:spacing w:after="0" w:before="160"/>
      </w:pPr>
    </w:p>
    <w:p>
      <w:pPr>
        <w:spacing w:after="100" w:before="280"/>
      </w:pPr>
      <w:r>
        <w:rPr>
          <w:rFonts w:ascii="Arial" w:cs="Arial" w:eastAsia="Arial" w:hAnsi="Arial"/>
          <w:b/>
          <w:bCs/>
          <w:color w:val="8B6F47"/>
          <w:sz w:val="26"/>
          <w:szCs w:val="26"/>
        </w:rPr>
        <w:t xml:space="preserve">Stage 5 — Delivery &amp; Post-Instruction Support</w:t>
      </w:r>
    </w:p>
    <w:p>
      <w:pPr>
        <w:pStyle w:val="ListParagraph"/>
        <w:numPr>
          <w:ilvl w:val="0"/>
          <w:numId w:val="2"/>
        </w:numPr>
        <w:spacing w:after="60" w:before="60" w:line="340" w:lineRule="auto"/>
      </w:pPr>
      <w:r>
        <w:rPr>
          <w:rFonts w:ascii="Arial" w:cs="Arial" w:eastAsia="Arial" w:hAnsi="Arial"/>
          <w:color w:val="1C1612"/>
          <w:sz w:val="22"/>
          <w:szCs w:val="22"/>
        </w:rPr>
        <w:t xml:space="preserve">Final report delivered in agreed format (PDF, lender portal upload, or physical delivery).</w:t>
      </w:r>
    </w:p>
    <w:p>
      <w:pPr>
        <w:pStyle w:val="ListParagraph"/>
        <w:numPr>
          <w:ilvl w:val="0"/>
          <w:numId w:val="2"/>
        </w:numPr>
        <w:spacing w:after="60" w:before="60" w:line="340" w:lineRule="auto"/>
      </w:pPr>
      <w:r>
        <w:rPr>
          <w:rFonts w:ascii="Arial" w:cs="Arial" w:eastAsia="Arial" w:hAnsi="Arial"/>
          <w:color w:val="1C1612"/>
          <w:sz w:val="22"/>
          <w:szCs w:val="22"/>
        </w:rPr>
        <w:t xml:space="preserve">Surveyors available for post-report discussion, clarification, and addendum where required.</w:t>
      </w:r>
    </w:p>
    <w:p>
      <w:pPr>
        <w:pStyle w:val="ListParagraph"/>
        <w:numPr>
          <w:ilvl w:val="0"/>
          <w:numId w:val="2"/>
        </w:numPr>
        <w:spacing w:after="60" w:before="60" w:line="340" w:lineRule="auto"/>
      </w:pPr>
      <w:r>
        <w:rPr>
          <w:rFonts w:ascii="Arial" w:cs="Arial" w:eastAsia="Arial" w:hAnsi="Arial"/>
          <w:color w:val="1C1612"/>
          <w:sz w:val="22"/>
          <w:szCs w:val="22"/>
        </w:rPr>
        <w:t xml:space="preserve">All working files retained for a minimum of 7 years in encrypted secure storage.</w:t>
      </w:r>
    </w:p>
    <w:p>
      <w:pPr>
        <w:pStyle w:val="ListParagraph"/>
        <w:numPr>
          <w:ilvl w:val="0"/>
          <w:numId w:val="2"/>
        </w:numPr>
        <w:spacing w:after="60" w:before="60" w:line="340" w:lineRule="auto"/>
      </w:pPr>
      <w:r>
        <w:rPr>
          <w:rFonts w:ascii="Arial" w:cs="Arial" w:eastAsia="Arial" w:hAnsi="Arial"/>
          <w:color w:val="1C1612"/>
          <w:sz w:val="22"/>
          <w:szCs w:val="22"/>
        </w:rPr>
        <w:t xml:space="preserve">Annual instruction audit trail available on request for regulatory or due diligence purposes.</w:t>
      </w:r>
    </w:p>
    <w:p>
      <w:pPr>
        <w:spacing w:after="0" w:before="200"/>
      </w:pPr>
    </w:p>
    <w:p>
      <w:pPr>
        <w:spacing w:after="100" w:before="280"/>
      </w:pPr>
      <w:r>
        <w:rPr>
          <w:rFonts w:ascii="Arial" w:cs="Arial" w:eastAsia="Arial" w:hAnsi="Arial"/>
          <w:b/>
          <w:bCs/>
          <w:color w:val="8B6F47"/>
          <w:sz w:val="26"/>
          <w:szCs w:val="26"/>
        </w:rPr>
        <w:t xml:space="preserve">Service Level Agreements (Standard)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Service Type</w:t>
            </w:r>
          </w:p>
        </w:tc>
        <w:tc>
          <w:tcPr>
            <w:tcW w:type="dxa" w:w="200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Appointment</w:t>
            </w:r>
          </w:p>
        </w:tc>
        <w:tc>
          <w:tcPr>
            <w:tcW w:type="dxa" w:w="200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Report Turnaround</w:t>
            </w:r>
          </w:p>
        </w:tc>
        <w:tc>
          <w:tcPr>
            <w:tcW w:type="dxa" w:w="1860"/>
            <w:tcBorders>
              <w:top w:val="single" w:color="DDD5C8" w:sz="4"/>
              <w:left w:val="single" w:color="DDD5C8" w:sz="4"/>
              <w:bottom w:val="single" w:color="DDD5C8" w:sz="4"/>
              <w:right w:val="single" w:color="DDD5C8" w:sz="4"/>
            </w:tcBorders>
            <w:shd w:fill="8B6F47"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Rush Available</w:t>
            </w:r>
          </w:p>
        </w:tc>
      </w:tr>
      <w:tr>
        <w:tc>
          <w:tcPr>
            <w:tcW w:type="dxa" w:w="35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Residential Valuation (Std)</w:t>
            </w:r>
          </w:p>
        </w:tc>
        <w:tc>
          <w:tcPr>
            <w:tcW w:type="dxa" w:w="20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2–3 business days</w:t>
            </w:r>
          </w:p>
        </w:tc>
        <w:tc>
          <w:tcPr>
            <w:tcW w:type="dxa" w:w="20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3–5 business days</w:t>
            </w:r>
          </w:p>
        </w:tc>
        <w:tc>
          <w:tcPr>
            <w:tcW w:type="dxa" w:w="18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Yes (24hr)</w:t>
            </w:r>
          </w:p>
        </w:tc>
      </w:tr>
      <w:tr>
        <w:tc>
          <w:tcPr>
            <w:tcW w:type="dxa" w:w="35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HomeBuyer Report (Level 2)</w:t>
            </w:r>
          </w:p>
        </w:tc>
        <w:tc>
          <w:tcPr>
            <w:tcW w:type="dxa" w:w="20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3–5 business days</w:t>
            </w:r>
          </w:p>
        </w:tc>
        <w:tc>
          <w:tcPr>
            <w:tcW w:type="dxa" w:w="20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5–7 business days</w:t>
            </w:r>
          </w:p>
        </w:tc>
        <w:tc>
          <w:tcPr>
            <w:tcW w:type="dxa" w:w="18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Yes (48hr)</w:t>
            </w:r>
          </w:p>
        </w:tc>
      </w:tr>
      <w:tr>
        <w:tc>
          <w:tcPr>
            <w:tcW w:type="dxa" w:w="35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Building Survey (Level 3)</w:t>
            </w:r>
          </w:p>
        </w:tc>
        <w:tc>
          <w:tcPr>
            <w:tcW w:type="dxa" w:w="20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3–5 business days</w:t>
            </w:r>
          </w:p>
        </w:tc>
        <w:tc>
          <w:tcPr>
            <w:tcW w:type="dxa" w:w="20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7–10 business days</w:t>
            </w:r>
          </w:p>
        </w:tc>
        <w:tc>
          <w:tcPr>
            <w:tcW w:type="dxa" w:w="18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Case by case</w:t>
            </w:r>
          </w:p>
        </w:tc>
      </w:tr>
      <w:tr>
        <w:tc>
          <w:tcPr>
            <w:tcW w:type="dxa" w:w="35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Commercial Valuation</w:t>
            </w:r>
          </w:p>
        </w:tc>
        <w:tc>
          <w:tcPr>
            <w:tcW w:type="dxa" w:w="20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5–7 business days</w:t>
            </w:r>
          </w:p>
        </w:tc>
        <w:tc>
          <w:tcPr>
            <w:tcW w:type="dxa" w:w="20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7–14 business days</w:t>
            </w:r>
          </w:p>
        </w:tc>
        <w:tc>
          <w:tcPr>
            <w:tcW w:type="dxa" w:w="18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Yes (+50% fee)</w:t>
            </w:r>
          </w:p>
        </w:tc>
      </w:tr>
      <w:tr>
        <w:tc>
          <w:tcPr>
            <w:tcW w:type="dxa" w:w="35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Portfolio / Institutional</w:t>
            </w:r>
          </w:p>
        </w:tc>
        <w:tc>
          <w:tcPr>
            <w:tcW w:type="dxa" w:w="20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By agreement</w:t>
            </w:r>
          </w:p>
        </w:tc>
        <w:tc>
          <w:tcPr>
            <w:tcW w:type="dxa" w:w="200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By agreement</w:t>
            </w:r>
          </w:p>
        </w:tc>
        <w:tc>
          <w:tcPr>
            <w:tcW w:type="dxa" w:w="1860"/>
            <w:tcBorders>
              <w:top w:val="single" w:color="DDD5C8" w:sz="4"/>
              <w:left w:val="single" w:color="DDD5C8" w:sz="4"/>
              <w:bottom w:val="single" w:color="DDD5C8" w:sz="4"/>
              <w:right w:val="single" w:color="DDD5C8" w:sz="4"/>
            </w:tcBorders>
            <w:shd w:fill="F5F0E8"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By agreement</w:t>
            </w:r>
          </w:p>
        </w:tc>
      </w:tr>
      <w:tr>
        <w:tc>
          <w:tcPr>
            <w:tcW w:type="dxa" w:w="35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left"/>
            </w:pPr>
            <w:r>
              <w:rPr>
                <w:rFonts w:ascii="Arial" w:cs="Arial" w:eastAsia="Arial" w:hAnsi="Arial"/>
                <w:color w:val="1C1612"/>
                <w:sz w:val="21"/>
                <w:szCs w:val="21"/>
              </w:rPr>
              <w:t xml:space="preserve">Expert Witness Report</w:t>
            </w:r>
          </w:p>
        </w:tc>
        <w:tc>
          <w:tcPr>
            <w:tcW w:type="dxa" w:w="20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5–10 business days</w:t>
            </w:r>
          </w:p>
        </w:tc>
        <w:tc>
          <w:tcPr>
            <w:tcW w:type="dxa" w:w="200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10–20 business days</w:t>
            </w:r>
          </w:p>
        </w:tc>
        <w:tc>
          <w:tcPr>
            <w:tcW w:type="dxa" w:w="1860"/>
            <w:tcBorders>
              <w:top w:val="single" w:color="DDD5C8" w:sz="4"/>
              <w:left w:val="single" w:color="DDD5C8" w:sz="4"/>
              <w:bottom w:val="single" w:color="DDD5C8" w:sz="4"/>
              <w:right w:val="single" w:color="DDD5C8" w:sz="4"/>
            </w:tcBorders>
            <w:shd w:fill="FFFFFF" w:val="clear"/>
            <w:tcMar>
              <w:top w:type="dxa" w:w="100"/>
              <w:left w:type="dxa" w:w="140"/>
              <w:bottom w:type="dxa" w:w="100"/>
              <w:right w:type="dxa" w:w="140"/>
            </w:tcMar>
            <w:vAlign w:val="center"/>
          </w:tcPr>
          <w:p>
            <w:pPr>
              <w:jc w:val="center"/>
            </w:pPr>
            <w:r>
              <w:rPr>
                <w:rFonts w:ascii="Arial" w:cs="Arial" w:eastAsia="Arial" w:hAnsi="Arial"/>
                <w:color w:val="1C1612"/>
                <w:sz w:val="21"/>
                <w:szCs w:val="21"/>
              </w:rPr>
              <w:t xml:space="preserve">No</w:t>
            </w:r>
          </w:p>
        </w:tc>
      </w:tr>
    </w:tbl>
    <w:p>
      <w:pPr>
        <w:pStyle w:val="Heading1"/>
        <w:spacing w:after="120" w:before="400"/>
      </w:pPr>
      <w:r>
        <w:rPr>
          <w:rFonts w:ascii="Arial" w:cs="Arial" w:eastAsia="Arial" w:hAnsi="Arial"/>
          <w:b/>
          <w:bCs/>
          <w:color w:val="1C1612"/>
          <w:sz w:val="32"/>
          <w:szCs w:val="32"/>
        </w:rPr>
        <w:t xml:space="preserve">Professional Team</w:t>
      </w:r>
    </w:p>
    <w:p>
      <w:pPr>
        <w:pBdr>
          <w:bottom w:val="single" w:color="C4A97A" w:sz="4" w:space="4"/>
        </w:pBdr>
        <w:spacing w:after="200" w:before="80"/>
      </w:pPr>
    </w:p>
    <w:p>
      <w:pPr>
        <w:spacing w:after="120" w:before="60" w:line="360" w:lineRule="auto"/>
        <w:jc w:val="left"/>
      </w:pPr>
      <w:r>
        <w:rPr>
          <w:rFonts w:ascii="Arial" w:cs="Arial" w:eastAsia="Arial" w:hAnsi="Arial"/>
          <w:color w:val="1C1612"/>
          <w:sz w:val="22"/>
          <w:szCs w:val="22"/>
        </w:rPr>
        <w:t xml:space="preserve">Propsense Consulting is staffed exclusively by qualified, practising professionals. Our team structure ensures that every instruction is handled at the appropriate seniority level, with supervision and quality control embedded into the delivery process.</w:t>
      </w:r>
    </w:p>
    <w:p>
      <w:pPr>
        <w:spacing w:after="0" w:before="200"/>
      </w:pPr>
    </w:p>
    <w:p>
      <w:pPr>
        <w:spacing w:after="100" w:before="280"/>
      </w:pPr>
      <w:r>
        <w:rPr>
          <w:rFonts w:ascii="Arial" w:cs="Arial" w:eastAsia="Arial" w:hAnsi="Arial"/>
          <w:b/>
          <w:bCs/>
          <w:color w:val="8B6F47"/>
          <w:sz w:val="26"/>
          <w:szCs w:val="26"/>
        </w:rPr>
        <w:t xml:space="preserve">Senior Leadership</w:t>
      </w:r>
    </w:p>
    <w:p>
      <w:pPr>
        <w:spacing w:after="0" w:before="80"/>
      </w:pPr>
    </w:p>
    <w:p>
      <w:pPr>
        <w:spacing w:after="80" w:before="200"/>
      </w:pPr>
      <w:r>
        <w:rPr>
          <w:rFonts w:ascii="Arial" w:cs="Arial" w:eastAsia="Arial" w:hAnsi="Arial"/>
          <w:b/>
          <w:bCs/>
          <w:color w:val="1C1612"/>
          <w:sz w:val="24"/>
          <w:szCs w:val="24"/>
        </w:rPr>
        <w:t xml:space="preserve">Principal Surveyor</w:t>
      </w:r>
    </w:p>
    <w:p>
      <w:pPr>
        <w:spacing w:after="120" w:before="60" w:line="360" w:lineRule="auto"/>
        <w:jc w:val="left"/>
      </w:pPr>
      <w:r>
        <w:rPr>
          <w:rFonts w:ascii="Arial" w:cs="Arial" w:eastAsia="Arial" w:hAnsi="Arial"/>
          <w:i/>
          <w:iCs/>
          <w:color w:val="6B5E4E"/>
          <w:sz w:val="22"/>
          <w:szCs w:val="22"/>
        </w:rPr>
        <w:t xml:space="preserve">MRICS / FRICS  |  Lead Valuation &amp; Commercial Practice</w:t>
      </w:r>
    </w:p>
    <w:p>
      <w:pPr>
        <w:spacing w:after="120" w:before="60" w:line="360" w:lineRule="auto"/>
        <w:jc w:val="left"/>
      </w:pPr>
      <w:r>
        <w:rPr>
          <w:rFonts w:ascii="Arial" w:cs="Arial" w:eastAsia="Arial" w:hAnsi="Arial"/>
          <w:color w:val="1C1612"/>
          <w:sz w:val="22"/>
          <w:szCs w:val="22"/>
        </w:rPr>
        <w:t xml:space="preserve">Responsible for the firm's professional standards, senior client relationships, and sign-off authority on all RICS Red Book compliant valuations above defined thresholds. Over 15 years of experience across residential, commercial, and development sectors.</w:t>
      </w:r>
    </w:p>
    <w:p>
      <w:pPr>
        <w:spacing w:after="0" w:before="160"/>
      </w:pPr>
    </w:p>
    <w:p>
      <w:pPr>
        <w:spacing w:after="80" w:before="200"/>
      </w:pPr>
      <w:r>
        <w:rPr>
          <w:rFonts w:ascii="Arial" w:cs="Arial" w:eastAsia="Arial" w:hAnsi="Arial"/>
          <w:b/>
          <w:bCs/>
          <w:color w:val="1C1612"/>
          <w:sz w:val="24"/>
          <w:szCs w:val="24"/>
        </w:rPr>
        <w:t xml:space="preserve">Head of Building Consultancy</w:t>
      </w:r>
    </w:p>
    <w:p>
      <w:pPr>
        <w:spacing w:after="120" w:before="60" w:line="360" w:lineRule="auto"/>
        <w:jc w:val="left"/>
      </w:pPr>
      <w:r>
        <w:rPr>
          <w:rFonts w:ascii="Arial" w:cs="Arial" w:eastAsia="Arial" w:hAnsi="Arial"/>
          <w:i/>
          <w:iCs/>
          <w:color w:val="6B5E4E"/>
          <w:sz w:val="22"/>
          <w:szCs w:val="22"/>
        </w:rPr>
        <w:t xml:space="preserve">MRICS  |  Building Surveys &amp; Technical Due Diligence</w:t>
      </w:r>
    </w:p>
    <w:p>
      <w:pPr>
        <w:spacing w:after="120" w:before="60" w:line="360" w:lineRule="auto"/>
        <w:jc w:val="left"/>
      </w:pPr>
      <w:r>
        <w:rPr>
          <w:rFonts w:ascii="Arial" w:cs="Arial" w:eastAsia="Arial" w:hAnsi="Arial"/>
          <w:color w:val="1C1612"/>
          <w:sz w:val="22"/>
          <w:szCs w:val="22"/>
        </w:rPr>
        <w:t xml:space="preserve">Leads the structural survey practice, dilapidations, and technical due diligence workstreams. Specialist knowledge in historic buildings, pre-acquisition risk assessment, and schedule of condition disputes.</w:t>
      </w:r>
    </w:p>
    <w:p>
      <w:pPr>
        <w:spacing w:after="0" w:before="160"/>
      </w:pPr>
    </w:p>
    <w:p>
      <w:pPr>
        <w:spacing w:after="80" w:before="200"/>
      </w:pPr>
      <w:r>
        <w:rPr>
          <w:rFonts w:ascii="Arial" w:cs="Arial" w:eastAsia="Arial" w:hAnsi="Arial"/>
          <w:b/>
          <w:bCs/>
          <w:color w:val="1C1612"/>
          <w:sz w:val="24"/>
          <w:szCs w:val="24"/>
        </w:rPr>
        <w:t xml:space="preserve">Head of Development &amp; Planning Advisory</w:t>
      </w:r>
    </w:p>
    <w:p>
      <w:pPr>
        <w:spacing w:after="120" w:before="60" w:line="360" w:lineRule="auto"/>
        <w:jc w:val="left"/>
      </w:pPr>
      <w:r>
        <w:rPr>
          <w:rFonts w:ascii="Arial" w:cs="Arial" w:eastAsia="Arial" w:hAnsi="Arial"/>
          <w:i/>
          <w:iCs/>
          <w:color w:val="6B5E4E"/>
          <w:sz w:val="22"/>
          <w:szCs w:val="22"/>
        </w:rPr>
        <w:t xml:space="preserve">MRICS  |  Viability, Residual Appraisal &amp; Expert Evidence</w:t>
      </w:r>
    </w:p>
    <w:p>
      <w:pPr>
        <w:spacing w:after="120" w:before="60" w:line="360" w:lineRule="auto"/>
        <w:jc w:val="left"/>
      </w:pPr>
      <w:r>
        <w:rPr>
          <w:rFonts w:ascii="Arial" w:cs="Arial" w:eastAsia="Arial" w:hAnsi="Arial"/>
          <w:color w:val="1C1612"/>
          <w:sz w:val="22"/>
          <w:szCs w:val="22"/>
        </w:rPr>
        <w:t xml:space="preserve">Oversees all planning viability, development appraisal, and compulsory purchase instructions. Extensive experience acting as expert witness at PINS and in the Technology and Construction Court (TCC).</w:t>
      </w:r>
    </w:p>
    <w:p>
      <w:pPr>
        <w:spacing w:after="0" w:before="200"/>
      </w:pPr>
    </w:p>
    <w:p>
      <w:pPr>
        <w:spacing w:after="100" w:before="280"/>
      </w:pPr>
      <w:r>
        <w:rPr>
          <w:rFonts w:ascii="Arial" w:cs="Arial" w:eastAsia="Arial" w:hAnsi="Arial"/>
          <w:b/>
          <w:bCs/>
          <w:color w:val="8B6F47"/>
          <w:sz w:val="26"/>
          <w:szCs w:val="26"/>
        </w:rPr>
        <w:t xml:space="preserve">Professional Standards</w:t>
      </w:r>
    </w:p>
    <w:p>
      <w:pPr>
        <w:pStyle w:val="ListParagraph"/>
        <w:numPr>
          <w:ilvl w:val="0"/>
          <w:numId w:val="2"/>
        </w:numPr>
        <w:spacing w:after="60" w:before="60" w:line="340" w:lineRule="auto"/>
      </w:pPr>
      <w:r>
        <w:rPr>
          <w:rFonts w:ascii="Arial" w:cs="Arial" w:eastAsia="Arial" w:hAnsi="Arial"/>
          <w:color w:val="1C1612"/>
          <w:sz w:val="22"/>
          <w:szCs w:val="22"/>
        </w:rPr>
        <w:t xml:space="preserve">All valuers and surveyors hold Chartered Surveyor designation (MRICS or FRICS).</w:t>
      </w:r>
    </w:p>
    <w:p>
      <w:pPr>
        <w:pStyle w:val="ListParagraph"/>
        <w:numPr>
          <w:ilvl w:val="0"/>
          <w:numId w:val="2"/>
        </w:numPr>
        <w:spacing w:after="60" w:before="60" w:line="340" w:lineRule="auto"/>
      </w:pPr>
      <w:r>
        <w:rPr>
          <w:rFonts w:ascii="Arial" w:cs="Arial" w:eastAsia="Arial" w:hAnsi="Arial"/>
          <w:color w:val="1C1612"/>
          <w:sz w:val="22"/>
          <w:szCs w:val="22"/>
        </w:rPr>
        <w:t xml:space="preserve">Continuing Professional Development (CPD) is mandatory and logged; minimum 20 hours per annum per team member.</w:t>
      </w:r>
    </w:p>
    <w:p>
      <w:pPr>
        <w:pStyle w:val="ListParagraph"/>
        <w:numPr>
          <w:ilvl w:val="0"/>
          <w:numId w:val="2"/>
        </w:numPr>
        <w:spacing w:after="60" w:before="60" w:line="340" w:lineRule="auto"/>
      </w:pPr>
      <w:r>
        <w:rPr>
          <w:rFonts w:ascii="Arial" w:cs="Arial" w:eastAsia="Arial" w:hAnsi="Arial"/>
          <w:color w:val="1C1612"/>
          <w:sz w:val="22"/>
          <w:szCs w:val="22"/>
        </w:rPr>
        <w:t xml:space="preserve">All professional staff are covered by the firm's Professional Indemnity Insurance policy.</w:t>
      </w:r>
    </w:p>
    <w:p>
      <w:pPr>
        <w:pStyle w:val="ListParagraph"/>
        <w:numPr>
          <w:ilvl w:val="0"/>
          <w:numId w:val="2"/>
        </w:numPr>
        <w:spacing w:after="60" w:before="60" w:line="340" w:lineRule="auto"/>
      </w:pPr>
      <w:r>
        <w:rPr>
          <w:rFonts w:ascii="Arial" w:cs="Arial" w:eastAsia="Arial" w:hAnsi="Arial"/>
          <w:color w:val="1C1612"/>
          <w:sz w:val="22"/>
          <w:szCs w:val="22"/>
        </w:rPr>
        <w:t xml:space="preserve">Annual compliance review conducted by RICS-accredited compliance officer.</w:t>
      </w:r>
    </w:p>
    <w:p>
      <w:pPr>
        <w:pStyle w:val="ListParagraph"/>
        <w:numPr>
          <w:ilvl w:val="0"/>
          <w:numId w:val="2"/>
        </w:numPr>
        <w:spacing w:after="60" w:before="60" w:line="340" w:lineRule="auto"/>
      </w:pPr>
      <w:r>
        <w:rPr>
          <w:rFonts w:ascii="Arial" w:cs="Arial" w:eastAsia="Arial" w:hAnsi="Arial"/>
          <w:color w:val="1C1612"/>
          <w:sz w:val="22"/>
          <w:szCs w:val="22"/>
        </w:rPr>
        <w:t xml:space="preserve">New team members complete a 6-month supervised instruction period before independent sign-off authority is granted.</w:t>
      </w:r>
    </w:p>
    <w:p>
      <w:pPr>
        <w:pStyle w:val="Heading1"/>
        <w:spacing w:after="120" w:before="400"/>
      </w:pPr>
      <w:r>
        <w:rPr>
          <w:rFonts w:ascii="Arial" w:cs="Arial" w:eastAsia="Arial" w:hAnsi="Arial"/>
          <w:b/>
          <w:bCs/>
          <w:color w:val="1C1612"/>
          <w:sz w:val="32"/>
          <w:szCs w:val="32"/>
        </w:rPr>
        <w:t xml:space="preserve">Why Propsense Consulting</w:t>
      </w:r>
    </w:p>
    <w:p>
      <w:pPr>
        <w:pBdr>
          <w:bottom w:val="single" w:color="C4A97A" w:sz="4" w:space="4"/>
        </w:pBdr>
        <w:spacing w:after="200" w:before="80"/>
      </w:pPr>
    </w:p>
    <w:p>
      <w:pPr>
        <w:spacing w:after="120" w:before="60" w:line="360" w:lineRule="auto"/>
        <w:jc w:val="left"/>
      </w:pPr>
      <w:r>
        <w:rPr>
          <w:rFonts w:ascii="Arial" w:cs="Arial" w:eastAsia="Arial" w:hAnsi="Arial"/>
          <w:color w:val="1C1612"/>
          <w:sz w:val="22"/>
          <w:szCs w:val="22"/>
        </w:rPr>
        <w:t xml:space="preserve">The property surveying market is crowded with generalist providers. Propsense Consulting is differentiated by a set of structural commitments that are operationally enforced, not merely marketed.</w:t>
      </w:r>
    </w:p>
    <w:p>
      <w:pPr>
        <w:spacing w:after="0" w:before="200"/>
      </w:pPr>
    </w:p>
    <w:p>
      <w:pPr>
        <w:spacing w:after="100" w:before="280"/>
      </w:pPr>
      <w:r>
        <w:rPr>
          <w:rFonts w:ascii="Arial" w:cs="Arial" w:eastAsia="Arial" w:hAnsi="Arial"/>
          <w:b/>
          <w:bCs/>
          <w:color w:val="8B6F47"/>
          <w:sz w:val="26"/>
          <w:szCs w:val="26"/>
        </w:rPr>
        <w:t xml:space="preserve">True Independence</w:t>
      </w:r>
    </w:p>
    <w:p>
      <w:pPr>
        <w:spacing w:after="120" w:before="60" w:line="360" w:lineRule="auto"/>
        <w:jc w:val="left"/>
      </w:pPr>
      <w:r>
        <w:rPr>
          <w:rFonts w:ascii="Arial" w:cs="Arial" w:eastAsia="Arial" w:hAnsi="Arial"/>
          <w:color w:val="1C1612"/>
          <w:sz w:val="22"/>
          <w:szCs w:val="22"/>
        </w:rPr>
        <w:t xml:space="preserve">Propsense has no affiliated estate agency, mortgage brokerage, or development business. We do not accept referral fees from lenders, solicitors, or any third party. Our fee structure is transparent, fixed-rate where possible, and disclosed in full at instruction stage. This independence is not a marketing claim — it is a structural feature of our business model.</w:t>
      </w:r>
    </w:p>
    <w:p>
      <w:pPr>
        <w:spacing w:after="0" w:before="160"/>
      </w:pPr>
    </w:p>
    <w:p>
      <w:pPr>
        <w:spacing w:after="100" w:before="280"/>
      </w:pPr>
      <w:r>
        <w:rPr>
          <w:rFonts w:ascii="Arial" w:cs="Arial" w:eastAsia="Arial" w:hAnsi="Arial"/>
          <w:b/>
          <w:bCs/>
          <w:color w:val="8B6F47"/>
          <w:sz w:val="26"/>
          <w:szCs w:val="26"/>
        </w:rPr>
        <w:t xml:space="preserve">Red Book Compliance as Standard</w:t>
      </w:r>
    </w:p>
    <w:p>
      <w:pPr>
        <w:spacing w:after="120" w:before="60" w:line="360" w:lineRule="auto"/>
        <w:jc w:val="left"/>
      </w:pPr>
      <w:r>
        <w:rPr>
          <w:rFonts w:ascii="Arial" w:cs="Arial" w:eastAsia="Arial" w:hAnsi="Arial"/>
          <w:color w:val="1C1612"/>
          <w:sz w:val="22"/>
          <w:szCs w:val="22"/>
        </w:rPr>
        <w:t xml:space="preserve">All market value opinions and formal valuations are prepared under RICS Red Book (Global Standards 2022). Clients receive a valuation that is legally defensible, lender-acceptable, and audit-ready. We do not issue informal 'desktop' opinions dressed as formal valuations.</w:t>
      </w:r>
    </w:p>
    <w:p>
      <w:pPr>
        <w:spacing w:after="0" w:before="160"/>
      </w:pPr>
    </w:p>
    <w:p>
      <w:pPr>
        <w:spacing w:after="100" w:before="280"/>
      </w:pPr>
      <w:r>
        <w:rPr>
          <w:rFonts w:ascii="Arial" w:cs="Arial" w:eastAsia="Arial" w:hAnsi="Arial"/>
          <w:b/>
          <w:bCs/>
          <w:color w:val="8B6F47"/>
          <w:sz w:val="26"/>
          <w:szCs w:val="26"/>
        </w:rPr>
        <w:t xml:space="preserve">Single Point of Professional Accountability</w:t>
      </w:r>
    </w:p>
    <w:p>
      <w:pPr>
        <w:spacing w:after="120" w:before="60" w:line="360" w:lineRule="auto"/>
        <w:jc w:val="left"/>
      </w:pPr>
      <w:r>
        <w:rPr>
          <w:rFonts w:ascii="Arial" w:cs="Arial" w:eastAsia="Arial" w:hAnsi="Arial"/>
          <w:color w:val="1C1612"/>
          <w:sz w:val="22"/>
          <w:szCs w:val="22"/>
        </w:rPr>
        <w:t xml:space="preserve">Every Propsense report carries the name, designation, and signature of the responsible chartered surveyor. We do not issue unsigned, committee-authored, or third-party-reviewed reports. The professional who inspects the property is accountable for the report conclusions.</w:t>
      </w:r>
    </w:p>
    <w:p>
      <w:pPr>
        <w:spacing w:after="0" w:before="160"/>
      </w:pPr>
    </w:p>
    <w:p>
      <w:pPr>
        <w:spacing w:after="100" w:before="280"/>
      </w:pPr>
      <w:r>
        <w:rPr>
          <w:rFonts w:ascii="Arial" w:cs="Arial" w:eastAsia="Arial" w:hAnsi="Arial"/>
          <w:b/>
          <w:bCs/>
          <w:color w:val="8B6F47"/>
          <w:sz w:val="26"/>
          <w:szCs w:val="26"/>
        </w:rPr>
        <w:t xml:space="preserve">Methodology Transparency</w:t>
      </w:r>
    </w:p>
    <w:p>
      <w:pPr>
        <w:spacing w:after="120" w:before="60" w:line="360" w:lineRule="auto"/>
        <w:jc w:val="left"/>
      </w:pPr>
      <w:r>
        <w:rPr>
          <w:rFonts w:ascii="Arial" w:cs="Arial" w:eastAsia="Arial" w:hAnsi="Arial"/>
          <w:color w:val="1C1612"/>
          <w:sz w:val="22"/>
          <w:szCs w:val="22"/>
        </w:rPr>
        <w:t xml:space="preserve">Where a client requests it, we will disclose our full comparable evidence schedule, adjustment methodology, and weighting rationale. This is uncommon in the industry. We regard it as basic professional accountability.</w:t>
      </w:r>
    </w:p>
    <w:p>
      <w:pPr>
        <w:spacing w:after="0" w:before="160"/>
      </w:pPr>
    </w:p>
    <w:p>
      <w:pPr>
        <w:spacing w:after="100" w:before="280"/>
      </w:pPr>
      <w:r>
        <w:rPr>
          <w:rFonts w:ascii="Arial" w:cs="Arial" w:eastAsia="Arial" w:hAnsi="Arial"/>
          <w:b/>
          <w:bCs/>
          <w:color w:val="8B6F47"/>
          <w:sz w:val="26"/>
          <w:szCs w:val="26"/>
        </w:rPr>
        <w:t xml:space="preserve">Defined Turnaround with Delivery Guarantees</w:t>
      </w:r>
    </w:p>
    <w:p>
      <w:pPr>
        <w:spacing w:after="120" w:before="60" w:line="360" w:lineRule="auto"/>
        <w:jc w:val="left"/>
      </w:pPr>
      <w:r>
        <w:rPr>
          <w:rFonts w:ascii="Arial" w:cs="Arial" w:eastAsia="Arial" w:hAnsi="Arial"/>
          <w:color w:val="1C1612"/>
          <w:sz w:val="22"/>
          <w:szCs w:val="22"/>
        </w:rPr>
        <w:t xml:space="preserve">Our SLAs are contractual commitments, not estimates. Failure to deliver within agreed timeframes triggers a fee reduction. We track delivery performance monthly and publish internal quality metrics.</w:t>
      </w:r>
    </w:p>
    <w:p>
      <w:pPr>
        <w:spacing w:after="0" w:before="160"/>
      </w:pPr>
    </w:p>
    <w:p>
      <w:pPr>
        <w:spacing w:after="100" w:before="280"/>
      </w:pPr>
      <w:r>
        <w:rPr>
          <w:rFonts w:ascii="Arial" w:cs="Arial" w:eastAsia="Arial" w:hAnsi="Arial"/>
          <w:b/>
          <w:bCs/>
          <w:color w:val="8B6F47"/>
          <w:sz w:val="26"/>
          <w:szCs w:val="26"/>
        </w:rPr>
        <w:t xml:space="preserve">Proportionate Fee Structure</w:t>
      </w:r>
    </w:p>
    <w:p>
      <w:pPr>
        <w:spacing w:after="120" w:before="60" w:line="360" w:lineRule="auto"/>
        <w:jc w:val="left"/>
      </w:pPr>
      <w:r>
        <w:rPr>
          <w:rFonts w:ascii="Arial" w:cs="Arial" w:eastAsia="Arial" w:hAnsi="Arial"/>
          <w:color w:val="1C1612"/>
          <w:sz w:val="22"/>
          <w:szCs w:val="22"/>
        </w:rPr>
        <w:t xml:space="preserve">Fees are calibrated to scope, complexity, and risk — not to property value alone. We do not apply ad valorem pricing that charges a £2M property owner ten times the fee of a £200K owner for an equivalent inspection and report. Proportionate fee structures reduce conflicts of interest and incentivise quality over throughput.</w:t>
      </w:r>
    </w:p>
    <w:p>
      <w:pPr>
        <w:pStyle w:val="Heading1"/>
        <w:spacing w:after="120" w:before="400"/>
      </w:pPr>
      <w:r>
        <w:rPr>
          <w:rFonts w:ascii="Arial" w:cs="Arial" w:eastAsia="Arial" w:hAnsi="Arial"/>
          <w:b/>
          <w:bCs/>
          <w:color w:val="1C1612"/>
          <w:sz w:val="32"/>
          <w:szCs w:val="32"/>
        </w:rPr>
        <w:t xml:space="preserve">Engage Propsense Consulting</w:t>
      </w:r>
    </w:p>
    <w:p>
      <w:pPr>
        <w:pBdr>
          <w:bottom w:val="single" w:color="C4A97A" w:sz="4" w:space="4"/>
        </w:pBdr>
        <w:spacing w:after="200" w:before="80"/>
      </w:pPr>
    </w:p>
    <w:p>
      <w:pPr>
        <w:spacing w:after="120" w:before="60" w:line="360" w:lineRule="auto"/>
        <w:jc w:val="left"/>
      </w:pPr>
      <w:r>
        <w:rPr>
          <w:rFonts w:ascii="Arial" w:cs="Arial" w:eastAsia="Arial" w:hAnsi="Arial"/>
          <w:color w:val="1C1612"/>
          <w:sz w:val="22"/>
          <w:szCs w:val="22"/>
        </w:rPr>
        <w:t xml:space="preserve">New instructions, fee enquiries, and capability discussions are handled by our client services team. The following details apply to all inbound enquiries.</w:t>
      </w:r>
    </w:p>
    <w:p>
      <w:pPr>
        <w:spacing w:after="0" w:before="200"/>
      </w:pPr>
    </w:p>
    <w:p>
      <w:pPr>
        <w:spacing w:after="100" w:before="280"/>
      </w:pPr>
      <w:r>
        <w:rPr>
          <w:rFonts w:ascii="Arial" w:cs="Arial" w:eastAsia="Arial" w:hAnsi="Arial"/>
          <w:b/>
          <w:bCs/>
          <w:color w:val="8B6F47"/>
          <w:sz w:val="26"/>
          <w:szCs w:val="26"/>
        </w:rPr>
        <w:t xml:space="preserve">Instruction Enquiries</w:t>
      </w:r>
    </w:p>
    <w:p>
      <w:pPr>
        <w:pStyle w:val="ListParagraph"/>
        <w:numPr>
          <w:ilvl w:val="0"/>
          <w:numId w:val="2"/>
        </w:numPr>
        <w:spacing w:after="60" w:before="60" w:line="340" w:lineRule="auto"/>
      </w:pPr>
      <w:r>
        <w:rPr>
          <w:rFonts w:ascii="Arial" w:cs="Arial" w:eastAsia="Arial" w:hAnsi="Arial"/>
          <w:color w:val="1C1612"/>
          <w:sz w:val="22"/>
          <w:szCs w:val="22"/>
        </w:rPr>
        <w:t xml:space="preserve">Online:  www.propsenseconsulting.com/instruct</w:t>
      </w:r>
    </w:p>
    <w:p>
      <w:pPr>
        <w:pStyle w:val="ListParagraph"/>
        <w:numPr>
          <w:ilvl w:val="0"/>
          <w:numId w:val="2"/>
        </w:numPr>
        <w:spacing w:after="60" w:before="60" w:line="340" w:lineRule="auto"/>
      </w:pPr>
      <w:r>
        <w:rPr>
          <w:rFonts w:ascii="Arial" w:cs="Arial" w:eastAsia="Arial" w:hAnsi="Arial"/>
          <w:color w:val="1C1612"/>
          <w:sz w:val="22"/>
          <w:szCs w:val="22"/>
        </w:rPr>
        <w:t xml:space="preserve">Email:   instructions@propsenseconsulting.com</w:t>
      </w:r>
    </w:p>
    <w:p>
      <w:pPr>
        <w:pStyle w:val="ListParagraph"/>
        <w:numPr>
          <w:ilvl w:val="0"/>
          <w:numId w:val="2"/>
        </w:numPr>
        <w:spacing w:after="60" w:before="60" w:line="340" w:lineRule="auto"/>
      </w:pPr>
      <w:r>
        <w:rPr>
          <w:rFonts w:ascii="Arial" w:cs="Arial" w:eastAsia="Arial" w:hAnsi="Arial"/>
          <w:color w:val="1C1612"/>
          <w:sz w:val="22"/>
          <w:szCs w:val="22"/>
        </w:rPr>
        <w:t xml:space="preserve">Phone:  +44 (0) 20 XXXX XXXX  (Mon–Fri, 08:30–18:00 GMT)</w:t>
      </w:r>
    </w:p>
    <w:p>
      <w:pPr>
        <w:pStyle w:val="ListParagraph"/>
        <w:numPr>
          <w:ilvl w:val="0"/>
          <w:numId w:val="2"/>
        </w:numPr>
        <w:spacing w:after="60" w:before="60" w:line="340" w:lineRule="auto"/>
      </w:pPr>
      <w:r>
        <w:rPr>
          <w:rFonts w:ascii="Arial" w:cs="Arial" w:eastAsia="Arial" w:hAnsi="Arial"/>
          <w:color w:val="1C1612"/>
          <w:sz w:val="22"/>
          <w:szCs w:val="22"/>
        </w:rPr>
        <w:t xml:space="preserve">Emergency / Out of Hours:  Available for active litigation and urgent lending instructions</w:t>
      </w:r>
    </w:p>
    <w:p>
      <w:pPr>
        <w:spacing w:after="0" w:before="160"/>
      </w:pPr>
    </w:p>
    <w:p>
      <w:pPr>
        <w:spacing w:after="100" w:before="280"/>
      </w:pPr>
      <w:r>
        <w:rPr>
          <w:rFonts w:ascii="Arial" w:cs="Arial" w:eastAsia="Arial" w:hAnsi="Arial"/>
          <w:b/>
          <w:bCs/>
          <w:color w:val="8B6F47"/>
          <w:sz w:val="26"/>
          <w:szCs w:val="26"/>
        </w:rPr>
        <w:t xml:space="preserve">Expert Witness &amp; Litigation Enquiries</w:t>
      </w:r>
    </w:p>
    <w:p>
      <w:pPr>
        <w:spacing w:after="120" w:before="60" w:line="360" w:lineRule="auto"/>
        <w:jc w:val="left"/>
      </w:pPr>
      <w:r>
        <w:rPr>
          <w:rFonts w:ascii="Arial" w:cs="Arial" w:eastAsia="Arial" w:hAnsi="Arial"/>
          <w:color w:val="1C1612"/>
          <w:sz w:val="22"/>
          <w:szCs w:val="22"/>
        </w:rPr>
        <w:t xml:space="preserve">All expert witness and litigation-support instructions are handled directly by the Head of Expert Services. Initial discussions are offered on a no-fee basis to assess suitability and potential conflict.</w:t>
      </w:r>
    </w:p>
    <w:p>
      <w:pPr>
        <w:pStyle w:val="ListParagraph"/>
        <w:numPr>
          <w:ilvl w:val="0"/>
          <w:numId w:val="2"/>
        </w:numPr>
        <w:spacing w:after="60" w:before="60" w:line="340" w:lineRule="auto"/>
      </w:pPr>
      <w:r>
        <w:rPr>
          <w:rFonts w:ascii="Arial" w:cs="Arial" w:eastAsia="Arial" w:hAnsi="Arial"/>
          <w:color w:val="1C1612"/>
          <w:sz w:val="22"/>
          <w:szCs w:val="22"/>
        </w:rPr>
        <w:t xml:space="preserve">Email:   experts@propsenseconsulting.com</w:t>
      </w:r>
    </w:p>
    <w:p>
      <w:pPr>
        <w:pStyle w:val="ListParagraph"/>
        <w:numPr>
          <w:ilvl w:val="0"/>
          <w:numId w:val="2"/>
        </w:numPr>
        <w:spacing w:after="60" w:before="60" w:line="340" w:lineRule="auto"/>
      </w:pPr>
      <w:r>
        <w:rPr>
          <w:rFonts w:ascii="Arial" w:cs="Arial" w:eastAsia="Arial" w:hAnsi="Arial"/>
          <w:color w:val="1C1612"/>
          <w:sz w:val="22"/>
          <w:szCs w:val="22"/>
        </w:rPr>
        <w:t xml:space="preserve">Direct Line:  Available upon confirmed instruction</w:t>
      </w:r>
    </w:p>
    <w:p>
      <w:pPr>
        <w:spacing w:after="0" w:before="160"/>
      </w:pPr>
    </w:p>
    <w:p>
      <w:pPr>
        <w:spacing w:after="100" w:before="280"/>
      </w:pPr>
      <w:r>
        <w:rPr>
          <w:rFonts w:ascii="Arial" w:cs="Arial" w:eastAsia="Arial" w:hAnsi="Arial"/>
          <w:b/>
          <w:bCs/>
          <w:color w:val="8B6F47"/>
          <w:sz w:val="26"/>
          <w:szCs w:val="26"/>
        </w:rPr>
        <w:t xml:space="preserve">Offices</w:t>
      </w:r>
    </w:p>
    <w:p>
      <w:pPr>
        <w:pStyle w:val="ListParagraph"/>
        <w:numPr>
          <w:ilvl w:val="0"/>
          <w:numId w:val="2"/>
        </w:numPr>
        <w:spacing w:after="60" w:before="60" w:line="340" w:lineRule="auto"/>
      </w:pPr>
      <w:r>
        <w:rPr>
          <w:rFonts w:ascii="Arial" w:cs="Arial" w:eastAsia="Arial" w:hAnsi="Arial"/>
          <w:color w:val="1C1612"/>
          <w:sz w:val="22"/>
          <w:szCs w:val="22"/>
        </w:rPr>
        <w:t xml:space="preserve">London (Principal):  EC2 — full address provided upon confirmed instruction</w:t>
      </w:r>
    </w:p>
    <w:p>
      <w:pPr>
        <w:pStyle w:val="ListParagraph"/>
        <w:numPr>
          <w:ilvl w:val="0"/>
          <w:numId w:val="2"/>
        </w:numPr>
        <w:spacing w:after="60" w:before="60" w:line="340" w:lineRule="auto"/>
      </w:pPr>
      <w:r>
        <w:rPr>
          <w:rFonts w:ascii="Arial" w:cs="Arial" w:eastAsia="Arial" w:hAnsi="Arial"/>
          <w:color w:val="1C1612"/>
          <w:sz w:val="22"/>
          <w:szCs w:val="22"/>
        </w:rPr>
        <w:t xml:space="preserve">Regional:  Coverage across England and Wales via affiliated local-knowledge surveyors</w:t>
      </w:r>
    </w:p>
    <w:p>
      <w:pPr>
        <w:pStyle w:val="ListParagraph"/>
        <w:numPr>
          <w:ilvl w:val="0"/>
          <w:numId w:val="2"/>
        </w:numPr>
        <w:spacing w:after="60" w:before="60" w:line="340" w:lineRule="auto"/>
      </w:pPr>
      <w:r>
        <w:rPr>
          <w:rFonts w:ascii="Arial" w:cs="Arial" w:eastAsia="Arial" w:hAnsi="Arial"/>
          <w:color w:val="1C1612"/>
          <w:sz w:val="22"/>
          <w:szCs w:val="22"/>
        </w:rPr>
        <w:t xml:space="preserve">International:  Cross-border IVSC-standard instructions by referral arrangement</w:t>
      </w:r>
    </w:p>
    <w:p>
      <w:pPr>
        <w:spacing w:after="0" w:before="160"/>
      </w:pPr>
    </w:p>
    <w:p>
      <w:pPr>
        <w:spacing w:after="100" w:before="280"/>
      </w:pPr>
      <w:r>
        <w:rPr>
          <w:rFonts w:ascii="Arial" w:cs="Arial" w:eastAsia="Arial" w:hAnsi="Arial"/>
          <w:b/>
          <w:bCs/>
          <w:color w:val="8B6F47"/>
          <w:sz w:val="26"/>
          <w:szCs w:val="26"/>
        </w:rPr>
        <w:t xml:space="preserve">Professional Credentials &amp; Insurance</w:t>
      </w:r>
    </w:p>
    <w:p>
      <w:pPr>
        <w:spacing w:after="120" w:before="60" w:line="360" w:lineRule="auto"/>
        <w:jc w:val="left"/>
      </w:pPr>
      <w:r>
        <w:rPr>
          <w:rFonts w:ascii="Arial" w:cs="Arial" w:eastAsia="Arial" w:hAnsi="Arial"/>
          <w:color w:val="1C1612"/>
          <w:sz w:val="22"/>
          <w:szCs w:val="22"/>
        </w:rPr>
        <w:t xml:space="preserve">Copies of the firm's RICS registration, Professional Indemnity Insurance schedule, and current RICS Regulation status are available on request for lender panel, due diligence, or public procurement purposes.</w:t>
      </w:r>
    </w:p>
    <w:p>
      <w:pPr>
        <w:spacing w:after="0" w:before="200"/>
      </w:pPr>
    </w:p>
    <w:p>
      <w:pPr>
        <w:pBdr>
          <w:top w:val="single" w:color="8B6F47" w:sz="4" w:space="8"/>
        </w:pBdr>
        <w:spacing w:after="200" w:before="200"/>
        <w:jc w:val="center"/>
      </w:pPr>
      <w:r>
        <w:rPr>
          <w:rFonts w:ascii="Arial" w:cs="Arial" w:eastAsia="Arial" w:hAnsi="Arial"/>
          <w:i/>
          <w:iCs/>
          <w:color w:val="6B5E4E"/>
          <w:sz w:val="18"/>
          <w:szCs w:val="18"/>
        </w:rPr>
        <w:t xml:space="preserve">Propsense Consulting  —  Registered in England and Wales</w:t>
      </w:r>
    </w:p>
    <w:p>
      <w:pPr>
        <w:spacing w:after="200" w:before="0"/>
        <w:jc w:val="center"/>
      </w:pPr>
      <w:r>
        <w:rPr>
          <w:rFonts w:ascii="Arial" w:cs="Arial" w:eastAsia="Arial" w:hAnsi="Arial"/>
          <w:i/>
          <w:iCs/>
          <w:color w:val="6B5E4E"/>
          <w:sz w:val="18"/>
          <w:szCs w:val="18"/>
        </w:rPr>
        <w:t xml:space="preserve">Regulated by the Royal Institution of Chartered Surveyors</w:t>
      </w:r>
    </w:p>
    <w:sectPr>
      <w:headerReference w:type="default" r:id="rId7"/>
      <w:footerReference w:type="default" r:id="rId8"/>
      <w:pgSz w:w="11906" w:h="16838" w:orient="portrait"/>
      <w:pgMar w:top="1200" w:right="1200" w:bottom="120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97A" w:sz="4" w:space="4"/>
      </w:pBdr>
      <w:spacing w:after="0" w:before="80"/>
      <w:jc w:val="center"/>
    </w:pPr>
    <w:r>
      <w:rPr>
        <w:rFonts w:ascii="Arial" w:cs="Arial" w:eastAsia="Arial" w:hAnsi="Arial"/>
        <w:color w:val="6B5E4E"/>
        <w:sz w:val="18"/>
        <w:szCs w:val="18"/>
      </w:rPr>
      <w:t xml:space="preserve">Confidential   —   www.propsenseconsulting.com   —   Page </w:t>
    </w:r>
    <w:r>
      <w:rPr>
        <w:rFonts w:ascii="Arial" w:cs="Arial" w:eastAsia="Arial" w:hAnsi="Arial"/>
        <w:color w:val="6B5E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F47" w:sz="4" w:space="4"/>
      </w:pBdr>
      <w:spacing w:after="120" w:before="0"/>
      <w:jc w:val="right"/>
    </w:pPr>
    <w:r>
      <w:rPr>
        <w:rFonts w:ascii="Arial" w:cs="Arial" w:eastAsia="Arial" w:hAnsi="Arial"/>
        <w:b/>
        <w:bCs/>
        <w:color w:val="1C1612"/>
        <w:spacing w:val="80"/>
        <w:sz w:val="18"/>
        <w:szCs w:val="18"/>
      </w:rPr>
      <w:t xml:space="preserve">PROPSENSE CONSULTING</w:t>
    </w:r>
    <w:r>
      <w:rPr>
        <w:rFonts w:ascii="Arial" w:cs="Arial" w:eastAsia="Arial" w:hAnsi="Arial"/>
        <w:color w:val="6B5E4E"/>
        <w:sz w:val="18"/>
        <w:szCs w:val="18"/>
      </w:rPr>
      <w:t xml:space="preserve">   |   Firm Profile &amp; Capability Statement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4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6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C1612"/>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8B6F4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C16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2026-06-04T18:37:21.425Z</dcterms:created>
  <dcterms:modified xsi:type="dcterms:W3CDTF">2026-06-04T18:37:21.425Z</dcterms:modified>
</cp:coreProperties>
</file>

<file path=docProps/custom.xml><?xml version="1.0" encoding="utf-8"?>
<Properties xmlns="http://schemas.openxmlformats.org/officeDocument/2006/custom-properties" xmlns:vt="http://schemas.openxmlformats.org/officeDocument/2006/docPropsVTypes"/>
</file>