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consejo académico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br w:type="page"/>
      </w:r>
    </w:p>
    <w:p>
      <w:r>
        <w:t>Resolución Exenta N° 123: se aprueba la Política de Aseguramiento Interno de la Calidad de la Universidad, coherente con la misión y los propósitos institucionales. Se crea la Dirección de Calidad como responsable de su implementación, según consta en el organigrama institucional y en el Plan de Desarrollo Estratégico (PDE) 2025-2030.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p>
      <w:r>
        <w:t xml:space="preserve">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La universidad mantiene registros administrativos de matrícula, horarios de salas y uso de laboratorios durante el semestre.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