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850"/>
        <w:gridCol w:w="851"/>
        <w:gridCol w:w="851"/>
        <w:gridCol w:w="850"/>
        <w:gridCol w:w="1134"/>
        <w:gridCol w:w="425"/>
        <w:gridCol w:w="426"/>
        <w:gridCol w:w="425"/>
        <w:gridCol w:w="425"/>
        <w:gridCol w:w="425"/>
        <w:gridCol w:w="426"/>
      </w:tblGrid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40" w:hRule="atLeast"/>
        </w:trPr>
        <w:tc>
          <w:tcPr>
            <w:tcW w:type="dxa" w:w="297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II ступень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 ступень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1134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Наименов.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{heat_medium_s1_cold}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{dn_1}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{dn_2}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{dn_3}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{dn_4}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{dn_5}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{dn_6}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Тепловая  нагрузка отопления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{heat_load_heating_unit}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{heat_load_heating}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греющей среды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в точке излома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{temp_graph_break}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{heat_load_gvs_s1}</w:t>
            </w:r>
          </w:p>
        </w:tc>
        <w:tc>
          <w:tcPr>
            <w:tcW w:type="dxa" w:w="3686"/>
            <w:gridSpan w:val="7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Вт/м2°C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13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300" w:hRule="atLeast"/>
        </w:trPr>
        <w:tc>
          <w:tcPr>
            <w:tcW w:type="dxa" w:w="10773"/>
            <w:gridSpan w:val="13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13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80" w:right="567" w:bottom="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