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44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81"/>
        <w:gridCol w:w="8358"/>
      </w:tblGrid>
      <w:tr>
        <w:trPr/>
        <w:tc>
          <w:tcPr>
            <w:tcW w:w="2081" w:type="dxa"/>
            <w:tcBorders/>
          </w:tcPr>
          <w:p>
            <w:pPr>
              <w:pStyle w:val="Normal"/>
              <w:ind w:left="280" w:hanging="0"/>
              <w:rPr/>
            </w:pPr>
            <w:r>
              <w:rPr/>
              <w:drawing>
                <wp:inline distT="0" distB="0" distL="0" distR="0">
                  <wp:extent cx="571500" cy="581025"/>
                  <wp:effectExtent l="0" t="0" r="0" b="0"/>
                  <wp:docPr id="1" name="Рисунок 1" descr="единый зна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единый зна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tcBorders/>
            <w:vAlign w:val="center"/>
          </w:tcPr>
          <w:p>
            <w:pPr>
              <w:pStyle w:val="Titlep"/>
              <w:spacing w:before="0" w:after="0"/>
              <w:jc w:val="left"/>
              <w:rPr>
                <w:spacing w:val="8"/>
                <w:sz w:val="32"/>
                <w:szCs w:val="32"/>
              </w:rPr>
            </w:pPr>
            <w:r>
              <w:rPr>
                <w:spacing w:val="8"/>
                <w:sz w:val="32"/>
                <w:szCs w:val="32"/>
              </w:rPr>
              <w:t>ЕВРАЗИЙСКИЙ ЭКОНОМИЧЕСКИЙ СОЮЗ</w:t>
            </w:r>
          </w:p>
          <w:p>
            <w:pPr>
              <w:pStyle w:val="Normal"/>
              <w:rPr>
                <w:sz w:val="32"/>
                <w:szCs w:val="32"/>
              </w:rPr>
            </w:pPr>
            <w:r>
              <w:rPr>
                <w:b/>
                <w:spacing w:val="8"/>
                <w:sz w:val="32"/>
                <w:szCs w:val="32"/>
              </w:rPr>
              <w:t xml:space="preserve">      </w:t>
            </w:r>
            <w:r>
              <w:rPr>
                <w:b/>
                <w:spacing w:val="8"/>
                <w:sz w:val="32"/>
                <w:szCs w:val="32"/>
              </w:rPr>
              <w:t>ДЕКЛАРАЦИЯ О СООТВЕТСТВИИ</w:t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Заявитель </w:t>
      </w:r>
      <w:r>
        <w:rPr>
          <w:sz w:val="28"/>
          <w:szCs w:val="28"/>
        </w:rPr>
        <w:t>Закрытое акционерное общество «Гомельлифт»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Место нахождения: Республика Беларусь, 246034, г. Гомель, ул. Владимирова, 8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Зарегистрировано в Едином государственном регистре юридических лиц и индивидуальных предпринимателей за № 400068184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Телефон: (+375 23) 221-64-01, адрес электронной почты:</w:t>
      </w:r>
      <w:r>
        <w:rPr>
          <w:rFonts w:cs="Segoe UI" w:ascii="Segoe UI" w:hAnsi="Segoe UI"/>
          <w:sz w:val="28"/>
          <w:szCs w:val="28"/>
          <w:shd w:fill="FFFFFF" w:val="clear"/>
          <w:lang w:val="en-US"/>
        </w:rPr>
        <w:t> </w:t>
      </w:r>
      <w:hyperlink r:id="rId3" w:tgtFrame="_blank">
        <w:r>
          <w:rPr>
            <w:color w:val="auto"/>
            <w:sz w:val="28"/>
            <w:szCs w:val="28"/>
            <w:u w:val="none"/>
            <w:lang w:val="en-US"/>
          </w:rPr>
          <w:t>info</w:t>
        </w:r>
        <w:r>
          <w:rPr>
            <w:color w:val="auto"/>
            <w:sz w:val="28"/>
            <w:szCs w:val="28"/>
            <w:u w:val="none"/>
          </w:rPr>
          <w:t>@</w:t>
        </w:r>
        <w:r>
          <w:rPr>
            <w:color w:val="auto"/>
            <w:sz w:val="28"/>
            <w:szCs w:val="28"/>
            <w:u w:val="none"/>
            <w:lang w:val="en-US"/>
          </w:rPr>
          <w:t>gomellift</w:t>
        </w:r>
        <w:r>
          <w:rPr>
            <w:color w:val="auto"/>
            <w:sz w:val="28"/>
            <w:szCs w:val="28"/>
            <w:u w:val="none"/>
          </w:rPr>
          <w:t>.</w:t>
        </w:r>
        <w:r>
          <w:rPr>
            <w:color w:val="auto"/>
            <w:sz w:val="28"/>
            <w:szCs w:val="28"/>
            <w:u w:val="none"/>
            <w:lang w:val="en-US"/>
          </w:rPr>
          <w:t>by</w:t>
        </w:r>
      </w:hyperlink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 лице </w:t>
      </w:r>
      <w:r>
        <w:rPr>
          <w:sz w:val="28"/>
          <w:szCs w:val="28"/>
        </w:rPr>
        <w:t>заместителя генерального директора-главного инженера Хоменкова Ивана Ивановича, действующего на основании доверенности № 3 от 03.01.2022</w:t>
      </w:r>
    </w:p>
    <w:p>
      <w:pPr>
        <w:pStyle w:val="Normal"/>
        <w:jc w:val="both"/>
        <w:rPr>
          <w:color w:val="C4BC96" w:themeColor="background2" w:themeShade="bf"/>
          <w:sz w:val="28"/>
          <w:szCs w:val="28"/>
        </w:rPr>
      </w:pPr>
      <w:r>
        <w:rPr>
          <w:b/>
          <w:sz w:val="28"/>
          <w:szCs w:val="28"/>
        </w:rPr>
        <w:t>заявляет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что </w:t>
      </w:r>
      <w:bookmarkStart w:id="0" w:name="__DdeLink__109_415525808"/>
      <w:r>
        <w:rPr>
          <w:b/>
          <w:color w:val="0000FF" w:themeShade="bf"/>
          <w:sz w:val="28"/>
          <w:szCs w:val="28"/>
        </w:rPr>
        <w:t>{{ description_</w:t>
      </w:r>
      <w:r>
        <w:rPr>
          <w:b/>
          <w:color w:val="0000FF" w:themeShade="bf"/>
          <w:sz w:val="28"/>
          <w:szCs w:val="28"/>
          <w:lang w:val="en-US"/>
        </w:rPr>
        <w:t xml:space="preserve">elevator </w:t>
      </w:r>
      <w:r>
        <w:rPr>
          <w:b/>
          <w:color w:val="0000FF" w:themeShade="bf"/>
          <w:sz w:val="28"/>
          <w:szCs w:val="28"/>
        </w:rPr>
        <w:t>}}</w:t>
      </w:r>
      <w:r>
        <w:rPr>
          <w:sz w:val="28"/>
          <w:szCs w:val="28"/>
        </w:rPr>
        <w:t xml:space="preserve">, </w:t>
      </w:r>
      <w:r>
        <w:rPr>
          <w:b/>
          <w:color w:val="00B050" w:themeShade="bf"/>
          <w:sz w:val="28"/>
          <w:szCs w:val="28"/>
        </w:rPr>
        <w:t>{{ address_object  }}</w:t>
      </w:r>
      <w:r>
        <w:rPr>
          <w:color w:val="365F91" w:themeColor="accent1" w:themeShade="bf"/>
          <w:sz w:val="28"/>
          <w:szCs w:val="28"/>
        </w:rPr>
        <w:t>,</w:t>
      </w:r>
      <w:r>
        <w:rPr>
          <w:color w:val="92D050"/>
          <w:sz w:val="28"/>
          <w:szCs w:val="28"/>
        </w:rPr>
        <w:t xml:space="preserve"> </w:t>
      </w:r>
      <w:r>
        <w:rPr>
          <w:color w:val="C9211E"/>
          <w:sz w:val="28"/>
          <w:szCs w:val="28"/>
        </w:rPr>
        <w:t>{</w:t>
      </w:r>
      <w:r>
        <w:rPr>
          <w:color w:val="C9211E" w:themeShade="bf"/>
          <w:sz w:val="28"/>
          <w:szCs w:val="28"/>
        </w:rPr>
        <w:t xml:space="preserve">{ </w:t>
      </w:r>
      <w:bookmarkStart w:id="1" w:name="__DdeLink__258_576417386"/>
      <w:bookmarkStart w:id="2" w:name="__DdeLink__260_576417386"/>
      <w:r>
        <w:rPr>
          <w:color w:val="C9211E" w:themeShade="bf"/>
          <w:sz w:val="28"/>
          <w:szCs w:val="28"/>
        </w:rPr>
        <w:t>description_</w:t>
      </w:r>
      <w:bookmarkEnd w:id="1"/>
      <w:bookmarkEnd w:id="2"/>
      <w:r>
        <w:rPr>
          <w:color w:val="C9211E" w:themeShade="bf"/>
          <w:sz w:val="28"/>
          <w:szCs w:val="28"/>
        </w:rPr>
        <w:t>manufacturer }}</w:t>
      </w:r>
      <w:r>
        <w:rPr>
          <w:color w:val="auto" w:themeShade="bf"/>
          <w:sz w:val="28"/>
          <w:szCs w:val="28"/>
        </w:rPr>
        <w:t xml:space="preserve"> </w:t>
      </w:r>
      <w:r>
        <w:rPr>
          <w:b/>
          <w:color w:val="0000FF"/>
          <w:sz w:val="28"/>
          <w:szCs w:val="28"/>
        </w:rPr>
        <w:t>{</w:t>
      </w:r>
      <w:r>
        <w:rPr>
          <w:b/>
          <w:color w:val="0000FF" w:themeShade="bf"/>
          <w:sz w:val="28"/>
          <w:szCs w:val="28"/>
        </w:rPr>
        <w:t>{ description_address_manufacturer</w:t>
      </w:r>
      <w:r>
        <w:rPr>
          <w:b/>
          <w:color w:val="0000FF" w:themeShade="bf"/>
          <w:sz w:val="28"/>
          <w:szCs w:val="28"/>
          <w:lang w:val="en-US"/>
        </w:rPr>
        <w:t xml:space="preserve"> </w:t>
      </w:r>
      <w:r>
        <w:rPr>
          <w:b/>
          <w:color w:val="0000FF" w:themeShade="bf"/>
          <w:sz w:val="28"/>
          <w:szCs w:val="28"/>
        </w:rPr>
        <w:t>}}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943634" w:themeColor="accent2" w:themeShade="bf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943634" w:themeColor="accent2" w:themeShade="bf"/>
          <w:kern w:val="0"/>
          <w:sz w:val="28"/>
          <w:szCs w:val="28"/>
          <w:lang w:val="ru-RU" w:eastAsia="ru-RU" w:bidi="ar-SA"/>
        </w:rPr>
        <w:t>{{code_tnvd_eac}}</w:t>
      </w:r>
    </w:p>
    <w:p>
      <w:pPr>
        <w:pStyle w:val="Normal"/>
        <w:jc w:val="both"/>
        <w:rPr>
          <w:color w:val="92CDDC" w:themeColor="accent5" w:themeTint="99"/>
          <w:sz w:val="28"/>
          <w:szCs w:val="28"/>
        </w:rPr>
      </w:pPr>
      <w:r>
        <w:rPr>
          <w:sz w:val="28"/>
          <w:szCs w:val="28"/>
        </w:rPr>
        <w:t xml:space="preserve">единичное изделие, </w:t>
      </w:r>
      <w:r>
        <w:rPr>
          <w:rFonts w:eastAsia="Times New Roman" w:cs="Times New Roman"/>
          <w:color w:val="00B050"/>
          <w:kern w:val="0"/>
          <w:sz w:val="28"/>
          <w:szCs w:val="28"/>
          <w:lang w:val="ru-RU" w:eastAsia="ru-RU" w:bidi="ar-SA"/>
        </w:rPr>
        <w:t>{{ tn_number_date }}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соответствует требованиям </w:t>
      </w:r>
      <w:r>
        <w:rPr>
          <w:sz w:val="28"/>
          <w:szCs w:val="28"/>
        </w:rPr>
        <w:t xml:space="preserve">технического регламента Таможенного союза </w:t>
        <w:br/>
        <w:t>ТР ТС 011/2011 «Безопасность лифтов»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Декларация о соответствии принята на основании</w:t>
      </w:r>
      <w:r>
        <w:rPr>
          <w:sz w:val="28"/>
          <w:szCs w:val="28"/>
        </w:rPr>
        <w:t>:</w:t>
      </w:r>
    </w:p>
    <w:p>
      <w:pPr>
        <w:pStyle w:val="Normal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сертификата соответствия </w:t>
      </w:r>
      <w:r>
        <w:rPr>
          <w:rFonts w:eastAsia="Times New Roman" w:cs="Times New Roman"/>
          <w:color w:val="943634" w:themeColor="accent2" w:themeShade="bf"/>
          <w:kern w:val="0"/>
          <w:sz w:val="28"/>
          <w:szCs w:val="28"/>
          <w:lang w:val="ru-RU" w:eastAsia="ru-RU" w:bidi="ar-SA"/>
        </w:rPr>
        <w:t>{{sert}}</w:t>
      </w:r>
      <w:r>
        <w:rPr>
          <w:sz w:val="28"/>
          <w:szCs w:val="28"/>
        </w:rPr>
        <w:t xml:space="preserve">; паспорта лифта; монтажного чертежа смонтированного лифта и проектной документации на установку лифта; </w:t>
      </w:r>
      <w:r>
        <w:rPr>
          <w:color w:val="0000FF"/>
          <w:sz w:val="28"/>
          <w:szCs w:val="28"/>
        </w:rPr>
        <w:t>{{protocol_pfl}}</w:t>
      </w:r>
      <w:r>
        <w:rPr>
          <w:sz w:val="28"/>
          <w:szCs w:val="28"/>
        </w:rPr>
        <w:t>;</w:t>
      </w:r>
      <w:r>
        <w:rPr>
          <w:color w:val="00B050"/>
          <w:sz w:val="28"/>
          <w:szCs w:val="28"/>
        </w:rPr>
        <w:t>{{act_pto}}</w:t>
      </w:r>
      <w:r>
        <w:rPr>
          <w:color w:val="000000"/>
          <w:sz w:val="28"/>
          <w:szCs w:val="28"/>
        </w:rPr>
        <w:t>,</w:t>
      </w:r>
      <w:r>
        <w:rPr>
          <w:color w:val="943634"/>
          <w:sz w:val="28"/>
          <w:szCs w:val="28"/>
        </w:rPr>
        <w:t>{{protocol_efi}}</w:t>
      </w:r>
      <w:r>
        <w:rPr>
          <w:color w:val="00B05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sz w:val="28"/>
          <w:szCs w:val="28"/>
        </w:rPr>
        <w:t xml:space="preserve">ыданных </w:t>
      </w:r>
      <w:r>
        <w:rPr>
          <w:rFonts w:eastAsia="Times New Roman" w:cs="Times New Roman"/>
          <w:color w:val="FF0000"/>
          <w:kern w:val="0"/>
          <w:sz w:val="28"/>
          <w:szCs w:val="28"/>
          <w:lang w:val="ru-RU" w:eastAsia="ru-RU" w:bidi="ar-SA"/>
        </w:rPr>
        <w:t>{{efi_title}}</w:t>
      </w:r>
      <w:r>
        <w:rPr>
          <w:color w:val="FF0000"/>
          <w:sz w:val="28"/>
          <w:szCs w:val="28"/>
        </w:rPr>
        <w:t>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8"/>
          <w:szCs w:val="28"/>
        </w:rPr>
        <w:t>Схема декларирования соответствия – 4д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Дополнительная информация </w:t>
      </w:r>
      <w:r>
        <w:rPr>
          <w:b/>
          <w:color w:val="C9211E"/>
          <w:sz w:val="28"/>
          <w:szCs w:val="28"/>
        </w:rPr>
        <w:t>{{ assigned_lifetime }}</w:t>
      </w:r>
      <w:r>
        <w:rPr>
          <w:color w:val="C4BC96" w:themeColor="background2" w:themeShade="bf"/>
          <w:sz w:val="28"/>
          <w:szCs w:val="28"/>
        </w:rPr>
        <w:t xml:space="preserve"> </w:t>
      </w:r>
      <w:r>
        <w:rPr>
          <w:sz w:val="28"/>
          <w:szCs w:val="28"/>
        </w:rPr>
        <w:t>лет при условии использования лифта по назначению и эксплуатации в соответствии с инструкцией завода-изготовителя, требованиями ПОПБЛСГПЭКП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Декларация о соответствии действительна с даты регистрации по </w:t>
      </w:r>
      <w:r>
        <w:rPr>
          <w:rFonts w:eastAsia="Times New Roman" w:cs="Times New Roman"/>
          <w:color w:val="7030A0"/>
          <w:kern w:val="0"/>
          <w:sz w:val="28"/>
          <w:szCs w:val="28"/>
          <w:lang w:val="ru-RU" w:eastAsia="ru-RU" w:bidi="ar-SA"/>
        </w:rPr>
        <w:t>{{ data_is_valid }}</w:t>
      </w:r>
      <w:r>
        <w:rPr>
          <w:color w:val="7030A0"/>
          <w:sz w:val="28"/>
          <w:szCs w:val="28"/>
        </w:rPr>
        <w:t xml:space="preserve"> </w:t>
      </w:r>
      <w:r>
        <w:rPr>
          <w:b/>
          <w:sz w:val="28"/>
          <w:szCs w:val="28"/>
        </w:rPr>
        <w:t>включительно</w:t>
      </w:r>
      <w:r>
        <w:rPr>
          <w:sz w:val="28"/>
          <w:szCs w:val="28"/>
        </w:rPr>
        <w:t>.</w:t>
      </w:r>
      <w:bookmarkEnd w:id="0"/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Заместитель генерального директора-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главный инженер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Закрытого акционерного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общества «Гомельлифт»       __________________</w:t>
        <w:tab/>
      </w:r>
      <w:r>
        <w:rPr>
          <w:sz w:val="28"/>
          <w:szCs w:val="28"/>
          <w:u w:val="single"/>
        </w:rPr>
        <w:t>Хоменков Иван Иванович</w:t>
      </w:r>
    </w:p>
    <w:p>
      <w:pPr>
        <w:pStyle w:val="Normal"/>
        <w:ind w:left="4956" w:hanging="3546"/>
        <w:jc w:val="both"/>
        <w:rPr>
          <w:sz w:val="16"/>
          <w:szCs w:val="16"/>
        </w:rPr>
      </w:pPr>
      <w:r>
        <w:rPr>
          <w:sz w:val="28"/>
          <w:szCs w:val="28"/>
        </w:rPr>
        <w:tab/>
        <w:tab/>
        <w:tab/>
      </w:r>
    </w:p>
    <w:p>
      <w:pPr>
        <w:pStyle w:val="Normal"/>
        <w:ind w:left="2832" w:firstLine="708"/>
        <w:jc w:val="both"/>
        <w:rPr>
          <w:sz w:val="28"/>
          <w:szCs w:val="28"/>
        </w:rPr>
      </w:pPr>
      <w:r>
        <w:rPr>
          <w:sz w:val="28"/>
          <w:szCs w:val="28"/>
        </w:rPr>
        <w:t>МП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24" w:after="0"/>
        <w:ind w:right="-20" w:hanging="0"/>
        <w:jc w:val="both"/>
        <w:rPr>
          <w:b/>
          <w:b/>
        </w:rPr>
      </w:pPr>
      <w:r>
        <w:rPr/>
        <w:t xml:space="preserve">Регистрационный номер декларации о соответствии:  </w:t>
      </w:r>
      <w:r>
        <w:rPr>
          <w:b/>
          <w:color w:val="FFFFFF" w:themeColor="background1"/>
        </w:rPr>
        <w:t xml:space="preserve">ЕАЭС № BY/112 11.03. ТР011 056.01 02300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rPr>
          <w:sz w:val="28"/>
          <w:szCs w:val="28"/>
        </w:rPr>
      </w:pPr>
      <w:r>
        <w:rPr/>
        <w:t xml:space="preserve">Дата регистрации декларации о соответствии: </w:t>
      </w:r>
      <w:r>
        <w:rPr>
          <w:b/>
        </w:rPr>
        <w:t xml:space="preserve">             </w:t>
      </w:r>
      <w:r>
        <w:rPr>
          <w:b/>
          <w:color w:val="FFFFFF" w:themeColor="background1"/>
        </w:rPr>
        <w:t>03.10.2022</w:t>
      </w:r>
    </w:p>
    <w:sectPr>
      <w:type w:val="nextPage"/>
      <w:pgSz w:w="11906" w:h="16838"/>
      <w:pgMar w:left="1080" w:right="386" w:header="0" w:top="426" w:footer="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d4c7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sid w:val="008d1ddf"/>
    <w:rPr>
      <w:color w:val="0000FF"/>
      <w:u w:val="single"/>
    </w:rPr>
  </w:style>
  <w:style w:type="character" w:styleId="Annotationreference">
    <w:name w:val="annotation reference"/>
    <w:basedOn w:val="DefaultParagraphFont"/>
    <w:semiHidden/>
    <w:unhideWhenUsed/>
    <w:qFormat/>
    <w:rsid w:val="00af3a71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6"/>
    <w:semiHidden/>
    <w:qFormat/>
    <w:rsid w:val="00af3a71"/>
    <w:rPr/>
  </w:style>
  <w:style w:type="character" w:styleId="Style16" w:customStyle="1">
    <w:name w:val="Тема примечания Знак"/>
    <w:basedOn w:val="Style15"/>
    <w:link w:val="a8"/>
    <w:semiHidden/>
    <w:qFormat/>
    <w:rsid w:val="00af3a71"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8d1ddf"/>
    <w:pPr/>
    <w:rPr>
      <w:rFonts w:ascii="Tahoma" w:hAnsi="Tahoma" w:cs="Tahoma"/>
      <w:sz w:val="16"/>
      <w:szCs w:val="16"/>
    </w:rPr>
  </w:style>
  <w:style w:type="paragraph" w:styleId="Titlep" w:customStyle="1">
    <w:name w:val="titlep"/>
    <w:basedOn w:val="Normal"/>
    <w:qFormat/>
    <w:rsid w:val="004c741f"/>
    <w:pPr>
      <w:spacing w:before="240" w:after="240"/>
      <w:jc w:val="center"/>
    </w:pPr>
    <w:rPr>
      <w:b/>
      <w:bCs/>
    </w:rPr>
  </w:style>
  <w:style w:type="paragraph" w:styleId="Annotationtext">
    <w:name w:val="annotation text"/>
    <w:basedOn w:val="Normal"/>
    <w:link w:val="a7"/>
    <w:semiHidden/>
    <w:unhideWhenUsed/>
    <w:qFormat/>
    <w:rsid w:val="00af3a71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9"/>
    <w:semiHidden/>
    <w:unhideWhenUsed/>
    <w:qFormat/>
    <w:rsid w:val="00af3a71"/>
    <w:pPr/>
    <w:rPr>
      <w:b/>
      <w:bCs/>
    </w:rPr>
  </w:style>
  <w:style w:type="paragraph" w:styleId="ListParagraph">
    <w:name w:val="List Paragraph"/>
    <w:basedOn w:val="Normal"/>
    <w:uiPriority w:val="34"/>
    <w:qFormat/>
    <w:rsid w:val="006c586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info@gomellift.by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C4C4C-7422-4AB4-9541-E09B30F89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Шаблон1</Template>
  <TotalTime>515</TotalTime>
  <Application>LibreOffice/6.4.7.2$Linux_X86_64 LibreOffice_project/40$Build-2</Application>
  <Pages>1</Pages>
  <Words>183</Words>
  <Characters>1499</Characters>
  <CharactersWithSpaces>2397</CharactersWithSpaces>
  <Paragraphs>25</Paragraphs>
  <Company>MoBIL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2023-08-10T09:05:00Z</dcterms:created>
  <dc:creator>Ксендзов Александр А.</dc:creator>
  <dc:description/>
  <dc:language>ru-RU</dc:language>
  <cp:lastModifiedBy/>
  <cp:lastPrinted>2022-10-03T10:57:00Z</cp:lastPrinted>
  <dcterms:modified xsi:type="dcterms:W3CDTF">2023-09-04T00:24:18Z</dcterms:modified>
  <cp:revision>39</cp:revision>
  <dc:subject/>
  <dc:title>ДЕКЛАРАЦИЯ О СООТВЕТСТВИИ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MoBIL 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