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0C274D">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0C274D">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0C274D">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0C274D">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0C274D">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0C274D">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0C274D">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0C274D">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0C274D">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0C274D">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0C274D">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0C274D">
      <w:pPr>
        <w:pStyle w:val="a3"/>
        <w:tabs>
          <w:tab w:val="left" w:pos="426"/>
        </w:tabs>
        <w:spacing w:before="20" w:afterLines="20" w:line="240" w:lineRule="auto"/>
        <w:ind w:left="142"/>
        <w:jc w:val="both"/>
        <w:rPr>
          <w:b/>
        </w:rPr>
      </w:pPr>
      <w:r w:rsidRPr="00326D06">
        <w:rPr>
          <w:b/>
        </w:rPr>
        <w:t>2.3.4 Юнит/Формация ID</w:t>
      </w:r>
    </w:p>
    <w:p w:rsidR="00377AE8" w:rsidRDefault="00377AE8" w:rsidP="000C274D">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0C274D">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0C274D">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0C274D">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0C274D">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0C274D">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0C274D">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0C274D">
      <w:pPr>
        <w:pStyle w:val="a3"/>
        <w:tabs>
          <w:tab w:val="left" w:pos="426"/>
        </w:tabs>
        <w:spacing w:before="20" w:afterLines="20" w:line="240" w:lineRule="auto"/>
        <w:ind w:left="142"/>
        <w:jc w:val="both"/>
        <w:rPr>
          <w:b/>
          <w:sz w:val="26"/>
          <w:szCs w:val="26"/>
        </w:rPr>
      </w:pPr>
    </w:p>
    <w:p w:rsidR="00276CF7" w:rsidRDefault="00276CF7" w:rsidP="000C274D">
      <w:pPr>
        <w:pStyle w:val="a3"/>
        <w:tabs>
          <w:tab w:val="left" w:pos="426"/>
        </w:tabs>
        <w:spacing w:before="20" w:afterLines="20" w:line="240" w:lineRule="auto"/>
        <w:ind w:left="142"/>
        <w:jc w:val="both"/>
        <w:rPr>
          <w:b/>
          <w:sz w:val="26"/>
          <w:szCs w:val="26"/>
        </w:rPr>
      </w:pPr>
    </w:p>
    <w:p w:rsidR="00276CF7" w:rsidRDefault="00276CF7" w:rsidP="000C274D">
      <w:pPr>
        <w:pStyle w:val="a3"/>
        <w:tabs>
          <w:tab w:val="left" w:pos="426"/>
        </w:tabs>
        <w:spacing w:before="20" w:afterLines="20" w:line="240" w:lineRule="auto"/>
        <w:ind w:left="142"/>
        <w:jc w:val="both"/>
        <w:rPr>
          <w:b/>
          <w:sz w:val="26"/>
          <w:szCs w:val="26"/>
        </w:rPr>
      </w:pPr>
    </w:p>
    <w:p w:rsidR="00276CF7" w:rsidRPr="00276CF7" w:rsidRDefault="00276CF7" w:rsidP="000C274D">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0C274D">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0C274D">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0C274D">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0C274D">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0C274D">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0C274D">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0C274D">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0C274D">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0C274D">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0C274D">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0C274D">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0C274D">
      <w:pPr>
        <w:tabs>
          <w:tab w:val="left" w:pos="426"/>
        </w:tabs>
        <w:spacing w:before="20" w:afterLines="20" w:line="240" w:lineRule="auto"/>
        <w:ind w:left="142"/>
        <w:jc w:val="both"/>
        <w:rPr>
          <w:b/>
        </w:rPr>
      </w:pPr>
      <w:r w:rsidRPr="00C73DC4">
        <w:rPr>
          <w:b/>
        </w:rPr>
        <w:t>2.5 Схемы и таблицы</w:t>
      </w:r>
    </w:p>
    <w:p w:rsidR="00C73DC4" w:rsidRDefault="00C73DC4" w:rsidP="000C274D">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0C274D">
      <w:pPr>
        <w:spacing w:before="20" w:afterLines="20" w:line="240" w:lineRule="auto"/>
        <w:ind w:left="142"/>
        <w:jc w:val="both"/>
        <w:rPr>
          <w:b/>
        </w:rPr>
      </w:pPr>
      <w:r w:rsidRPr="00C73DC4">
        <w:rPr>
          <w:b/>
        </w:rPr>
        <w:t>2.6 Кубик</w:t>
      </w:r>
    </w:p>
    <w:p w:rsidR="00C73DC4" w:rsidRDefault="00C73DC4" w:rsidP="000C274D">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0C274D">
      <w:pPr>
        <w:spacing w:before="20" w:afterLines="20" w:line="240" w:lineRule="auto"/>
        <w:ind w:left="142"/>
        <w:jc w:val="both"/>
        <w:rPr>
          <w:b/>
        </w:rPr>
      </w:pPr>
      <w:r w:rsidRPr="00C73DC4">
        <w:rPr>
          <w:b/>
        </w:rPr>
        <w:t>2.7 Масштабы игры</w:t>
      </w:r>
    </w:p>
    <w:p w:rsidR="00C73DC4" w:rsidRDefault="00C73DC4" w:rsidP="000C274D">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0C274D">
      <w:pPr>
        <w:spacing w:before="20" w:afterLines="20" w:line="240" w:lineRule="auto"/>
        <w:ind w:left="142"/>
        <w:jc w:val="both"/>
      </w:pPr>
    </w:p>
    <w:p w:rsidR="00C73DC4" w:rsidRDefault="00C73DC4" w:rsidP="000C274D">
      <w:pPr>
        <w:spacing w:before="20" w:afterLines="20" w:line="240" w:lineRule="auto"/>
        <w:ind w:left="142"/>
        <w:jc w:val="both"/>
      </w:pPr>
    </w:p>
    <w:p w:rsidR="00C73DC4" w:rsidRDefault="00C73DC4" w:rsidP="000C274D">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0C274D">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0C274D">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0C274D">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0C274D">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0C274D">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0C274D">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0C274D">
      <w:pPr>
        <w:spacing w:before="20" w:afterLines="20" w:line="240" w:lineRule="auto"/>
        <w:ind w:left="142"/>
        <w:jc w:val="both"/>
        <w:rPr>
          <w:b/>
        </w:rPr>
      </w:pPr>
      <w:r w:rsidRPr="00BA7213">
        <w:rPr>
          <w:b/>
        </w:rPr>
        <w:t>4.1 Эффекты Погоды</w:t>
      </w:r>
    </w:p>
    <w:p w:rsidR="00BA7213" w:rsidRDefault="00BA7213" w:rsidP="000C274D">
      <w:pPr>
        <w:spacing w:before="20" w:afterLines="20" w:line="240" w:lineRule="auto"/>
        <w:ind w:left="142"/>
        <w:jc w:val="both"/>
      </w:pPr>
      <w:r>
        <w:t>Во всех случаях, при делении на 2 или на 4, округляйте вверх.</w:t>
      </w:r>
    </w:p>
    <w:p w:rsidR="00BA7213" w:rsidRPr="00BA7213" w:rsidRDefault="00BA7213" w:rsidP="000C274D">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0C274D">
      <w:pPr>
        <w:spacing w:before="20" w:afterLines="20" w:line="240" w:lineRule="auto"/>
        <w:ind w:left="142"/>
        <w:jc w:val="both"/>
      </w:pPr>
      <w:r>
        <w:t>- нет эффектов.</w:t>
      </w:r>
    </w:p>
    <w:p w:rsidR="00BA7213" w:rsidRPr="00E265C2" w:rsidRDefault="00BA7213" w:rsidP="000C274D">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0C274D">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0C274D">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0C274D">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0C274D">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0C274D">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0C274D">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0C274D">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0C274D">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0C274D">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0C274D">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0C274D">
      <w:pPr>
        <w:spacing w:before="20" w:afterLines="20" w:line="240" w:lineRule="auto"/>
        <w:ind w:left="142"/>
        <w:jc w:val="both"/>
      </w:pPr>
      <w:r w:rsidRPr="003E75C5">
        <w:t>- ударные вертолёты не могут выполнять миссии.</w:t>
      </w:r>
    </w:p>
    <w:p w:rsidR="003E75C5" w:rsidRPr="003E75C5" w:rsidRDefault="003E75C5" w:rsidP="000C274D">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0C274D">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0C274D">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0C274D">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0C274D">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0C274D">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0C274D">
      <w:pPr>
        <w:spacing w:before="20" w:afterLines="20" w:line="240" w:lineRule="auto"/>
        <w:ind w:left="142"/>
        <w:jc w:val="both"/>
        <w:rPr>
          <w:b/>
        </w:rPr>
      </w:pPr>
      <w:r w:rsidRPr="00CD541D">
        <w:rPr>
          <w:b/>
        </w:rPr>
        <w:t>5.1 Определение Инициативы</w:t>
      </w:r>
    </w:p>
    <w:p w:rsidR="00E53B68" w:rsidRPr="00283649" w:rsidRDefault="00CD541D" w:rsidP="000C274D">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0C274D">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0C274D">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0C274D">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0C274D">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0C274D">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0C274D">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0C274D">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0C274D">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0C274D">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0C274D">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0C274D">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0C274D">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0C274D">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0C274D">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0C274D">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0C274D">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0C274D">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0C274D">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0C274D">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0C274D">
      <w:pPr>
        <w:spacing w:before="20" w:afterLines="20" w:line="240" w:lineRule="auto"/>
        <w:ind w:left="142"/>
        <w:jc w:val="both"/>
      </w:pPr>
    </w:p>
    <w:p w:rsidR="00357B4A" w:rsidRDefault="00357B4A" w:rsidP="000C274D">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0C274D">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0C274D">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0C274D">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0C274D">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0C274D">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0C274D">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0C274D">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0C274D">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0C274D">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0C274D">
      <w:pPr>
        <w:spacing w:before="20" w:afterLines="20" w:line="240" w:lineRule="auto"/>
        <w:ind w:left="142"/>
        <w:jc w:val="both"/>
        <w:rPr>
          <w:b/>
          <w:lang w:val="en-US"/>
        </w:rPr>
      </w:pPr>
      <w:r>
        <w:rPr>
          <w:b/>
          <w:lang w:val="en-US"/>
        </w:rPr>
        <w:t>6.5.1 Базирование (Basing)</w:t>
      </w:r>
    </w:p>
    <w:p w:rsidR="00933305" w:rsidRPr="005844CE" w:rsidRDefault="00933305" w:rsidP="000C274D">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0C274D">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0C274D">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0C274D">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0C274D">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0C274D">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0C274D">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0C274D">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0C274D">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0C274D">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0C274D">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0C274D">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0C274D">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0C274D" w:rsidRDefault="00C12D65" w:rsidP="000C274D">
      <w:pPr>
        <w:spacing w:before="20" w:afterLines="20" w:line="240" w:lineRule="auto"/>
        <w:ind w:left="142"/>
        <w:jc w:val="both"/>
        <w:rPr>
          <w:b/>
          <w:lang w:val="en-US"/>
        </w:rPr>
      </w:pPr>
      <w:r w:rsidRPr="000C274D">
        <w:rPr>
          <w:b/>
          <w:lang w:val="en-US"/>
        </w:rPr>
        <w:t xml:space="preserve">6.5.5 </w:t>
      </w:r>
      <w:r w:rsidRPr="00C12D65">
        <w:rPr>
          <w:b/>
        </w:rPr>
        <w:t>Вертолёты</w:t>
      </w:r>
      <w:r w:rsidRPr="000C274D">
        <w:rPr>
          <w:b/>
          <w:lang w:val="en-US"/>
        </w:rPr>
        <w:t xml:space="preserve"> </w:t>
      </w:r>
      <w:r w:rsidRPr="00C12D65">
        <w:rPr>
          <w:b/>
        </w:rPr>
        <w:t>Корпуса</w:t>
      </w:r>
      <w:r w:rsidRPr="000C274D">
        <w:rPr>
          <w:b/>
          <w:lang w:val="en-US"/>
        </w:rPr>
        <w:t xml:space="preserve"> </w:t>
      </w:r>
      <w:r w:rsidRPr="00C12D65">
        <w:rPr>
          <w:b/>
        </w:rPr>
        <w:t>Морпехов</w:t>
      </w:r>
      <w:r w:rsidRPr="000C274D">
        <w:rPr>
          <w:b/>
          <w:lang w:val="en-US"/>
        </w:rPr>
        <w:t xml:space="preserve"> </w:t>
      </w:r>
      <w:r w:rsidRPr="00C12D65">
        <w:rPr>
          <w:b/>
        </w:rPr>
        <w:t>США</w:t>
      </w:r>
      <w:r w:rsidRPr="000C274D">
        <w:rPr>
          <w:b/>
          <w:lang w:val="en-US"/>
        </w:rPr>
        <w:t xml:space="preserve"> (</w:t>
      </w:r>
      <w:r w:rsidRPr="00C12D65">
        <w:rPr>
          <w:b/>
          <w:lang w:val="en-US"/>
        </w:rPr>
        <w:t>U</w:t>
      </w:r>
      <w:r w:rsidRPr="000C274D">
        <w:rPr>
          <w:b/>
          <w:lang w:val="en-US"/>
        </w:rPr>
        <w:t>.</w:t>
      </w:r>
      <w:r w:rsidRPr="00C12D65">
        <w:rPr>
          <w:b/>
          <w:lang w:val="en-US"/>
        </w:rPr>
        <w:t>S</w:t>
      </w:r>
      <w:r w:rsidRPr="000C274D">
        <w:rPr>
          <w:b/>
          <w:lang w:val="en-US"/>
        </w:rPr>
        <w:t xml:space="preserve">. </w:t>
      </w:r>
      <w:r w:rsidRPr="00C12D65">
        <w:rPr>
          <w:b/>
          <w:lang w:val="en-US"/>
        </w:rPr>
        <w:t>Marine</w:t>
      </w:r>
      <w:r w:rsidRPr="000C274D">
        <w:rPr>
          <w:b/>
          <w:lang w:val="en-US"/>
        </w:rPr>
        <w:t xml:space="preserve"> </w:t>
      </w:r>
      <w:r w:rsidRPr="00C12D65">
        <w:rPr>
          <w:b/>
          <w:lang w:val="en-US"/>
        </w:rPr>
        <w:t>Corps</w:t>
      </w:r>
      <w:r w:rsidRPr="000C274D">
        <w:rPr>
          <w:b/>
          <w:lang w:val="en-US"/>
        </w:rPr>
        <w:t xml:space="preserve"> </w:t>
      </w:r>
      <w:r w:rsidRPr="00C12D65">
        <w:rPr>
          <w:b/>
          <w:lang w:val="en-US"/>
        </w:rPr>
        <w:t>Helicopters</w:t>
      </w:r>
      <w:r w:rsidRPr="000C274D">
        <w:rPr>
          <w:b/>
          <w:lang w:val="en-US"/>
        </w:rPr>
        <w:t>)</w:t>
      </w:r>
    </w:p>
    <w:p w:rsidR="007A6BB4" w:rsidRPr="000A4121" w:rsidRDefault="000A4121" w:rsidP="000C274D">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0C274D">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0C274D">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0C274D">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0C274D">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0C274D">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0C274D">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0C274D">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0C274D">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0C274D">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0C274D">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0C274D">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0C274D">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0C274D">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0C274D">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0C274D">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0C274D">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0C274D">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0C274D">
            <w:pPr>
              <w:spacing w:before="20" w:afterLines="20"/>
              <w:jc w:val="both"/>
              <w:rPr>
                <w:sz w:val="20"/>
                <w:szCs w:val="20"/>
                <w:lang w:val="en-US"/>
              </w:rPr>
            </w:pPr>
            <w:r w:rsidRPr="002B1C38">
              <w:rPr>
                <w:sz w:val="20"/>
                <w:szCs w:val="20"/>
                <w:lang w:val="en-US"/>
              </w:rPr>
              <w:t>Отмена</w:t>
            </w:r>
          </w:p>
          <w:p w:rsidR="00542641" w:rsidRPr="002B1C38" w:rsidRDefault="00542641" w:rsidP="000C274D">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0C274D">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0C274D">
            <w:pPr>
              <w:spacing w:before="20" w:afterLines="20"/>
              <w:jc w:val="both"/>
              <w:rPr>
                <w:sz w:val="20"/>
                <w:szCs w:val="20"/>
              </w:rPr>
            </w:pPr>
            <w:r w:rsidRPr="002B1C38">
              <w:rPr>
                <w:sz w:val="20"/>
                <w:szCs w:val="20"/>
              </w:rPr>
              <w:t>(-х)</w:t>
            </w:r>
          </w:p>
        </w:tc>
        <w:tc>
          <w:tcPr>
            <w:tcW w:w="4253" w:type="dxa"/>
          </w:tcPr>
          <w:p w:rsidR="00542641" w:rsidRPr="002B1C38" w:rsidRDefault="002B1C38" w:rsidP="000C274D">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0C274D">
            <w:pPr>
              <w:spacing w:before="20" w:afterLines="20"/>
              <w:jc w:val="both"/>
              <w:rPr>
                <w:sz w:val="20"/>
                <w:szCs w:val="20"/>
              </w:rPr>
            </w:pPr>
            <w:r w:rsidRPr="002B1C38">
              <w:rPr>
                <w:sz w:val="20"/>
                <w:szCs w:val="20"/>
              </w:rPr>
              <w:t>*</w:t>
            </w:r>
          </w:p>
        </w:tc>
        <w:tc>
          <w:tcPr>
            <w:tcW w:w="4253" w:type="dxa"/>
          </w:tcPr>
          <w:p w:rsidR="00542641" w:rsidRPr="002B1C38" w:rsidRDefault="002B1C38" w:rsidP="000C274D">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0C274D">
      <w:pPr>
        <w:spacing w:before="20" w:afterLines="20" w:line="240" w:lineRule="auto"/>
        <w:ind w:left="142"/>
        <w:jc w:val="both"/>
      </w:pPr>
    </w:p>
    <w:p w:rsidR="002B1C38" w:rsidRPr="006D2171" w:rsidRDefault="00DE65E9" w:rsidP="000C274D">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0C274D">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0C274D">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0C274D">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0C274D">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0C274D">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0C274D">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0C274D">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0C274D">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0C274D">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0C274D">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0C274D">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0C274D">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0C274D">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0C274D">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0C274D">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0C274D">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0C274D">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0C274D">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0C274D">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0C274D">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0C274D">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0C274D">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0C274D">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0C274D">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0C274D">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0C274D">
      <w:pPr>
        <w:spacing w:before="20" w:afterLines="20" w:line="240" w:lineRule="auto"/>
        <w:ind w:left="142"/>
        <w:jc w:val="both"/>
      </w:pPr>
    </w:p>
    <w:p w:rsidR="00F6294B" w:rsidRDefault="00F6294B" w:rsidP="000C274D">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0C274D">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0C274D">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0C274D">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0C274D">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0C274D">
      <w:pPr>
        <w:spacing w:before="20" w:afterLines="20" w:line="240" w:lineRule="auto"/>
        <w:ind w:left="142"/>
        <w:jc w:val="both"/>
      </w:pPr>
      <w:r>
        <w:t>Всё вышеизложенное может менятся GSR.</w:t>
      </w:r>
    </w:p>
    <w:p w:rsidR="00A12A6D" w:rsidRPr="006D2171" w:rsidRDefault="00A12A6D" w:rsidP="000C274D">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0C274D">
      <w:pPr>
        <w:spacing w:before="20" w:afterLines="20" w:line="240" w:lineRule="auto"/>
        <w:ind w:left="142"/>
        <w:jc w:val="both"/>
      </w:pPr>
      <w:r>
        <w:t>Все Морские юниты имеют иммунитет от потерь.</w:t>
      </w:r>
    </w:p>
    <w:p w:rsidR="00A12A6D" w:rsidRDefault="00A12A6D" w:rsidP="000C274D">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0C274D">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0C274D">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0C274D">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0C274D">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0C274D">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0C274D">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0C274D">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0C274D">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0C274D">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0C274D">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0C274D">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0C274D">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0C274D">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0C274D">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0C274D">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0C274D">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0C274D">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0C274D">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0C274D">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0C274D">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0C274D">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0C274D">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0C274D">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0C274D">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0C274D">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0C274D">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0C274D">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0C274D">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0C274D">
      <w:pPr>
        <w:spacing w:before="20" w:afterLines="20" w:line="240" w:lineRule="auto"/>
        <w:ind w:left="142"/>
        <w:jc w:val="both"/>
      </w:pPr>
      <w:r w:rsidRPr="006D2171">
        <w:t>- ударные вертолёты (у вертолётов свои правила базирования).</w:t>
      </w:r>
    </w:p>
    <w:p w:rsidR="006D2171" w:rsidRDefault="006D2171" w:rsidP="000C274D">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0C274D">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0C274D">
      <w:pPr>
        <w:spacing w:before="20" w:afterLines="20" w:line="240" w:lineRule="auto"/>
        <w:ind w:left="142"/>
        <w:jc w:val="both"/>
        <w:rPr>
          <w:lang w:val="uk-UA"/>
        </w:rPr>
      </w:pPr>
      <w:r>
        <w:rPr>
          <w:lang w:val="uk-UA"/>
        </w:rPr>
        <w:t>- все игровые маркеры.</w:t>
      </w:r>
    </w:p>
    <w:p w:rsidR="006D2171" w:rsidRPr="006D2171" w:rsidRDefault="006D2171" w:rsidP="000C274D">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0C274D">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0C274D">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0C274D">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0C274D">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0C274D">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0C274D">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0C274D">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0C274D">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0C274D">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0C274D">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0C274D">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0C274D">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0C274D">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0C274D">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0C274D">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0C274D">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0C274D">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0C274D">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0C274D">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0C274D">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0C274D">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0C274D">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0C274D">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0C274D">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w:t>
      </w:r>
      <w:bookmarkStart w:id="0" w:name="_GoBack"/>
      <w:bookmarkEnd w:id="0"/>
      <w:r>
        <w:t>дится в том гексе).</w:t>
      </w:r>
    </w:p>
    <w:p w:rsidR="003A4E53" w:rsidRDefault="003A4E53" w:rsidP="000C274D">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0C274D">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0C274D">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0C274D">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0C274D">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0C274D">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0C274D">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0C274D">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0C274D">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0C274D">
      <w:pPr>
        <w:spacing w:before="20" w:afterLines="20" w:line="240" w:lineRule="auto"/>
        <w:ind w:left="142"/>
        <w:jc w:val="both"/>
      </w:pPr>
      <w:r>
        <w:t>- ЛП не должна останавливаться при вхождении в ВЗК.</w:t>
      </w:r>
    </w:p>
    <w:p w:rsidR="00481AEA" w:rsidRDefault="00481AEA" w:rsidP="000C274D">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0C274D">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0C274D">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0C274D">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0C274D">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0C274D">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0C274D">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0C274D">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0C274D">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0C274D">
      <w:pPr>
        <w:spacing w:before="20" w:afterLines="20" w:line="240" w:lineRule="auto"/>
        <w:ind w:left="142"/>
        <w:jc w:val="both"/>
        <w:rPr>
          <w:i/>
        </w:rPr>
      </w:pPr>
      <w:r w:rsidRPr="00C20F3F">
        <w:rPr>
          <w:i/>
        </w:rPr>
        <w:t>Исключение: ЛП-юниты [8.5.1]</w:t>
      </w:r>
    </w:p>
    <w:p w:rsidR="00C20F3F" w:rsidRDefault="00C20F3F" w:rsidP="000C274D">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0C274D">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0C274D">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0C274D">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0C274D">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0C274D">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0C274D">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0C274D">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0C274D">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0C274D">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0C274D">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0C274D">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0C274D">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0C274D">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0C274D">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0C274D">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0C274D">
      <w:pPr>
        <w:spacing w:before="20" w:afterLines="20" w:line="240" w:lineRule="auto"/>
        <w:ind w:left="142"/>
        <w:jc w:val="both"/>
      </w:pPr>
      <w:r>
        <w:t>- Шоссе (</w:t>
      </w:r>
      <w:r>
        <w:rPr>
          <w:lang w:val="en-US"/>
        </w:rPr>
        <w:t>Highways</w:t>
      </w:r>
      <w:r>
        <w:t>)</w:t>
      </w:r>
      <w:r w:rsidRPr="003F0A64">
        <w:t>.</w:t>
      </w:r>
    </w:p>
    <w:p w:rsidR="003F0A64" w:rsidRDefault="003F0A64" w:rsidP="000C274D">
      <w:pPr>
        <w:spacing w:before="20" w:afterLines="20" w:line="240" w:lineRule="auto"/>
        <w:ind w:left="142"/>
        <w:jc w:val="both"/>
      </w:pPr>
      <w:r>
        <w:t>- Главные дороги.</w:t>
      </w:r>
    </w:p>
    <w:p w:rsidR="003F0A64" w:rsidRDefault="003F0A64" w:rsidP="000C274D">
      <w:pPr>
        <w:spacing w:before="20" w:afterLines="20" w:line="240" w:lineRule="auto"/>
        <w:ind w:left="142"/>
        <w:jc w:val="both"/>
      </w:pPr>
      <w:r>
        <w:t>- Второстепенные дороги.</w:t>
      </w:r>
    </w:p>
    <w:p w:rsidR="003F0A64" w:rsidRDefault="003F0A64" w:rsidP="000C274D">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0C274D">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0C274D">
      <w:pPr>
        <w:spacing w:before="20" w:afterLines="20"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0C274D">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0C274D">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0C274D">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0C274D">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0C274D">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0C274D">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0C274D">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0C274D">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0C274D">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0C274D">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0C274D">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0C274D">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0C274D">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0C274D">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0C274D">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0C274D">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0C274D">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0C274D">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0C274D">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0C274D">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0C274D">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0C274D">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0C274D">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0C274D">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0C274D">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0C274D">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0C274D">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0C274D">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0C274D">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0C274D">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0C274D">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0C274D">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0C274D">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0C274D">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0C274D">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0C274D">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0C274D">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0C274D">
      <w:pPr>
        <w:spacing w:before="20" w:afterLines="20" w:line="240" w:lineRule="auto"/>
        <w:ind w:left="142"/>
        <w:jc w:val="both"/>
      </w:pPr>
      <w:r>
        <w:t>Сторона может использовать захваченный Порт, как пожелает.</w:t>
      </w:r>
    </w:p>
    <w:p w:rsidR="000D5983" w:rsidRPr="00B374E6" w:rsidRDefault="000D5983" w:rsidP="000C274D">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0C274D">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0C274D">
      <w:pPr>
        <w:spacing w:before="20" w:afterLines="20"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0C274D">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0C274D">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0C274D">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0C274D">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0C274D">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0C274D">
            <w:pPr>
              <w:spacing w:before="20" w:afterLines="20"/>
              <w:jc w:val="both"/>
              <w:rPr>
                <w:b/>
                <w:sz w:val="18"/>
                <w:szCs w:val="18"/>
              </w:rPr>
            </w:pPr>
            <w:r>
              <w:rPr>
                <w:b/>
                <w:sz w:val="18"/>
                <w:szCs w:val="18"/>
              </w:rPr>
              <w:t>Моторизовання</w:t>
            </w:r>
          </w:p>
        </w:tc>
        <w:tc>
          <w:tcPr>
            <w:tcW w:w="3010" w:type="dxa"/>
          </w:tcPr>
          <w:p w:rsidR="00B374E6" w:rsidRPr="00B374E6" w:rsidRDefault="00B374E6" w:rsidP="000C274D">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0C274D">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0C274D">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0C274D">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0C274D">
            <w:pPr>
              <w:spacing w:before="20" w:afterLines="20"/>
              <w:jc w:val="both"/>
              <w:rPr>
                <w:b/>
                <w:sz w:val="18"/>
                <w:szCs w:val="18"/>
                <w:lang w:val="uk-UA"/>
              </w:rPr>
            </w:pPr>
            <w:r>
              <w:rPr>
                <w:b/>
                <w:sz w:val="18"/>
                <w:szCs w:val="18"/>
                <w:lang w:val="uk-UA"/>
              </w:rPr>
              <w:t>Желтый МА*</w:t>
            </w:r>
          </w:p>
        </w:tc>
      </w:tr>
    </w:tbl>
    <w:p w:rsidR="00B374E6" w:rsidRPr="00B374E6" w:rsidRDefault="00B374E6" w:rsidP="000C274D">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0C274D">
      <w:pPr>
        <w:spacing w:before="20" w:afterLines="20" w:line="240" w:lineRule="auto"/>
        <w:jc w:val="both"/>
      </w:pPr>
    </w:p>
    <w:p w:rsidR="00B374E6" w:rsidRDefault="00B374E6" w:rsidP="000C274D">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0C274D">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0C274D">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0C274D">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0C274D">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7A7541" w:rsidRDefault="007A7541" w:rsidP="000C274D">
      <w:pPr>
        <w:spacing w:before="20" w:afterLines="20" w:line="240" w:lineRule="auto"/>
        <w:jc w:val="both"/>
        <w:rPr>
          <w:b/>
          <w:lang w:val="en-US"/>
        </w:rPr>
      </w:pPr>
      <w:r w:rsidRPr="007A7541">
        <w:rPr>
          <w:b/>
        </w:rPr>
        <w:t>8.5.2 Воздушный Транспорт (</w:t>
      </w:r>
      <w:r w:rsidRPr="007A7541">
        <w:rPr>
          <w:b/>
          <w:lang w:val="en-US"/>
        </w:rPr>
        <w:t>Air Transport</w:t>
      </w:r>
      <w:r w:rsidRPr="007A7541">
        <w:rPr>
          <w:b/>
        </w:rPr>
        <w:t>)</w:t>
      </w:r>
    </w:p>
    <w:p w:rsidR="007A7541" w:rsidRDefault="007A7541" w:rsidP="000C274D">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0C274D">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0C274D">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0C274D">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0C274D">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0C274D">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0C274D">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0C274D">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0C274D">
      <w:pPr>
        <w:spacing w:before="20" w:afterLines="20" w:line="240" w:lineRule="auto"/>
        <w:jc w:val="both"/>
      </w:pPr>
      <w:r>
        <w:t>- Мегаполис.</w:t>
      </w:r>
    </w:p>
    <w:p w:rsidR="00EA5136" w:rsidRDefault="00EA5136" w:rsidP="000C274D">
      <w:pPr>
        <w:spacing w:before="20" w:afterLines="20" w:line="240" w:lineRule="auto"/>
        <w:jc w:val="both"/>
      </w:pPr>
      <w:r>
        <w:t>- Холмы/Горы.</w:t>
      </w:r>
    </w:p>
    <w:p w:rsidR="00EA5136" w:rsidRPr="00251259" w:rsidRDefault="00EA5136" w:rsidP="000C274D">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0C274D">
      <w:pPr>
        <w:spacing w:before="20" w:afterLines="20" w:line="240" w:lineRule="auto"/>
        <w:jc w:val="both"/>
      </w:pPr>
      <w:r>
        <w:t>- любой гекс с Городом</w:t>
      </w:r>
    </w:p>
    <w:p w:rsidR="00251259" w:rsidRDefault="00251259" w:rsidP="000C274D">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0C274D">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0C274D">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0C274D">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0C274D">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0C274D">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0C274D">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0C274D">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0C274D">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0C274D">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0C274D">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A22F88">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A22F88">
      <w:pPr>
        <w:spacing w:before="20" w:afterLines="20" w:line="240" w:lineRule="auto"/>
        <w:jc w:val="both"/>
      </w:pPr>
      <w:r>
        <w:t>Аэромобильные Очки не нужны для Аэромобильных юнитов (с МА 24).</w:t>
      </w:r>
    </w:p>
    <w:p w:rsidR="000C274D" w:rsidRDefault="000C274D" w:rsidP="00A22F88">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A22F88">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A22F88">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A22F88">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A22F88">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Pr="00DA4291" w:rsidRDefault="00DA4291" w:rsidP="00A22F88">
      <w:pPr>
        <w:spacing w:before="20" w:afterLines="20" w:line="240" w:lineRule="auto"/>
        <w:jc w:val="both"/>
        <w:rPr>
          <w:lang w:val="en-US"/>
        </w:rPr>
      </w:pPr>
      <w:r w:rsidRPr="00DA4291">
        <w:rPr>
          <w:b/>
        </w:rPr>
        <w:t>8.5.4.3 Процедура Аэромобильного Движения (</w:t>
      </w:r>
      <w:r w:rsidRPr="00DA4291">
        <w:rPr>
          <w:b/>
          <w:lang w:val="en-US"/>
        </w:rPr>
        <w:t>Airmobile Movement Procedure</w:t>
      </w:r>
      <w:r w:rsidRPr="00DA4291">
        <w:rPr>
          <w:b/>
        </w:rPr>
        <w:t>)</w:t>
      </w:r>
      <w:r w:rsidRPr="00DA4291">
        <w:rPr>
          <w:b/>
          <w:lang w:val="en-US"/>
        </w:rPr>
        <w:t>:</w:t>
      </w:r>
      <w:r>
        <w:rPr>
          <w:b/>
          <w:lang w:val="en-US"/>
        </w:rPr>
        <w:t xml:space="preserve"> </w:t>
      </w:r>
    </w:p>
    <w:sectPr w:rsidR="00DA4291" w:rsidRPr="00DA4291"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E3305A"/>
    <w:rsid w:val="000257EC"/>
    <w:rsid w:val="000306F6"/>
    <w:rsid w:val="000A4121"/>
    <w:rsid w:val="000C274D"/>
    <w:rsid w:val="000C6F2C"/>
    <w:rsid w:val="000C780F"/>
    <w:rsid w:val="000D5983"/>
    <w:rsid w:val="000D6C14"/>
    <w:rsid w:val="00103561"/>
    <w:rsid w:val="00110927"/>
    <w:rsid w:val="0011750F"/>
    <w:rsid w:val="00156180"/>
    <w:rsid w:val="00174DFF"/>
    <w:rsid w:val="001D13BB"/>
    <w:rsid w:val="001D4032"/>
    <w:rsid w:val="00246D3E"/>
    <w:rsid w:val="00251259"/>
    <w:rsid w:val="0027448F"/>
    <w:rsid w:val="002747F0"/>
    <w:rsid w:val="00276CF7"/>
    <w:rsid w:val="00283649"/>
    <w:rsid w:val="002A3A3D"/>
    <w:rsid w:val="002B1C38"/>
    <w:rsid w:val="002E60D5"/>
    <w:rsid w:val="002F013A"/>
    <w:rsid w:val="002F1A18"/>
    <w:rsid w:val="002F777A"/>
    <w:rsid w:val="00326D06"/>
    <w:rsid w:val="00357B4A"/>
    <w:rsid w:val="00377AE8"/>
    <w:rsid w:val="003A4E53"/>
    <w:rsid w:val="003D211A"/>
    <w:rsid w:val="003E2047"/>
    <w:rsid w:val="003E2064"/>
    <w:rsid w:val="003E69B7"/>
    <w:rsid w:val="003E75C5"/>
    <w:rsid w:val="003F0A64"/>
    <w:rsid w:val="00421E70"/>
    <w:rsid w:val="00426D27"/>
    <w:rsid w:val="00481AEA"/>
    <w:rsid w:val="00484945"/>
    <w:rsid w:val="004B3AEC"/>
    <w:rsid w:val="004D6482"/>
    <w:rsid w:val="005370D1"/>
    <w:rsid w:val="00542641"/>
    <w:rsid w:val="005801DF"/>
    <w:rsid w:val="005844CE"/>
    <w:rsid w:val="005F3586"/>
    <w:rsid w:val="00611F1B"/>
    <w:rsid w:val="00660085"/>
    <w:rsid w:val="00664605"/>
    <w:rsid w:val="00685477"/>
    <w:rsid w:val="006A6336"/>
    <w:rsid w:val="006D2171"/>
    <w:rsid w:val="00727F7F"/>
    <w:rsid w:val="00732A40"/>
    <w:rsid w:val="00737E67"/>
    <w:rsid w:val="00744C91"/>
    <w:rsid w:val="00765138"/>
    <w:rsid w:val="007A6BB4"/>
    <w:rsid w:val="007A7541"/>
    <w:rsid w:val="00801640"/>
    <w:rsid w:val="008568E3"/>
    <w:rsid w:val="00913608"/>
    <w:rsid w:val="00916F3C"/>
    <w:rsid w:val="00933305"/>
    <w:rsid w:val="00972344"/>
    <w:rsid w:val="009A51A4"/>
    <w:rsid w:val="009C4A08"/>
    <w:rsid w:val="009F1192"/>
    <w:rsid w:val="00A12A6D"/>
    <w:rsid w:val="00A22F88"/>
    <w:rsid w:val="00A63BB4"/>
    <w:rsid w:val="00AB013B"/>
    <w:rsid w:val="00AF433E"/>
    <w:rsid w:val="00B106D5"/>
    <w:rsid w:val="00B374E6"/>
    <w:rsid w:val="00B75B69"/>
    <w:rsid w:val="00BA7213"/>
    <w:rsid w:val="00C12D65"/>
    <w:rsid w:val="00C20F3F"/>
    <w:rsid w:val="00C22427"/>
    <w:rsid w:val="00C57857"/>
    <w:rsid w:val="00C6605E"/>
    <w:rsid w:val="00C663AA"/>
    <w:rsid w:val="00C676DF"/>
    <w:rsid w:val="00C73DC4"/>
    <w:rsid w:val="00C760B1"/>
    <w:rsid w:val="00CA632E"/>
    <w:rsid w:val="00CD541D"/>
    <w:rsid w:val="00CE62BC"/>
    <w:rsid w:val="00CE786A"/>
    <w:rsid w:val="00D04381"/>
    <w:rsid w:val="00D05052"/>
    <w:rsid w:val="00D11862"/>
    <w:rsid w:val="00D17A32"/>
    <w:rsid w:val="00DA172D"/>
    <w:rsid w:val="00DA4291"/>
    <w:rsid w:val="00DD1CF3"/>
    <w:rsid w:val="00DE13AF"/>
    <w:rsid w:val="00DE65E9"/>
    <w:rsid w:val="00E02200"/>
    <w:rsid w:val="00E12D3F"/>
    <w:rsid w:val="00E265C2"/>
    <w:rsid w:val="00E3305A"/>
    <w:rsid w:val="00E341C8"/>
    <w:rsid w:val="00E53B68"/>
    <w:rsid w:val="00E70FA7"/>
    <w:rsid w:val="00EA5136"/>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883D1B-7D4F-4E34-8CF9-68BF5639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14</Pages>
  <Words>33917</Words>
  <Characters>19333</Characters>
  <Application>Microsoft Office Word</Application>
  <DocSecurity>0</DocSecurity>
  <Lines>161</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15</cp:revision>
  <dcterms:created xsi:type="dcterms:W3CDTF">2019-09-17T05:57:00Z</dcterms:created>
  <dcterms:modified xsi:type="dcterms:W3CDTF">2019-09-24T09:41:00Z</dcterms:modified>
</cp:coreProperties>
</file>