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36BF" w14:textId="192C7446" w:rsidR="007970B4" w:rsidRPr="007271D6" w:rsidRDefault="007970B4" w:rsidP="007970B4">
      <w:pPr>
        <w:pStyle w:val="Heading1"/>
        <w:rPr>
          <w:sz w:val="36"/>
          <w:szCs w:val="36"/>
        </w:rPr>
      </w:pPr>
      <w:r w:rsidRPr="007271D6">
        <w:rPr>
          <w:sz w:val="36"/>
          <w:szCs w:val="36"/>
        </w:rPr>
        <w:t>Probabilità e Statistica per l’informatica Progetto R</w:t>
      </w:r>
    </w:p>
    <w:p w14:paraId="73A45F7D" w14:textId="47BC46A1" w:rsidR="007970B4" w:rsidRPr="007271D6" w:rsidRDefault="007970B4" w:rsidP="007970B4">
      <w:pPr>
        <w:pStyle w:val="Heading2"/>
        <w:rPr>
          <w:sz w:val="32"/>
          <w:szCs w:val="32"/>
        </w:rPr>
      </w:pPr>
      <w:r w:rsidRPr="007271D6">
        <w:rPr>
          <w:sz w:val="32"/>
          <w:szCs w:val="32"/>
        </w:rPr>
        <w:t>Il contesto</w:t>
      </w:r>
    </w:p>
    <w:p w14:paraId="51CC70FD" w14:textId="45A3B169" w:rsidR="00441CE7" w:rsidRDefault="00441CE7">
      <w:r>
        <w:t>Si vuole valutare se ampliare o meno l’area assistenza e riparazioni della sezione ciclismo di Decathlon Milano, valutando se l’ipotesi del nostro superiore per cui, il servizio di assistenza influisce positivamente sulle vendite dei componenti, sia vera. Sono stati osservati i valori di vendita e di ricavo per 52 settimane</w:t>
      </w:r>
      <w:r w:rsidR="00DA5AB6">
        <w:t xml:space="preserve"> relativamente a</w:t>
      </w:r>
      <w:r w:rsidR="00DF6DCF">
        <w:t>lla vendite di diversi prodotti tra cui la vendita delle componenti e la vendita dei servizi di riparazione e manutenzione. Sono state analizzate le colonne relative alla vendita delle componenti e alla vendita dei servizi di riparazione e manutenzione</w:t>
      </w:r>
      <w:r w:rsidR="00716DCD">
        <w:t xml:space="preserve"> utilizzando R.</w:t>
      </w:r>
    </w:p>
    <w:p w14:paraId="66AFED78" w14:textId="55B24FE8" w:rsidR="00441CE7" w:rsidRPr="007271D6" w:rsidRDefault="00441CE7" w:rsidP="00441CE7">
      <w:pPr>
        <w:pStyle w:val="Heading2"/>
        <w:rPr>
          <w:sz w:val="32"/>
          <w:szCs w:val="32"/>
        </w:rPr>
      </w:pPr>
      <w:r w:rsidRPr="007271D6">
        <w:rPr>
          <w:sz w:val="32"/>
          <w:szCs w:val="32"/>
        </w:rPr>
        <w:t>Ipotesi</w:t>
      </w:r>
    </w:p>
    <w:p w14:paraId="34B061D5" w14:textId="0A7CC205" w:rsidR="00441CE7" w:rsidRDefault="00510361" w:rsidP="00441CE7">
      <w:r>
        <w:t>L’ipotesi è che il</w:t>
      </w:r>
      <w:r w:rsidR="00441CE7">
        <w:t xml:space="preserve"> servizio di assistenza </w:t>
      </w:r>
      <w:r w:rsidR="00DF6DCF">
        <w:t>influisce</w:t>
      </w:r>
      <w:r w:rsidR="00441CE7">
        <w:t xml:space="preserve"> positivamente sulle vendite delle componenti.</w:t>
      </w:r>
    </w:p>
    <w:p w14:paraId="594A77F5" w14:textId="17460E82" w:rsidR="00441CE7" w:rsidRDefault="00441CE7" w:rsidP="00441CE7">
      <w:pPr>
        <w:pStyle w:val="Heading2"/>
        <w:rPr>
          <w:sz w:val="32"/>
          <w:szCs w:val="32"/>
        </w:rPr>
      </w:pPr>
      <w:r w:rsidRPr="007271D6">
        <w:rPr>
          <w:sz w:val="32"/>
          <w:szCs w:val="32"/>
        </w:rPr>
        <w:t>Analisi dei dati</w:t>
      </w:r>
    </w:p>
    <w:p w14:paraId="10E31E73" w14:textId="5D4DBD81" w:rsidR="00510361" w:rsidRDefault="00DF6DCF" w:rsidP="00DF6DCF">
      <w:pPr>
        <w:pStyle w:val="Heading3"/>
      </w:pPr>
      <w:r>
        <w:t>Indici di posizione e dispersione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0361" w14:paraId="1756FEF8" w14:textId="77777777" w:rsidTr="00DF6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14:paraId="7EF0F788" w14:textId="24FA91C0" w:rsidR="00510361" w:rsidRDefault="00510361" w:rsidP="00DA5AB6"/>
        </w:tc>
        <w:tc>
          <w:tcPr>
            <w:tcW w:w="3209" w:type="dxa"/>
          </w:tcPr>
          <w:p w14:paraId="7D552A8B" w14:textId="7FB7ACBA" w:rsidR="00510361" w:rsidRDefault="00510361" w:rsidP="00DA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Vendite componenti</w:t>
            </w:r>
          </w:p>
        </w:tc>
        <w:tc>
          <w:tcPr>
            <w:tcW w:w="3210" w:type="dxa"/>
          </w:tcPr>
          <w:p w14:paraId="474E065D" w14:textId="70A550EE" w:rsidR="00510361" w:rsidRDefault="00510361" w:rsidP="00DA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Servizi di riparazione e manutenzione</w:t>
            </w:r>
          </w:p>
        </w:tc>
      </w:tr>
      <w:tr w:rsidR="00510361" w14:paraId="798B2A6D" w14:textId="77777777" w:rsidTr="00DF6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03A1F" w14:textId="1A4C227A" w:rsidR="00510361" w:rsidRDefault="00510361" w:rsidP="00DA5AB6">
            <w:r>
              <w:t>Media campionaria</w:t>
            </w:r>
          </w:p>
        </w:tc>
        <w:tc>
          <w:tcPr>
            <w:tcW w:w="3209" w:type="dxa"/>
          </w:tcPr>
          <w:p w14:paraId="7542A2C8" w14:textId="71A7D2C0" w:rsidR="00510361" w:rsidRPr="00DF6DCF" w:rsidRDefault="00827120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42.48</w:t>
            </w:r>
          </w:p>
        </w:tc>
        <w:tc>
          <w:tcPr>
            <w:tcW w:w="3210" w:type="dxa"/>
          </w:tcPr>
          <w:p w14:paraId="186BC5AD" w14:textId="150ABA72" w:rsidR="00510361" w:rsidRDefault="00510361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</w:t>
            </w:r>
            <w:r w:rsidR="00827120">
              <w:t>48</w:t>
            </w:r>
          </w:p>
        </w:tc>
      </w:tr>
      <w:tr w:rsidR="00510361" w14:paraId="0CB8A158" w14:textId="77777777" w:rsidTr="00DF6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FD5E45" w14:textId="6B2121A1" w:rsidR="00510361" w:rsidRDefault="00510361" w:rsidP="00DA5AB6">
            <w:r>
              <w:t>Primo quartile</w:t>
            </w:r>
          </w:p>
        </w:tc>
        <w:tc>
          <w:tcPr>
            <w:tcW w:w="3209" w:type="dxa"/>
          </w:tcPr>
          <w:p w14:paraId="5D165136" w14:textId="77202322" w:rsidR="002416B4" w:rsidRDefault="00827120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3210" w:type="dxa"/>
          </w:tcPr>
          <w:p w14:paraId="3C365DC8" w14:textId="706D3E83" w:rsidR="00510361" w:rsidRDefault="005777B6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27120">
              <w:t>5.8</w:t>
            </w:r>
          </w:p>
        </w:tc>
      </w:tr>
      <w:tr w:rsidR="00510361" w14:paraId="409E39B8" w14:textId="77777777" w:rsidTr="00DF6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FCF929" w14:textId="3B23231B" w:rsidR="00510361" w:rsidRDefault="00510361" w:rsidP="00DA5AB6">
            <w:r>
              <w:t>Mediana</w:t>
            </w:r>
          </w:p>
        </w:tc>
        <w:tc>
          <w:tcPr>
            <w:tcW w:w="3209" w:type="dxa"/>
          </w:tcPr>
          <w:p w14:paraId="34EF905B" w14:textId="631CB8F0" w:rsidR="00510361" w:rsidRDefault="00827120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38.5</w:t>
            </w:r>
          </w:p>
        </w:tc>
        <w:tc>
          <w:tcPr>
            <w:tcW w:w="3210" w:type="dxa"/>
          </w:tcPr>
          <w:p w14:paraId="6581D390" w14:textId="7ABC6F74" w:rsidR="00510361" w:rsidRDefault="005777B6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827120">
              <w:t>8.5</w:t>
            </w:r>
          </w:p>
        </w:tc>
      </w:tr>
      <w:tr w:rsidR="00510361" w14:paraId="57D654D2" w14:textId="77777777" w:rsidTr="00DF6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E0D09B" w14:textId="5EE60344" w:rsidR="00510361" w:rsidRDefault="00510361" w:rsidP="00DA5AB6">
            <w:r>
              <w:t>Terzo quartile</w:t>
            </w:r>
          </w:p>
        </w:tc>
        <w:tc>
          <w:tcPr>
            <w:tcW w:w="3209" w:type="dxa"/>
          </w:tcPr>
          <w:p w14:paraId="11AFB875" w14:textId="14D8C699" w:rsidR="00510361" w:rsidRDefault="00827120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3210" w:type="dxa"/>
          </w:tcPr>
          <w:p w14:paraId="1D441495" w14:textId="75B2177F" w:rsidR="00510361" w:rsidRDefault="00827120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</w:tr>
      <w:tr w:rsidR="00510361" w14:paraId="642D9BDD" w14:textId="77777777" w:rsidTr="00DF6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DADFB5" w14:textId="3BD800AE" w:rsidR="00770991" w:rsidRDefault="00770991" w:rsidP="00DA5AB6">
            <w:r>
              <w:t>Varianza</w:t>
            </w:r>
          </w:p>
        </w:tc>
        <w:tc>
          <w:tcPr>
            <w:tcW w:w="3209" w:type="dxa"/>
          </w:tcPr>
          <w:p w14:paraId="15C4CCDE" w14:textId="4B298279" w:rsidR="00510361" w:rsidRDefault="00827120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214.73</w:t>
            </w:r>
          </w:p>
        </w:tc>
        <w:tc>
          <w:tcPr>
            <w:tcW w:w="3210" w:type="dxa"/>
          </w:tcPr>
          <w:p w14:paraId="39F41746" w14:textId="0F37A739" w:rsidR="00510361" w:rsidRDefault="00AE0867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178.14</w:t>
            </w:r>
          </w:p>
        </w:tc>
      </w:tr>
      <w:tr w:rsidR="00510361" w14:paraId="2FE6FFEE" w14:textId="77777777" w:rsidTr="00DF6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1A110B3" w14:textId="0EFECF73" w:rsidR="00510361" w:rsidRDefault="00770991" w:rsidP="00DA5AB6">
            <w:r>
              <w:t>Deviazione standard</w:t>
            </w:r>
          </w:p>
        </w:tc>
        <w:tc>
          <w:tcPr>
            <w:tcW w:w="3209" w:type="dxa"/>
          </w:tcPr>
          <w:p w14:paraId="4B0A85DB" w14:textId="73E983AB" w:rsidR="00510361" w:rsidRDefault="00827120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14.65</w:t>
            </w:r>
          </w:p>
        </w:tc>
        <w:tc>
          <w:tcPr>
            <w:tcW w:w="3210" w:type="dxa"/>
          </w:tcPr>
          <w:p w14:paraId="6DBE12E0" w14:textId="5D3BCCA0" w:rsidR="00510361" w:rsidRDefault="00AE0867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13.35</w:t>
            </w:r>
          </w:p>
        </w:tc>
      </w:tr>
    </w:tbl>
    <w:p w14:paraId="2DB92EE5" w14:textId="0147AD67" w:rsidR="00510361" w:rsidRDefault="00DF6DCF" w:rsidP="00DA5AB6">
      <w:r>
        <w:t xml:space="preserve"> </w:t>
      </w:r>
    </w:p>
    <w:p w14:paraId="203CB453" w14:textId="230AB092" w:rsidR="00DF6DCF" w:rsidRDefault="00DF6DCF" w:rsidP="00DA5AB6">
      <w:r>
        <w:t>Notiamo che sia la media che gli indici di dispersione non sono molto diversi fra loro.</w:t>
      </w:r>
    </w:p>
    <w:p w14:paraId="17E50E27" w14:textId="78211363" w:rsidR="00DF6DCF" w:rsidRDefault="00DF6DCF" w:rsidP="00441CE7">
      <w:r>
        <w:t>Possiamo analizzare i dati anche attraverso i relativi grafici di dispersione e boxplot.</w:t>
      </w:r>
    </w:p>
    <w:p w14:paraId="4EAC1DE5" w14:textId="29CA4AA9" w:rsidR="007F33A3" w:rsidRDefault="007F33A3" w:rsidP="00441CE7"/>
    <w:p w14:paraId="75A5827F" w14:textId="509EEB7E" w:rsidR="007F33A3" w:rsidRDefault="007F33A3" w:rsidP="00441CE7">
      <w:r>
        <w:rPr>
          <w:noProof/>
        </w:rPr>
        <w:drawing>
          <wp:anchor distT="0" distB="0" distL="114300" distR="114300" simplePos="0" relativeHeight="251659264" behindDoc="1" locked="0" layoutInCell="1" allowOverlap="1" wp14:anchorId="5535C903" wp14:editId="7BBD202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522855" cy="1791335"/>
            <wp:effectExtent l="0" t="0" r="0" b="0"/>
            <wp:wrapNone/>
            <wp:docPr id="897563224" name="Picture 1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63224" name="Picture 11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4770852" wp14:editId="38BCDCB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521585" cy="1790700"/>
            <wp:effectExtent l="0" t="0" r="0" b="0"/>
            <wp:wrapNone/>
            <wp:docPr id="810671802" name="Picture 12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71802" name="Picture 12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3A3">
        <w:t xml:space="preserve"> </w:t>
      </w:r>
    </w:p>
    <w:p w14:paraId="61763160" w14:textId="77777777" w:rsidR="007F33A3" w:rsidRDefault="007F33A3" w:rsidP="00441CE7"/>
    <w:p w14:paraId="5B35865E" w14:textId="77777777" w:rsidR="007F33A3" w:rsidRDefault="007F33A3" w:rsidP="00441CE7"/>
    <w:p w14:paraId="1149A37A" w14:textId="77777777" w:rsidR="007F33A3" w:rsidRDefault="007F33A3" w:rsidP="00441CE7"/>
    <w:p w14:paraId="1EA52D74" w14:textId="77777777" w:rsidR="007F33A3" w:rsidRDefault="007F33A3" w:rsidP="00441CE7"/>
    <w:p w14:paraId="01DCEC48" w14:textId="77777777" w:rsidR="007F33A3" w:rsidRDefault="007F33A3" w:rsidP="00441CE7"/>
    <w:p w14:paraId="121B227B" w14:textId="77777777" w:rsidR="007F33A3" w:rsidRDefault="007F33A3" w:rsidP="00441CE7"/>
    <w:p w14:paraId="6BF0E2F8" w14:textId="7DF1F043" w:rsidR="00163039" w:rsidRDefault="007F33A3" w:rsidP="00441CE7">
      <w:r>
        <w:t xml:space="preserve">Graficamente possiamo notare una possibile </w:t>
      </w:r>
      <w:r w:rsidR="00163039">
        <w:t>correlazione</w:t>
      </w:r>
      <w:r w:rsidR="0044175E">
        <w:t xml:space="preserve"> lineare</w:t>
      </w:r>
      <w:r w:rsidR="00163039">
        <w:t xml:space="preserve"> fra i due </w:t>
      </w:r>
      <w:r w:rsidR="0044175E">
        <w:t>campioni</w:t>
      </w:r>
      <w:r w:rsidR="00FC6F07">
        <w:t xml:space="preserve"> e dai boxplot una distribuzione similare.</w:t>
      </w:r>
    </w:p>
    <w:p w14:paraId="7BAE69AA" w14:textId="47BFDD83" w:rsidR="007F33A3" w:rsidRDefault="007F33A3" w:rsidP="00F05E8B">
      <w:pPr>
        <w:jc w:val="center"/>
      </w:pPr>
      <w:r>
        <w:rPr>
          <w:noProof/>
        </w:rPr>
        <w:lastRenderedPageBreak/>
        <w:drawing>
          <wp:inline distT="0" distB="0" distL="0" distR="0" wp14:anchorId="2489E051" wp14:editId="25F25265">
            <wp:extent cx="2680335" cy="1903322"/>
            <wp:effectExtent l="0" t="0" r="5715" b="1905"/>
            <wp:docPr id="1671412186" name="Picture 13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2186" name="Picture 13" descr="A picture containing text, screenshot, diagram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18" cy="191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9A37" w14:textId="6218F2CF" w:rsidR="000050CB" w:rsidRPr="00163039" w:rsidRDefault="00F05E8B" w:rsidP="00163039">
      <w:r>
        <w:t>Come ulteriore verifica</w:t>
      </w:r>
      <w:r w:rsidR="0044175E">
        <w:t xml:space="preserve"> </w:t>
      </w:r>
      <w:r>
        <w:t xml:space="preserve">è stato calcolato </w:t>
      </w:r>
      <w:r w:rsidR="0044175E">
        <w:t xml:space="preserve">il coefficiente di correlazione lineare </w:t>
      </w:r>
      <w:r>
        <w:t>ottenendo</w:t>
      </w:r>
      <w:r w:rsidR="0044175E">
        <w:t xml:space="preserve"> un valore di 0.9</w:t>
      </w:r>
      <w:r w:rsidR="000050CB">
        <w:t>0</w:t>
      </w:r>
      <w:r w:rsidR="0044175E">
        <w:t>, essendo</w:t>
      </w:r>
      <w:r w:rsidR="000050CB">
        <w:t xml:space="preserve"> superiore a 0.7</w:t>
      </w:r>
      <w:r w:rsidR="0044175E">
        <w:t xml:space="preserve"> è un’indicazione della correlazione dei due campioni.</w:t>
      </w:r>
    </w:p>
    <w:p w14:paraId="6F75368D" w14:textId="22F51A73" w:rsidR="00163039" w:rsidRPr="007271D6" w:rsidRDefault="00163039" w:rsidP="00163039">
      <w:pPr>
        <w:pStyle w:val="Heading2"/>
        <w:rPr>
          <w:sz w:val="32"/>
          <w:szCs w:val="32"/>
        </w:rPr>
      </w:pPr>
      <w:r w:rsidRPr="007271D6">
        <w:rPr>
          <w:sz w:val="32"/>
          <w:szCs w:val="32"/>
        </w:rPr>
        <w:t>Ipotesi e Verifica</w:t>
      </w:r>
    </w:p>
    <w:p w14:paraId="452EBF4C" w14:textId="3E26B409" w:rsidR="008671F5" w:rsidRPr="008671F5" w:rsidRDefault="00163039" w:rsidP="00163039">
      <w:r>
        <w:t>Formuliamo quindi l’ipotesi secondo cui le vendite dei servizi di riparazione e le componenti vendute tramite servizio di assistenza siano positivamente correlate.</w:t>
      </w:r>
    </w:p>
    <w:p w14:paraId="3BEF7F8E" w14:textId="6DD58D4A" w:rsidR="005B2C15" w:rsidRDefault="0012646B" w:rsidP="005B2C15">
      <w:r w:rsidRPr="0012646B">
        <w:t xml:space="preserve">Utilizzeremo il test di indipendenza </w:t>
      </w:r>
      <w:r>
        <w:t xml:space="preserve">chi-quadro per verificare </w:t>
      </w:r>
      <w:r w:rsidR="008671F5">
        <w:t>se le due variabili sono dipendenti.</w:t>
      </w:r>
    </w:p>
    <w:p w14:paraId="349A4FC9" w14:textId="746E03BD" w:rsidR="008671F5" w:rsidRDefault="008671F5" w:rsidP="005B2C15">
      <w:r>
        <w:t>Consideriamo la vendita componenti come X e il servizio di riparazione e manutenzione come Y.</w:t>
      </w:r>
    </w:p>
    <w:p w14:paraId="6DFD36DC" w14:textId="75E9E19B" w:rsidR="005B2C15" w:rsidRDefault="005B2C15" w:rsidP="005B2C15">
      <w:r>
        <w:t xml:space="preserve">Ipotesi nulla </w:t>
      </w:r>
      <w:r w:rsidR="00804E3E">
        <w:t>H0</w:t>
      </w:r>
      <w:r w:rsidR="008671F5">
        <w:t>:</w:t>
      </w:r>
      <w:r>
        <w:t xml:space="preserve"> X e Y siano indipendenti</w:t>
      </w:r>
    </w:p>
    <w:p w14:paraId="02FDA35C" w14:textId="11958744" w:rsidR="005B2C15" w:rsidRDefault="00AE0867" w:rsidP="005B2C15">
      <w:r>
        <w:t xml:space="preserve">Ipotesi alternativa </w:t>
      </w:r>
      <w:r w:rsidR="005B2C15">
        <w:t>H1</w:t>
      </w:r>
      <w:r w:rsidR="008671F5">
        <w:t>:</w:t>
      </w:r>
      <w:r w:rsidR="005B2C15">
        <w:t xml:space="preserve"> </w:t>
      </w:r>
      <w:r w:rsidR="008671F5">
        <w:t xml:space="preserve">X e Y </w:t>
      </w:r>
      <w:r w:rsidR="005B2C15">
        <w:t>sono dipendenti</w:t>
      </w:r>
    </w:p>
    <w:p w14:paraId="70CCF15A" w14:textId="7901A99F" w:rsidR="003C1007" w:rsidRDefault="008671F5" w:rsidP="005B2C15">
      <w:r>
        <w:t>I dati s</w:t>
      </w:r>
      <w:r w:rsidR="003C1007">
        <w:t>ono stati divisi</w:t>
      </w:r>
      <w:r w:rsidR="00AE0867">
        <w:t xml:space="preserve"> in 8 classi </w:t>
      </w:r>
      <w:r w:rsidR="000E7773">
        <w:t>con i seguenti range</w:t>
      </w:r>
    </w:p>
    <w:p w14:paraId="08074A5F" w14:textId="77777777" w:rsidR="003C1007" w:rsidRDefault="003C1007" w:rsidP="005B2C15">
      <w:r>
        <w:t>10 – 20 – 30 – 40 – 50 – 60 -70 -80</w:t>
      </w:r>
    </w:p>
    <w:p w14:paraId="23319157" w14:textId="19F07DD2" w:rsidR="00AE0867" w:rsidRDefault="003C1007" w:rsidP="005B2C15">
      <w:r>
        <w:t>S</w:t>
      </w:r>
      <w:r w:rsidR="00AE0867">
        <w:t xml:space="preserve">ono stati dispositi in una </w:t>
      </w:r>
      <w:r w:rsidR="008671F5">
        <w:t xml:space="preserve">matrice di contingenza </w:t>
      </w:r>
      <w:r w:rsidR="00AE0867">
        <w:t>ed è stato effettuato un test chi quadro, i risultati ottenuti sono i seguenti</w:t>
      </w:r>
    </w:p>
    <w:p w14:paraId="11FD3143" w14:textId="6A72647C" w:rsidR="00AE0867" w:rsidRDefault="00AE0867" w:rsidP="00FC6F07">
      <w:pPr>
        <w:jc w:val="center"/>
      </w:pPr>
      <w:r>
        <w:rPr>
          <w:noProof/>
        </w:rPr>
        <w:drawing>
          <wp:inline distT="0" distB="0" distL="0" distR="0" wp14:anchorId="68495DEA" wp14:editId="61A4C9CD">
            <wp:extent cx="3933825" cy="752475"/>
            <wp:effectExtent l="0" t="0" r="9525" b="9525"/>
            <wp:docPr id="1285645228" name="Picture 7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45228" name="Picture 7" descr="A black background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D5C5" w14:textId="3A130BF9" w:rsidR="001871DD" w:rsidRDefault="00FC6F07" w:rsidP="005B2C15">
      <w:r>
        <w:t>Il p/value indica la soglia oltre la quale rifiutiamo l’ipotesi nulla, quindi a</w:t>
      </w:r>
      <w:r w:rsidR="000E3CF2">
        <w:t>vendo un p-value</w:t>
      </w:r>
      <w:r w:rsidR="00025C47">
        <w:t xml:space="preserve"> inferiore a 0.05</w:t>
      </w:r>
      <w:r w:rsidR="000E3CF2">
        <w:t xml:space="preserve"> possiamo </w:t>
      </w:r>
      <w:r w:rsidR="003C1007">
        <w:t xml:space="preserve">rifiutare l’ipotesi </w:t>
      </w:r>
      <w:r w:rsidR="000E7773">
        <w:t xml:space="preserve">H0 per cui X e Y siano indipendenti </w:t>
      </w:r>
      <w:r w:rsidR="00025C47">
        <w:t xml:space="preserve">e </w:t>
      </w:r>
      <w:r w:rsidR="000E3CF2">
        <w:t>affermare che c’è evidenza statistica che i due campioni sian</w:t>
      </w:r>
      <w:r w:rsidR="000E7773">
        <w:t>o dipendenti</w:t>
      </w:r>
      <w:r>
        <w:t xml:space="preserve"> con una confidenza del 95 %. Il p-value è estremamente basso quindi potremmo rifiutare l’ipotesi nulla anche con una confidenza maggiore.</w:t>
      </w:r>
    </w:p>
    <w:p w14:paraId="240CD471" w14:textId="337228FA" w:rsidR="000E7773" w:rsidRPr="000E7773" w:rsidRDefault="000E7773" w:rsidP="000E7773">
      <w:pPr>
        <w:pStyle w:val="Heading2"/>
        <w:rPr>
          <w:sz w:val="32"/>
          <w:szCs w:val="32"/>
        </w:rPr>
      </w:pPr>
      <w:r w:rsidRPr="000E7773">
        <w:rPr>
          <w:sz w:val="32"/>
          <w:szCs w:val="32"/>
        </w:rPr>
        <w:t>Conclusioni</w:t>
      </w:r>
    </w:p>
    <w:p w14:paraId="7F28679D" w14:textId="1F4BF93D" w:rsidR="00653A86" w:rsidRPr="001871DD" w:rsidRDefault="000E7773" w:rsidP="005B2C15">
      <w:r>
        <w:t>Dau d</w:t>
      </w:r>
      <w:r w:rsidR="00653A86">
        <w:t>ati raccolti e dalle analisi effettuate è possibile sostenere che ci sia una forte evidenza statistica che il servizio di assistenza influisca positivamente sulla vendita delle componenti</w:t>
      </w:r>
      <w:r>
        <w:t>, non è possibile affermare che uno sia causa dell’altro</w:t>
      </w:r>
    </w:p>
    <w:sectPr w:rsidR="00653A86" w:rsidRPr="001871DD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B8924" w14:textId="77777777" w:rsidR="00AC7BEB" w:rsidRDefault="00AC7BEB" w:rsidP="000050CB">
      <w:pPr>
        <w:spacing w:after="0" w:line="240" w:lineRule="auto"/>
      </w:pPr>
      <w:r>
        <w:separator/>
      </w:r>
    </w:p>
  </w:endnote>
  <w:endnote w:type="continuationSeparator" w:id="0">
    <w:p w14:paraId="686A7921" w14:textId="77777777" w:rsidR="00AC7BEB" w:rsidRDefault="00AC7BEB" w:rsidP="0000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E61B4" w14:textId="77777777" w:rsidR="00AC7BEB" w:rsidRDefault="00AC7BEB" w:rsidP="000050CB">
      <w:pPr>
        <w:spacing w:after="0" w:line="240" w:lineRule="auto"/>
      </w:pPr>
      <w:r>
        <w:separator/>
      </w:r>
    </w:p>
  </w:footnote>
  <w:footnote w:type="continuationSeparator" w:id="0">
    <w:p w14:paraId="5AA95F20" w14:textId="77777777" w:rsidR="00AC7BEB" w:rsidRDefault="00AC7BEB" w:rsidP="00005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CBFE" w14:textId="51D6D7FC" w:rsidR="000050CB" w:rsidRPr="000050CB" w:rsidRDefault="000050CB">
    <w:pPr>
      <w:pStyle w:val="Header"/>
      <w:rPr>
        <w:rFonts w:ascii="Arial" w:hAnsi="Arial" w:cs="Arial"/>
      </w:rPr>
    </w:pPr>
    <w:r w:rsidRPr="000050CB">
      <w:rPr>
        <w:rFonts w:ascii="Arial" w:hAnsi="Arial" w:cs="Arial"/>
      </w:rPr>
      <w:t>Elia Ronchetti - 845420 – Progetto Probabilità e Statistica 2022/2023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E7"/>
    <w:rsid w:val="000050CB"/>
    <w:rsid w:val="00025C47"/>
    <w:rsid w:val="000E3CF2"/>
    <w:rsid w:val="000E7773"/>
    <w:rsid w:val="0012646B"/>
    <w:rsid w:val="00133C6F"/>
    <w:rsid w:val="00163039"/>
    <w:rsid w:val="001871DD"/>
    <w:rsid w:val="002416B4"/>
    <w:rsid w:val="002608B2"/>
    <w:rsid w:val="00281ABD"/>
    <w:rsid w:val="003C1007"/>
    <w:rsid w:val="0044175E"/>
    <w:rsid w:val="00441CE7"/>
    <w:rsid w:val="00472996"/>
    <w:rsid w:val="004B2703"/>
    <w:rsid w:val="00510361"/>
    <w:rsid w:val="00563C9D"/>
    <w:rsid w:val="005777B6"/>
    <w:rsid w:val="005B2C15"/>
    <w:rsid w:val="00653A86"/>
    <w:rsid w:val="00716DCD"/>
    <w:rsid w:val="00720E5F"/>
    <w:rsid w:val="007271D6"/>
    <w:rsid w:val="00770991"/>
    <w:rsid w:val="007970B4"/>
    <w:rsid w:val="007F33A3"/>
    <w:rsid w:val="00804E3E"/>
    <w:rsid w:val="00827120"/>
    <w:rsid w:val="008671F5"/>
    <w:rsid w:val="00947885"/>
    <w:rsid w:val="00AC7BEB"/>
    <w:rsid w:val="00AE0867"/>
    <w:rsid w:val="00BC7D8E"/>
    <w:rsid w:val="00C45059"/>
    <w:rsid w:val="00DA5AB6"/>
    <w:rsid w:val="00DF6DCF"/>
    <w:rsid w:val="00F05E8B"/>
    <w:rsid w:val="00FC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87295"/>
  <w15:chartTrackingRefBased/>
  <w15:docId w15:val="{5E1D1196-A1ED-4CEE-87AA-4C66CDB4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D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10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7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50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0CB"/>
  </w:style>
  <w:style w:type="paragraph" w:styleId="Footer">
    <w:name w:val="footer"/>
    <w:basedOn w:val="Normal"/>
    <w:link w:val="FooterChar"/>
    <w:uiPriority w:val="99"/>
    <w:unhideWhenUsed/>
    <w:rsid w:val="000050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0CB"/>
  </w:style>
  <w:style w:type="table" w:styleId="PlainTable3">
    <w:name w:val="Plain Table 3"/>
    <w:basedOn w:val="TableNormal"/>
    <w:uiPriority w:val="43"/>
    <w:rsid w:val="00DF6D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F6DC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F6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33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FlexIT Distribution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Ronchetti</dc:creator>
  <cp:keywords/>
  <dc:description/>
  <cp:lastModifiedBy>Elia Ronchetti</cp:lastModifiedBy>
  <cp:revision>2</cp:revision>
  <dcterms:created xsi:type="dcterms:W3CDTF">2023-06-21T09:58:00Z</dcterms:created>
  <dcterms:modified xsi:type="dcterms:W3CDTF">2023-06-21T09:58:00Z</dcterms:modified>
</cp:coreProperties>
</file>