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课程注册系统开发计划</w:t>
      </w:r>
    </w:p>
    <w:p>
      <w:r>
        <w:rPr>
          <w:sz w:val="18"/>
        </w:rPr>
        <w:t>2026 软件工程课程设计    陈辰 小组    版本 1.0    2026-10-13</w:t>
      </w:r>
      <w:pPr>
        <w:snapToGrid w:val="0"/>
      </w:pPr>
    </w:p>
    <w:p>
      <w:r>
        <w:t>本计划覆盖高校课程注册系统的实现、测试和课程材料交付。采用 Vue 3、Flask、PostgreSQL 和 Docker Compose，优先完成题目中的八类核心用例。项目由五位成员协作，陈辰 为组长。</w:t>
      </w:r>
      <w:pPr>
        <w:snapToGrid w:val="0"/>
      </w:pPr>
    </w:p>
    <w:p>
      <w:pPr>
        <w:pStyle w:val="Heading1"/>
        <w:snapToGrid w:val="0"/>
      </w:pPr>
      <w:r>
        <w:t>1 项目范围与交付物</w:t>
      </w:r>
    </w:p>
    <w:p>
      <w:r>
        <w:t>必交内容包括可运行程序、开发计划、需求分析、设计文档、测试计划、测试报告、五份个人工作总结和组长汇总报告。本项目同时提供配置管理计划、初始化数据、数据库结构 SQL、源代码和运行说明。</w:t>
      </w:r>
      <w:pPr>
        <w:snapToGrid w:val="0"/>
      </w:pPr>
    </w:p>
    <w:p>
      <w:r>
        <w:t>旧课程目录及计费系统通过独立 HTTP 模拟服务对接。真实 Ingres、DEC VAX 和生产财务系统不在本次实现环境内。课程 PPT 允许 Web 技术，故采用浏览器界面替代题目中的 Windows 95/98 桌面界面。</w:t>
      </w:r>
      <w:pPr>
        <w:snapToGrid w:val="0"/>
      </w:pPr>
    </w:p>
    <w:p>
      <w:pPr>
        <w:pStyle w:val="Heading1"/>
        <w:snapToGrid w:val="0"/>
      </w:pPr>
      <w:r>
        <w:t>2 人员安排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701"/>
        <w:gridCol w:w="4706"/>
        <w:gridCol w:w="1531"/>
      </w:tblGrid>
      <w:tr>
        <w:trPr>
          <w:cantSplit/>
          <w:tblHeader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成员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职责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对应工作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贡献比例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陈辰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组长与集成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范围管理、架构、合并验收、全组总结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20%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董宇曦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需求与学生端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用例、目录、选课、课表、成绩查询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20%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刘根森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后端与数据库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数据模型、事务、锁、容量和先修校验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20%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李怡宁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教师与教务端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授课、名单、成绩录入、人员维护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20%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赵毓豪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测试与交付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异常与并发测试、部署、证据、操作说明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20%</w:t>
            </w:r>
          </w:p>
        </w:tc>
      </w:tr>
    </w:tbl>
    <w:p>
      <w:pPr>
        <w:spacing w:after="0" w:before="0" w:line="120" w:lineRule="exact"/>
        <w:snapToGrid w:val="0"/>
      </w:pPr>
      <w:r>
        <w:rPr>
          <w:sz w:val="2"/>
        </w:rPr>
        <w:t xml:space="preserve"> </w:t>
      </w:r>
    </w:p>
    <w:p>
      <w:r>
        <w:t>五位成员按上述分工开展工作，每人贡献比例为 20%，合计 100%。</w:t>
      </w:r>
      <w:pPr>
        <w:snapToGrid w:val="0"/>
      </w:pPr>
    </w:p>
    <w:p>
      <w:pPr>
        <w:pStyle w:val="Heading1"/>
        <w:snapToGrid w:val="0"/>
      </w:pPr>
      <w:r>
        <w:t>3 协作方式</w:t>
      </w:r>
    </w:p>
    <w:p>
      <w:r>
        <w:t>以功能模块交付为单位，需求编号贯穿设计和测试。成员提交修改前运行相关测试；陈辰 负责审查接口、组织集成和维护版本清单。每日记录完成内容、问题及下一步计划，发现范围变化时先修订需求与测试用例。</w:t>
      </w:r>
      <w:pPr>
        <w:snapToGrid w:val="0"/>
      </w:pPr>
    </w:p>
    <w:p>
      <w:pPr>
        <w:pStyle w:val="Heading1"/>
        <w:pageBreakBefore/>
        <w:snapToGrid w:val="0"/>
      </w:pPr>
      <w:r>
        <w:t>4 进度与迭代计划</w:t>
      </w:r>
    </w:p>
    <w:p>
      <w:r>
        <w:t>题目给出的课程周期为 2026 年 9 月 8 日至 10 月 16 日。本计划以 10 月 13 日当前版本为起点安排剩余工作，不追溯编造此前开发记录。</w:t>
      </w:r>
      <w:pPr>
        <w:snapToGrid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701"/>
        <w:gridCol w:w="4706"/>
        <w:gridCol w:w="1531"/>
      </w:tblGrid>
      <w:tr>
        <w:trPr>
          <w:cantSplit/>
          <w:tblHeader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迭代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计划时间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目标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验收条件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I1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10 月 13 日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核心功能、数据与容器启动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三类角色可登录，核心事务测试通过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I2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10 月 14 日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组员走查与问题修复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逐条核对用例及异常流，修订文档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I3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10 月 15 日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答辩演练与交付冻结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从干净环境启动，完整演示，无阻断缺陷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验收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10 月 16 日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课程运行检查与提交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封面资料与签名齐全，文档源码版本一致</w:t>
            </w:r>
          </w:p>
        </w:tc>
      </w:tr>
    </w:tbl>
    <w:p>
      <w:pPr>
        <w:spacing w:after="0" w:before="0" w:line="120" w:lineRule="exact"/>
        <w:snapToGrid w:val="0"/>
      </w:pPr>
      <w:r>
        <w:rPr>
          <w:sz w:val="2"/>
        </w:rPr>
        <w:t xml:space="preserve"> </w:t>
      </w:r>
    </w:p>
    <w:p>
      <w:pPr>
        <w:pStyle w:val="Heading1"/>
        <w:snapToGrid w:val="0"/>
      </w:pPr>
      <w:r>
        <w:t>5 风险及应对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798"/>
        <w:gridCol w:w="3855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风险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影响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应对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并发选课超额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业务规则失效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对教学班加行锁，真实 PostgreSQL 并发测试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外部服务不可用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目录或计费中断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目录缓存和超时；计费持久化重试与幂等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环境不一致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无法现场演示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Compose、固定依赖、预构建前端、初始化数据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需求歧义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实现与题目不一致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在需求分析中记录解释与验收边界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人员信息缺失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不符合提交形式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组长补充组号、学号及本人签名</w:t>
            </w:r>
          </w:p>
        </w:tc>
      </w:tr>
    </w:tbl>
    <w:p>
      <w:pPr>
        <w:spacing w:after="0" w:before="0" w:line="120" w:lineRule="exact"/>
        <w:snapToGrid w:val="0"/>
      </w:pPr>
      <w:r>
        <w:rPr>
          <w:sz w:val="2"/>
        </w:rPr>
        <w:t xml:space="preserve"> </w:t>
      </w:r>
    </w:p>
    <w:p>
      <w:pPr>
        <w:pStyle w:val="Heading1"/>
        <w:snapToGrid w:val="0"/>
      </w:pPr>
      <w:r>
        <w:t>6 完成标准</w:t>
      </w:r>
    </w:p>
    <w:p>
      <w:pPr>
        <w:pStyle w:val="ListBullet"/>
        <w:snapToGrid w:val="0"/>
      </w:pPr>
      <w:r>
        <w:t>八类核心用例及关键异常流有对应实现和测试。</w:t>
      </w:r>
    </w:p>
    <w:p>
      <w:pPr>
        <w:pStyle w:val="ListBullet"/>
        <w:snapToGrid w:val="0"/>
      </w:pPr>
      <w:r>
        <w:t>系统可通过 Docker Compose 启动，重建容器后数据仍在。</w:t>
      </w:r>
    </w:p>
    <w:p>
      <w:pPr>
        <w:pStyle w:val="ListBullet"/>
        <w:snapToGrid w:val="0"/>
      </w:pPr>
      <w:r>
        <w:t>源码、数据库模型、测试证据和文档相互一致。</w:t>
      </w:r>
    </w:p>
    <w:p>
      <w:pPr>
        <w:pStyle w:val="ListBullet"/>
        <w:snapToGrid w:val="0"/>
      </w:pPr>
      <w:r>
        <w:t>实际性能结果与尚未验证的性能目标分别列明。</w:t>
      </w:r>
    </w:p>
    <w:p>
      <w:pPr>
        <w:pStyle w:val="ListBullet"/>
        <w:snapToGrid w:val="0"/>
      </w:pPr>
      <w:r>
        <w:t>所有成员核对个人总结，组长汇总并完成提交封面。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ngti SC" w:hAnsi="Songti SC" w:eastAsia="Songti SC"/>
        <w:b w:val="0"/>
        <w:color w:val="00000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20" w:before="0"/>
    </w:pPr>
    <w:rPr>
      <w:rFonts w:ascii="Songti SC" w:hAnsi="Songti SC" w:eastAsia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80" w:lineRule="exact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540" w:lineRule="exact"/>
      <w:contextualSpacing/>
    </w:pPr>
    <w:rPr>
      <w:rFonts w:asciiTheme="majorHAnsi" w:eastAsiaTheme="majorEastAsia" w:hAnsiTheme="majorHAnsi" w:cstheme="majorBidi" w:ascii="Songti SC" w:hAnsi="Songti SC" w:eastAsia="Songti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SC" w:hAnsi="Songti SC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课程注册系统开发计划</dc:title>
  <dc:subject/>
  <dc:creator>陈辰 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