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right"/>
      </w:pPr>
      <w:r>
        <w:rPr>
          <w:rFonts w:ascii="Calibri" w:cs="Calibri" w:eastAsia="Calibri" w:hAnsi="Calibri"/>
          <w:color w:val="595959"/>
          <w:sz w:val="18"/>
          <w:szCs w:val="18"/>
        </w:rPr>
        <w:t xml:space="preserve">COTIZACIÓN N°: </w:t>
      </w:r>
      <w:r>
        <w:rPr>
          <w:rFonts w:ascii="Calibri" w:cs="Calibri" w:eastAsia="Calibri" w:hAnsi="Calibri"/>
          <w:b/>
          <w:bCs/>
          <w:color w:val="1F3864"/>
          <w:sz w:val="18"/>
          <w:szCs w:val="18"/>
        </w:rPr>
        <w:t xml:space="preserve">COT-2026-001</w:t>
      </w:r>
    </w:p>
    <w:p>
      <w:pPr>
        <w:spacing w:after="60"/>
        <w:jc w:val="right"/>
      </w:pPr>
      <w:r>
        <w:rPr>
          <w:rFonts w:ascii="Calibri" w:cs="Calibri" w:eastAsia="Calibri" w:hAnsi="Calibri"/>
          <w:color w:val="595959"/>
          <w:sz w:val="18"/>
          <w:szCs w:val="18"/>
        </w:rPr>
        <w:t xml:space="preserve">Fecha: </w:t>
      </w:r>
      <w:r>
        <w:rPr>
          <w:rFonts w:ascii="Calibri" w:cs="Calibri" w:eastAsia="Calibri" w:hAnsi="Calibri"/>
          <w:color w:val="000000"/>
          <w:sz w:val="18"/>
          <w:szCs w:val="18"/>
        </w:rPr>
        <w:t xml:space="preserve">14 de abril de 2026</w:t>
      </w:r>
    </w:p>
    <w:p>
      <w:pPr>
        <w:spacing w:after="240"/>
        <w:jc w:val="right"/>
      </w:pPr>
      <w:r>
        <w:rPr>
          <w:rFonts w:ascii="Calibri" w:cs="Calibri" w:eastAsia="Calibri" w:hAnsi="Calibri"/>
          <w:color w:val="595959"/>
          <w:sz w:val="18"/>
          <w:szCs w:val="18"/>
        </w:rPr>
        <w:t xml:space="preserve">Validez: </w:t>
      </w:r>
      <w:r>
        <w:rPr>
          <w:rFonts w:ascii="Calibri" w:cs="Calibri" w:eastAsia="Calibri" w:hAnsi="Calibri"/>
          <w:color w:val="000000"/>
          <w:sz w:val="18"/>
          <w:szCs w:val="18"/>
        </w:rPr>
        <w:t xml:space="preserve">30 días calendario</w:t>
      </w:r>
    </w:p>
    <w:p>
      <w:pPr>
        <w:spacing w:after="80" w:before="120"/>
        <w:jc w:val="center"/>
      </w:pPr>
      <w:r>
        <w:rPr>
          <w:rFonts w:ascii="Calibri" w:cs="Calibri" w:eastAsia="Calibri" w:hAnsi="Calibri"/>
          <w:b/>
          <w:bCs/>
          <w:color w:val="1F3864"/>
          <w:sz w:val="44"/>
          <w:szCs w:val="44"/>
        </w:rPr>
        <w:t xml:space="preserve">COTIZACIÓN EMPRESARIAL</w:t>
      </w:r>
    </w:p>
    <w:p>
      <w:pPr>
        <w:spacing w:after="80"/>
        <w:jc w:val="center"/>
      </w:pPr>
      <w:r>
        <w:rPr>
          <w:rFonts w:ascii="Calibri" w:cs="Calibri" w:eastAsia="Calibri" w:hAnsi="Calibri"/>
          <w:b/>
          <w:bCs/>
          <w:color w:val="2E75B6"/>
          <w:sz w:val="28"/>
          <w:szCs w:val="28"/>
        </w:rPr>
        <w:t xml:space="preserve">Conferencia Corporativa: IA Aplicada al Desarrollo de Software</w:t>
      </w:r>
    </w:p>
    <w:p>
      <w:pPr>
        <w:spacing w:after="320"/>
        <w:jc w:val="center"/>
      </w:pPr>
      <w:r>
        <w:rPr>
          <w:rFonts w:ascii="Calibri" w:cs="Calibri" w:eastAsia="Calibri" w:hAnsi="Calibri"/>
          <w:i/>
          <w:iCs/>
          <w:color w:val="595959"/>
          <w:sz w:val="22"/>
          <w:szCs w:val="22"/>
        </w:rPr>
        <w:t xml:space="preserve">Programa intensivo de 3 días · Teoría + Práctica Guiada</w:t>
      </w:r>
    </w:p>
    <w:p>
      <w:pPr>
        <w:pStyle w:val="Heading1"/>
        <w:pBdr>
          <w:bottom w:val="single" w:color="2E75B6" w:sz="12" w:space="4"/>
        </w:pBdr>
        <w:spacing w:after="160" w:before="300"/>
      </w:pPr>
      <w:r>
        <w:rPr>
          <w:rFonts w:ascii="Calibri" w:cs="Calibri" w:eastAsia="Calibri" w:hAnsi="Calibri"/>
          <w:b/>
          <w:bCs/>
          <w:color w:val="1F3864"/>
          <w:sz w:val="32"/>
          <w:szCs w:val="32"/>
        </w:rPr>
        <w:t xml:space="preserve">1. Datos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Empresa:</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color w:val="000000"/>
                <w:sz w:val="20"/>
                <w:szCs w:val="20"/>
              </w:rPr>
              <w:t xml:space="preserve">[Nombre de la empresa contratante]</w:t>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NIT / Identificación:</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color w:val="000000"/>
                <w:sz w:val="20"/>
                <w:szCs w:val="20"/>
              </w:rPr>
              <w:t xml:space="preserve">[NIT de la empresa]</w:t>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Contacto:</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color w:val="000000"/>
                <w:sz w:val="20"/>
                <w:szCs w:val="20"/>
              </w:rPr>
              <w:t xml:space="preserve">[Nombre y cargo del responsable]</w:t>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Dirigido a:</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color w:val="000000"/>
                <w:sz w:val="20"/>
                <w:szCs w:val="20"/>
              </w:rPr>
              <w:t xml:space="preserve">Equipo de desarrolladores de software</w:t>
            </w:r>
          </w:p>
        </w:tc>
      </w:tr>
      <w:tr>
        <w:tc>
          <w:tcPr>
            <w:tcW w:type="dxa" w:w="288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Nº de participantes:</w:t>
            </w:r>
          </w:p>
        </w:tc>
        <w:tc>
          <w:tcPr>
            <w:tcW w:type="dxa" w:w="648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color w:val="000000"/>
                <w:sz w:val="20"/>
                <w:szCs w:val="20"/>
              </w:rPr>
              <w:t xml:space="preserve">Hasta 20 desarrolladores (ajustable)</w:t>
            </w:r>
          </w:p>
        </w:tc>
      </w:tr>
    </w:tbl>
    <w:p>
      <w:pPr>
        <w:pStyle w:val="Heading1"/>
        <w:pBdr>
          <w:bottom w:val="single" w:color="2E75B6" w:sz="12" w:space="4"/>
        </w:pBdr>
        <w:spacing w:after="160" w:before="300"/>
      </w:pPr>
      <w:r>
        <w:rPr>
          <w:rFonts w:ascii="Calibri" w:cs="Calibri" w:eastAsia="Calibri" w:hAnsi="Calibri"/>
          <w:b/>
          <w:bCs/>
          <w:color w:val="1F3864"/>
          <w:sz w:val="32"/>
          <w:szCs w:val="32"/>
        </w:rPr>
        <w:t xml:space="preserve">2. Objetivo General</w:t>
      </w:r>
    </w:p>
    <w:p>
      <w:pPr>
        <w:spacing w:after="60" w:before="60"/>
      </w:pPr>
      <w:r>
        <w:rPr>
          <w:rFonts w:ascii="Calibri" w:cs="Calibri" w:eastAsia="Calibri" w:hAnsi="Calibri"/>
          <w:color w:val="000000"/>
          <w:sz w:val="22"/>
          <w:szCs w:val="22"/>
        </w:rPr>
        <w:t xml:space="preserve">Capacitar al equipo de desarrolladores de software en la adopción estructurada y profesional de herramientas de Inteligencia Artificial Generativa para acelerar el ciclo de desarrollo (frontend, backend, testing y despliegue), reducir la deuda técnica y multiplicar la productividad sin comprometer la calidad ni la seguridad del código.</w:t>
      </w:r>
    </w:p>
    <w:p>
      <w:pPr>
        <w:spacing w:after="60" w:before="60"/>
      </w:pPr>
      <w:r>
        <w:rPr>
          <w:rFonts w:ascii="Calibri" w:cs="Calibri" w:eastAsia="Calibri" w:hAnsi="Calibri"/>
          <w:color w:val="000000"/>
          <w:sz w:val="22"/>
          <w:szCs w:val="22"/>
        </w:rPr>
        <w:t xml:space="preserve">Al finalizar la conferencia, los participantes serán capaces de integrar IDEs potenciados con IA, definir sistemas de reglas de proyecto, orquestar agentes especializados bajo metodología ágil y construir un backend funcional en menos de 40 minutos utilizando asistentes como GitHub Copilot, Cursor y Claude Code.</w:t>
      </w:r>
    </w:p>
    <w:p>
      <w:pPr>
        <w:pStyle w:val="Heading1"/>
        <w:pBdr>
          <w:bottom w:val="single" w:color="2E75B6" w:sz="12" w:space="4"/>
        </w:pBdr>
        <w:spacing w:after="160" w:before="300"/>
      </w:pPr>
      <w:r>
        <w:rPr>
          <w:rFonts w:ascii="Calibri" w:cs="Calibri" w:eastAsia="Calibri" w:hAnsi="Calibri"/>
          <w:b/>
          <w:bCs/>
          <w:color w:val="1F3864"/>
          <w:sz w:val="32"/>
          <w:szCs w:val="32"/>
        </w:rPr>
        <w:t xml:space="preserve">3. Estructura y Metodología</w:t>
      </w:r>
    </w:p>
    <w:p>
      <w:pPr>
        <w:spacing w:after="60" w:before="60"/>
      </w:pPr>
      <w:r>
        <w:rPr>
          <w:rFonts w:ascii="Calibri" w:cs="Calibri" w:eastAsia="Calibri" w:hAnsi="Calibri"/>
          <w:color w:val="000000"/>
          <w:sz w:val="22"/>
          <w:szCs w:val="22"/>
        </w:rPr>
        <w:t xml:space="preserve">La conferencia se desarrolla en formato workshop intensivo durante 3 días consecutivos, con una duración diaria aproximada de 3 horas distribuidas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Bloque</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Duración</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Modalidad</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Teoría y conceptos</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2 horas aprox.</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Expositiva + demos en vivo</w:t>
            </w:r>
          </w:p>
        </w:tc>
      </w:tr>
      <w:tr>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Taller práctico</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1 hora aprox.</w:t>
            </w:r>
          </w:p>
        </w:tc>
        <w:tc>
          <w:tcPr>
            <w:tcW w:type="dxa" w:w="312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Hands-on guiado</w:t>
            </w:r>
          </w:p>
        </w:tc>
      </w:tr>
      <w:tr>
        <w:tc>
          <w:tcPr>
            <w:tcW w:type="dxa" w:w="31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TOTAL POR DÍA</w:t>
            </w:r>
          </w:p>
        </w:tc>
        <w:tc>
          <w:tcPr>
            <w:tcW w:type="dxa" w:w="31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center"/>
            </w:pPr>
            <w:r>
              <w:rPr>
                <w:rFonts w:ascii="Calibri" w:cs="Calibri" w:eastAsia="Calibri" w:hAnsi="Calibri"/>
                <w:b/>
                <w:bCs/>
                <w:color w:val="000000"/>
                <w:sz w:val="20"/>
                <w:szCs w:val="20"/>
              </w:rPr>
              <w:t xml:space="preserve">3 horas</w:t>
            </w:r>
          </w:p>
        </w:tc>
        <w:tc>
          <w:tcPr>
            <w:tcW w:type="dxa" w:w="312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pPr>
              <w:jc w:val="center"/>
            </w:pPr>
            <w:r>
              <w:rPr>
                <w:rFonts w:ascii="Calibri" w:cs="Calibri" w:eastAsia="Calibri" w:hAnsi="Calibri"/>
                <w:color w:val="000000"/>
                <w:sz w:val="20"/>
                <w:szCs w:val="20"/>
              </w:rPr>
              <w:t xml:space="preserve">—</w:t>
            </w:r>
          </w:p>
        </w:tc>
      </w:tr>
      <w:tr>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TOTAL CONFERENCIA</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9 horas (3 días)</w:t>
            </w:r>
          </w:p>
        </w:tc>
        <w:tc>
          <w:tcPr>
            <w:tcW w:type="dxa" w:w="312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Presencial o virtual</w:t>
            </w:r>
          </w:p>
        </w:tc>
      </w:tr>
    </w:tbl>
    <w:p>
      <w:r>
        <w:br w:type="page"/>
      </w:r>
    </w:p>
    <w:p>
      <w:pPr>
        <w:pStyle w:val="Heading1"/>
        <w:pBdr>
          <w:bottom w:val="single" w:color="2E75B6" w:sz="12" w:space="4"/>
        </w:pBdr>
        <w:spacing w:after="160" w:before="300"/>
      </w:pPr>
      <w:r>
        <w:rPr>
          <w:rFonts w:ascii="Calibri" w:cs="Calibri" w:eastAsia="Calibri" w:hAnsi="Calibri"/>
          <w:b/>
          <w:bCs/>
          <w:color w:val="1F3864"/>
          <w:sz w:val="32"/>
          <w:szCs w:val="32"/>
        </w:rPr>
        <w:t xml:space="preserve">4. Programa Detallado de la Conferencia</w:t>
      </w:r>
    </w:p>
    <w:p>
      <w:pPr>
        <w:pStyle w:val="Heading2"/>
        <w:spacing w:after="100" w:before="220"/>
      </w:pPr>
      <w:r>
        <w:rPr>
          <w:rFonts w:ascii="Calibri" w:cs="Calibri" w:eastAsia="Calibri" w:hAnsi="Calibri"/>
          <w:b/>
          <w:bCs/>
          <w:color w:val="2E75B6"/>
          <w:sz w:val="26"/>
          <w:szCs w:val="26"/>
        </w:rPr>
        <w:t xml:space="preserve">Día 1 · Introducción y Ecosistema de IA para Desarrolladores</w:t>
      </w:r>
    </w:p>
    <w:p>
      <w:pPr>
        <w:spacing w:after="80" w:before="160"/>
      </w:pPr>
      <w:r>
        <w:rPr>
          <w:rFonts w:ascii="Calibri" w:cs="Calibri" w:eastAsia="Calibri" w:hAnsi="Calibri"/>
          <w:b/>
          <w:bCs/>
          <w:color w:val="1F3864"/>
          <w:sz w:val="23"/>
          <w:szCs w:val="23"/>
        </w:rPr>
        <w:t xml:space="preserve">Bloque Teórico (2 horas)</w:t>
      </w:r>
    </w:p>
    <w:p>
      <w:pPr>
        <w:pStyle w:val="ListParagraph"/>
        <w:numPr>
          <w:ilvl w:val="0"/>
          <w:numId w:val="2"/>
        </w:numPr>
        <w:spacing w:after="40" w:before="40"/>
      </w:pPr>
      <w:r>
        <w:rPr>
          <w:rFonts w:ascii="Calibri" w:cs="Calibri" w:eastAsia="Calibri" w:hAnsi="Calibri"/>
          <w:color w:val="000000"/>
          <w:sz w:val="22"/>
          <w:szCs w:val="22"/>
        </w:rPr>
        <w:t xml:space="preserve">La revolución de la IA en el desarrollo de software: estado del arte 2026.</w:t>
      </w:r>
    </w:p>
    <w:p>
      <w:pPr>
        <w:pStyle w:val="ListParagraph"/>
        <w:numPr>
          <w:ilvl w:val="0"/>
          <w:numId w:val="2"/>
        </w:numPr>
        <w:spacing w:after="40" w:before="40"/>
      </w:pPr>
      <w:r>
        <w:rPr>
          <w:rFonts w:ascii="Calibri" w:cs="Calibri" w:eastAsia="Calibri" w:hAnsi="Calibri"/>
          <w:color w:val="000000"/>
          <w:sz w:val="22"/>
          <w:szCs w:val="22"/>
        </w:rPr>
        <w:t xml:space="preserve">Large Language Models (LLMs) aplicados a código: GPT-5, Claude, Gemini, GLM-4.6.</w:t>
      </w:r>
    </w:p>
    <w:p>
      <w:pPr>
        <w:pStyle w:val="ListParagraph"/>
        <w:numPr>
          <w:ilvl w:val="0"/>
          <w:numId w:val="2"/>
        </w:numPr>
        <w:spacing w:after="40" w:before="40"/>
      </w:pPr>
      <w:r>
        <w:rPr>
          <w:rFonts w:ascii="Calibri" w:cs="Calibri" w:eastAsia="Calibri" w:hAnsi="Calibri"/>
          <w:color w:val="000000"/>
          <w:sz w:val="22"/>
          <w:szCs w:val="22"/>
        </w:rPr>
        <w:t xml:space="preserve">Fundamentos técnicos: tokens, temperatura, ventana de contexto y prompting efectivo.</w:t>
      </w:r>
    </w:p>
    <w:p>
      <w:pPr>
        <w:pStyle w:val="ListParagraph"/>
        <w:numPr>
          <w:ilvl w:val="0"/>
          <w:numId w:val="2"/>
        </w:numPr>
        <w:spacing w:after="40" w:before="40"/>
      </w:pPr>
      <w:r>
        <w:rPr>
          <w:rFonts w:ascii="Calibri" w:cs="Calibri" w:eastAsia="Calibri" w:hAnsi="Calibri"/>
          <w:color w:val="000000"/>
          <w:sz w:val="22"/>
          <w:szCs w:val="22"/>
        </w:rPr>
        <w:t xml:space="preserve">IDEs potenciados con IA: GitHub Copilot, Cursor, Windsurf (Codeium), Trae.</w:t>
      </w:r>
    </w:p>
    <w:p>
      <w:pPr>
        <w:pStyle w:val="ListParagraph"/>
        <w:numPr>
          <w:ilvl w:val="0"/>
          <w:numId w:val="2"/>
        </w:numPr>
        <w:spacing w:after="40" w:before="40"/>
      </w:pPr>
      <w:r>
        <w:rPr>
          <w:rFonts w:ascii="Calibri" w:cs="Calibri" w:eastAsia="Calibri" w:hAnsi="Calibri"/>
          <w:color w:val="000000"/>
          <w:sz w:val="22"/>
          <w:szCs w:val="22"/>
        </w:rPr>
        <w:t xml:space="preserve">Extensiones esenciales para Visual Studio Code: Codex, Codeium, Claude Code, Tabnine, Amazon CodeWhisperer, Kilo Code.</w:t>
      </w:r>
    </w:p>
    <w:p>
      <w:pPr>
        <w:pStyle w:val="ListParagraph"/>
        <w:numPr>
          <w:ilvl w:val="0"/>
          <w:numId w:val="2"/>
        </w:numPr>
        <w:spacing w:after="40" w:before="40"/>
      </w:pPr>
      <w:r>
        <w:rPr>
          <w:rFonts w:ascii="Calibri" w:cs="Calibri" w:eastAsia="Calibri" w:hAnsi="Calibri"/>
          <w:color w:val="000000"/>
          <w:sz w:val="22"/>
          <w:szCs w:val="22"/>
        </w:rPr>
        <w:t xml:space="preserve">Herramientas CLI: Codex CLI, GitHub Copilot CLI, Claude Code CLI.</w:t>
      </w:r>
    </w:p>
    <w:p>
      <w:pPr>
        <w:pStyle w:val="ListParagraph"/>
        <w:numPr>
          <w:ilvl w:val="0"/>
          <w:numId w:val="2"/>
        </w:numPr>
        <w:spacing w:after="40" w:before="40"/>
      </w:pPr>
      <w:r>
        <w:rPr>
          <w:rFonts w:ascii="Calibri" w:cs="Calibri" w:eastAsia="Calibri" w:hAnsi="Calibri"/>
          <w:color w:val="000000"/>
          <w:sz w:val="22"/>
          <w:szCs w:val="22"/>
        </w:rPr>
        <w:t xml:space="preserve">Generación de UI/Apps en la nube: V0 (Vercel), Bolt.new, Lovable, Magic Patterns.</w:t>
      </w:r>
    </w:p>
    <w:p>
      <w:pPr>
        <w:pStyle w:val="ListParagraph"/>
        <w:numPr>
          <w:ilvl w:val="0"/>
          <w:numId w:val="2"/>
        </w:numPr>
        <w:spacing w:after="40" w:before="40"/>
      </w:pPr>
      <w:r>
        <w:rPr>
          <w:rFonts w:ascii="Calibri" w:cs="Calibri" w:eastAsia="Calibri" w:hAnsi="Calibri"/>
          <w:color w:val="000000"/>
          <w:sz w:val="22"/>
          <w:szCs w:val="22"/>
        </w:rPr>
        <w:t xml:space="preserve">Mitos vs. realidades: casos documentados en GitHub, Duolingo y Shopify.</w:t>
      </w:r>
    </w:p>
    <w:p>
      <w:pPr>
        <w:pStyle w:val="ListParagraph"/>
        <w:numPr>
          <w:ilvl w:val="0"/>
          <w:numId w:val="2"/>
        </w:numPr>
        <w:spacing w:after="40" w:before="40"/>
      </w:pPr>
      <w:r>
        <w:rPr>
          <w:rFonts w:ascii="Calibri" w:cs="Calibri" w:eastAsia="Calibri" w:hAnsi="Calibri"/>
          <w:color w:val="000000"/>
          <w:sz w:val="22"/>
          <w:szCs w:val="22"/>
        </w:rPr>
        <w:t xml:space="preserve">Mejores prácticas de seguridad, ética y validación de código generado.</w:t>
      </w:r>
    </w:p>
    <w:p>
      <w:pPr>
        <w:spacing w:after="80" w:before="160"/>
      </w:pPr>
      <w:r>
        <w:rPr>
          <w:rFonts w:ascii="Calibri" w:cs="Calibri" w:eastAsia="Calibri" w:hAnsi="Calibri"/>
          <w:b/>
          <w:bCs/>
          <w:color w:val="1F3864"/>
          <w:sz w:val="23"/>
          <w:szCs w:val="23"/>
        </w:rPr>
        <w:t xml:space="preserve">Bloque Práctico (1 hora)</w:t>
      </w:r>
    </w:p>
    <w:p>
      <w:pPr>
        <w:pStyle w:val="ListParagraph"/>
        <w:numPr>
          <w:ilvl w:val="0"/>
          <w:numId w:val="2"/>
        </w:numPr>
        <w:spacing w:after="40" w:before="40"/>
      </w:pPr>
      <w:r>
        <w:rPr>
          <w:rFonts w:ascii="Calibri" w:cs="Calibri" w:eastAsia="Calibri" w:hAnsi="Calibri"/>
          <w:color w:val="000000"/>
          <w:sz w:val="22"/>
          <w:szCs w:val="22"/>
        </w:rPr>
        <w:t xml:space="preserve">Configuración del entorno: instalación de Cursor o GitHub Copilot.</w:t>
      </w:r>
    </w:p>
    <w:p>
      <w:pPr>
        <w:pStyle w:val="ListParagraph"/>
        <w:numPr>
          <w:ilvl w:val="0"/>
          <w:numId w:val="2"/>
        </w:numPr>
        <w:spacing w:after="40" w:before="40"/>
      </w:pPr>
      <w:r>
        <w:rPr>
          <w:rFonts w:ascii="Calibri" w:cs="Calibri" w:eastAsia="Calibri" w:hAnsi="Calibri"/>
          <w:color w:val="000000"/>
          <w:sz w:val="22"/>
          <w:szCs w:val="22"/>
        </w:rPr>
        <w:t xml:space="preserve">Ejercicio guiado: generación de un componente funcional desde prompt natural.</w:t>
      </w:r>
    </w:p>
    <w:p>
      <w:pPr>
        <w:pStyle w:val="ListParagraph"/>
        <w:numPr>
          <w:ilvl w:val="0"/>
          <w:numId w:val="2"/>
        </w:numPr>
        <w:spacing w:after="40" w:before="40"/>
      </w:pPr>
      <w:r>
        <w:rPr>
          <w:rFonts w:ascii="Calibri" w:cs="Calibri" w:eastAsia="Calibri" w:hAnsi="Calibri"/>
          <w:color w:val="000000"/>
          <w:sz w:val="22"/>
          <w:szCs w:val="22"/>
        </w:rPr>
        <w:t xml:space="preserve">Comparativa en vivo de respuestas entre distintos modelos LLM.</w:t>
      </w:r>
    </w:p>
    <w:p>
      <w:pPr>
        <w:pStyle w:val="Heading2"/>
        <w:spacing w:after="100" w:before="220"/>
      </w:pPr>
      <w:r>
        <w:rPr>
          <w:rFonts w:ascii="Calibri" w:cs="Calibri" w:eastAsia="Calibri" w:hAnsi="Calibri"/>
          <w:b/>
          <w:bCs/>
          <w:color w:val="2E75B6"/>
          <w:sz w:val="26"/>
          <w:szCs w:val="26"/>
        </w:rPr>
        <w:t xml:space="preserve">Día 2 · Frontend con IA — De Diseño a Producción</w:t>
      </w:r>
    </w:p>
    <w:p>
      <w:pPr>
        <w:spacing w:after="80" w:before="160"/>
      </w:pPr>
      <w:r>
        <w:rPr>
          <w:rFonts w:ascii="Calibri" w:cs="Calibri" w:eastAsia="Calibri" w:hAnsi="Calibri"/>
          <w:b/>
          <w:bCs/>
          <w:color w:val="1F3864"/>
          <w:sz w:val="23"/>
          <w:szCs w:val="23"/>
        </w:rPr>
        <w:t xml:space="preserve">Bloque Teórico (2 horas)</w:t>
      </w:r>
    </w:p>
    <w:p>
      <w:pPr>
        <w:pStyle w:val="ListParagraph"/>
        <w:numPr>
          <w:ilvl w:val="0"/>
          <w:numId w:val="2"/>
        </w:numPr>
        <w:spacing w:after="40" w:before="40"/>
      </w:pPr>
      <w:r>
        <w:rPr>
          <w:rFonts w:ascii="Calibri" w:cs="Calibri" w:eastAsia="Calibri" w:hAnsi="Calibri"/>
          <w:color w:val="000000"/>
          <w:sz w:val="22"/>
          <w:szCs w:val="22"/>
        </w:rPr>
        <w:t xml:space="preserve">Sistema de reglas de proyecto: ¿por qué son críticas para la consistencia?</w:t>
      </w:r>
    </w:p>
    <w:p>
      <w:pPr>
        <w:pStyle w:val="ListParagraph"/>
        <w:numPr>
          <w:ilvl w:val="0"/>
          <w:numId w:val="2"/>
        </w:numPr>
        <w:spacing w:after="40" w:before="40"/>
      </w:pPr>
      <w:r>
        <w:rPr>
          <w:rFonts w:ascii="Calibri" w:cs="Calibri" w:eastAsia="Calibri" w:hAnsi="Calibri"/>
          <w:color w:val="000000"/>
          <w:sz w:val="22"/>
          <w:szCs w:val="22"/>
        </w:rPr>
        <w:t xml:space="preserve">Cursor: configuración profesional de archivos .cursorrules y archivos modulares .mdc.</w:t>
      </w:r>
    </w:p>
    <w:p>
      <w:pPr>
        <w:pStyle w:val="ListParagraph"/>
        <w:numPr>
          <w:ilvl w:val="0"/>
          <w:numId w:val="2"/>
        </w:numPr>
        <w:spacing w:after="40" w:before="40"/>
      </w:pPr>
      <w:r>
        <w:rPr>
          <w:rFonts w:ascii="Calibri" w:cs="Calibri" w:eastAsia="Calibri" w:hAnsi="Calibri"/>
          <w:color w:val="000000"/>
          <w:sz w:val="22"/>
          <w:szCs w:val="22"/>
        </w:rPr>
        <w:t xml:space="preserve">Claude Code: sistema jerárquico .claude/ (CLAUDE.md, rules/, commands/, hooks/).</w:t>
      </w:r>
    </w:p>
    <w:p>
      <w:pPr>
        <w:pStyle w:val="ListParagraph"/>
        <w:numPr>
          <w:ilvl w:val="0"/>
          <w:numId w:val="2"/>
        </w:numPr>
        <w:spacing w:after="40" w:before="40"/>
      </w:pPr>
      <w:r>
        <w:rPr>
          <w:rFonts w:ascii="Calibri" w:cs="Calibri" w:eastAsia="Calibri" w:hAnsi="Calibri"/>
          <w:color w:val="000000"/>
          <w:sz w:val="22"/>
          <w:szCs w:val="22"/>
        </w:rPr>
        <w:t xml:space="preserve">Comparativa Cursor vs. Claude Code: cuándo usar cada uno.</w:t>
      </w:r>
    </w:p>
    <w:p>
      <w:pPr>
        <w:pStyle w:val="ListParagraph"/>
        <w:numPr>
          <w:ilvl w:val="0"/>
          <w:numId w:val="2"/>
        </w:numPr>
        <w:spacing w:after="40" w:before="40"/>
      </w:pPr>
      <w:r>
        <w:rPr>
          <w:rFonts w:ascii="Calibri" w:cs="Calibri" w:eastAsia="Calibri" w:hAnsi="Calibri"/>
          <w:color w:val="000000"/>
          <w:sz w:val="22"/>
          <w:szCs w:val="22"/>
        </w:rPr>
        <w:t xml:space="preserve">Slash Commands: superpoderes en el editor para tareas especializadas.</w:t>
      </w:r>
    </w:p>
    <w:p>
      <w:pPr>
        <w:pStyle w:val="ListParagraph"/>
        <w:numPr>
          <w:ilvl w:val="0"/>
          <w:numId w:val="2"/>
        </w:numPr>
        <w:spacing w:after="40" w:before="40"/>
      </w:pPr>
      <w:r>
        <w:rPr>
          <w:rFonts w:ascii="Calibri" w:cs="Calibri" w:eastAsia="Calibri" w:hAnsi="Calibri"/>
          <w:color w:val="000000"/>
          <w:sz w:val="22"/>
          <w:szCs w:val="22"/>
        </w:rPr>
        <w:t xml:space="preserve">MCPs (Model Context Protocol) especializados: Context7, Playwright y Figma para frontend profesional.</w:t>
      </w:r>
    </w:p>
    <w:p>
      <w:pPr>
        <w:pStyle w:val="ListParagraph"/>
        <w:numPr>
          <w:ilvl w:val="0"/>
          <w:numId w:val="2"/>
        </w:numPr>
        <w:spacing w:after="40" w:before="40"/>
      </w:pPr>
      <w:r>
        <w:rPr>
          <w:rFonts w:ascii="Calibri" w:cs="Calibri" w:eastAsia="Calibri" w:hAnsi="Calibri"/>
          <w:color w:val="000000"/>
          <w:sz w:val="22"/>
          <w:szCs w:val="22"/>
        </w:rPr>
        <w:t xml:space="preserve">Prompting avanzado: técnicas para obtener código de calidad de producción.</w:t>
      </w:r>
    </w:p>
    <w:p>
      <w:pPr>
        <w:pStyle w:val="ListParagraph"/>
        <w:numPr>
          <w:ilvl w:val="0"/>
          <w:numId w:val="2"/>
        </w:numPr>
        <w:spacing w:after="40" w:before="40"/>
      </w:pPr>
      <w:r>
        <w:rPr>
          <w:rFonts w:ascii="Calibri" w:cs="Calibri" w:eastAsia="Calibri" w:hAnsi="Calibri"/>
          <w:color w:val="000000"/>
          <w:sz w:val="22"/>
          <w:szCs w:val="22"/>
        </w:rPr>
        <w:t xml:space="preserve">Pipeline CI/CD con IA: automatización de testing y despliegue continuo.</w:t>
      </w:r>
    </w:p>
    <w:p>
      <w:pPr>
        <w:spacing w:after="80" w:before="160"/>
      </w:pPr>
      <w:r>
        <w:rPr>
          <w:rFonts w:ascii="Calibri" w:cs="Calibri" w:eastAsia="Calibri" w:hAnsi="Calibri"/>
          <w:b/>
          <w:bCs/>
          <w:color w:val="1F3864"/>
          <w:sz w:val="23"/>
          <w:szCs w:val="23"/>
        </w:rPr>
        <w:t xml:space="preserve">Bloque Práctico (1 hora)</w:t>
      </w:r>
    </w:p>
    <w:p>
      <w:pPr>
        <w:pStyle w:val="ListParagraph"/>
        <w:numPr>
          <w:ilvl w:val="0"/>
          <w:numId w:val="2"/>
        </w:numPr>
        <w:spacing w:after="40" w:before="40"/>
      </w:pPr>
      <w:r>
        <w:rPr>
          <w:rFonts w:ascii="Calibri" w:cs="Calibri" w:eastAsia="Calibri" w:hAnsi="Calibri"/>
          <w:color w:val="000000"/>
          <w:sz w:val="22"/>
          <w:szCs w:val="22"/>
        </w:rPr>
        <w:t xml:space="preserve">Taller: construcción de un proyecto frontend completo desde cero hasta deployment.</w:t>
      </w:r>
    </w:p>
    <w:p>
      <w:pPr>
        <w:pStyle w:val="ListParagraph"/>
        <w:numPr>
          <w:ilvl w:val="0"/>
          <w:numId w:val="2"/>
        </w:numPr>
        <w:spacing w:after="40" w:before="40"/>
      </w:pPr>
      <w:r>
        <w:rPr>
          <w:rFonts w:ascii="Calibri" w:cs="Calibri" w:eastAsia="Calibri" w:hAnsi="Calibri"/>
          <w:color w:val="000000"/>
          <w:sz w:val="22"/>
          <w:szCs w:val="22"/>
        </w:rPr>
        <w:t xml:space="preserve">Configuración de reglas personalizadas para el stack del equipo asistente.</w:t>
      </w:r>
    </w:p>
    <w:p>
      <w:pPr>
        <w:pStyle w:val="ListParagraph"/>
        <w:numPr>
          <w:ilvl w:val="0"/>
          <w:numId w:val="2"/>
        </w:numPr>
        <w:spacing w:after="40" w:before="40"/>
      </w:pPr>
      <w:r>
        <w:rPr>
          <w:rFonts w:ascii="Calibri" w:cs="Calibri" w:eastAsia="Calibri" w:hAnsi="Calibri"/>
          <w:color w:val="000000"/>
          <w:sz w:val="22"/>
          <w:szCs w:val="22"/>
        </w:rPr>
        <w:t xml:space="preserve">Integración con Figma MCP para convertir diseños en componentes reales.</w:t>
      </w:r>
    </w:p>
    <w:p>
      <w:pPr>
        <w:pStyle w:val="Heading2"/>
        <w:spacing w:after="100" w:before="220"/>
      </w:pPr>
      <w:r>
        <w:rPr>
          <w:rFonts w:ascii="Calibri" w:cs="Calibri" w:eastAsia="Calibri" w:hAnsi="Calibri"/>
          <w:b/>
          <w:bCs/>
          <w:color w:val="2E75B6"/>
          <w:sz w:val="26"/>
          <w:szCs w:val="26"/>
        </w:rPr>
        <w:t xml:space="preserve">Día 3 · Backend con IA y Agentes para Desarrollo Ágil</w:t>
      </w:r>
    </w:p>
    <w:p>
      <w:pPr>
        <w:spacing w:after="80" w:before="160"/>
      </w:pPr>
      <w:r>
        <w:rPr>
          <w:rFonts w:ascii="Calibri" w:cs="Calibri" w:eastAsia="Calibri" w:hAnsi="Calibri"/>
          <w:b/>
          <w:bCs/>
          <w:color w:val="1F3864"/>
          <w:sz w:val="23"/>
          <w:szCs w:val="23"/>
        </w:rPr>
        <w:t xml:space="preserve">Bloque Teórico (2 horas)</w:t>
      </w:r>
    </w:p>
    <w:p>
      <w:pPr>
        <w:pStyle w:val="ListParagraph"/>
        <w:numPr>
          <w:ilvl w:val="0"/>
          <w:numId w:val="2"/>
        </w:numPr>
        <w:spacing w:after="40" w:before="40"/>
      </w:pPr>
      <w:r>
        <w:rPr>
          <w:rFonts w:ascii="Calibri" w:cs="Calibri" w:eastAsia="Calibri" w:hAnsi="Calibri"/>
          <w:color w:val="000000"/>
          <w:sz w:val="22"/>
          <w:szCs w:val="22"/>
        </w:rPr>
        <w:t xml:space="preserve">Roadmap completo: backend funcional en menos de 40 minutos — las 5 fases.</w:t>
      </w:r>
    </w:p>
    <w:p>
      <w:pPr>
        <w:pStyle w:val="ListParagraph"/>
        <w:numPr>
          <w:ilvl w:val="0"/>
          <w:numId w:val="2"/>
        </w:numPr>
        <w:spacing w:after="40" w:before="40"/>
      </w:pPr>
      <w:r>
        <w:rPr>
          <w:rFonts w:ascii="Calibri" w:cs="Calibri" w:eastAsia="Calibri" w:hAnsi="Calibri"/>
          <w:color w:val="000000"/>
          <w:sz w:val="22"/>
          <w:szCs w:val="22"/>
        </w:rPr>
        <w:t xml:space="preserve">Fase 1 · Planning Estratégico: requisitos, tech stack, instrucciones IA y ambiente dev.</w:t>
      </w:r>
    </w:p>
    <w:p>
      <w:pPr>
        <w:pStyle w:val="ListParagraph"/>
        <w:numPr>
          <w:ilvl w:val="0"/>
          <w:numId w:val="2"/>
        </w:numPr>
        <w:spacing w:after="40" w:before="40"/>
      </w:pPr>
      <w:r>
        <w:rPr>
          <w:rFonts w:ascii="Calibri" w:cs="Calibri" w:eastAsia="Calibri" w:hAnsi="Calibri"/>
          <w:color w:val="000000"/>
          <w:sz w:val="22"/>
          <w:szCs w:val="22"/>
        </w:rPr>
        <w:t xml:space="preserve">Fase 2 · Scaffolding Automatizado: estructura, dependencias, conexión BD y variables de entorno.</w:t>
      </w:r>
    </w:p>
    <w:p>
      <w:pPr>
        <w:pStyle w:val="ListParagraph"/>
        <w:numPr>
          <w:ilvl w:val="0"/>
          <w:numId w:val="2"/>
        </w:numPr>
        <w:spacing w:after="40" w:before="40"/>
      </w:pPr>
      <w:r>
        <w:rPr>
          <w:rFonts w:ascii="Calibri" w:cs="Calibri" w:eastAsia="Calibri" w:hAnsi="Calibri"/>
          <w:color w:val="000000"/>
          <w:sz w:val="22"/>
          <w:szCs w:val="22"/>
        </w:rPr>
        <w:t xml:space="preserve">Fase 3 · Core Development: modelos, rutas API, lógica de negocio, validación y autenticación.</w:t>
      </w:r>
    </w:p>
    <w:p>
      <w:pPr>
        <w:pStyle w:val="ListParagraph"/>
        <w:numPr>
          <w:ilvl w:val="0"/>
          <w:numId w:val="2"/>
        </w:numPr>
        <w:spacing w:after="40" w:before="40"/>
      </w:pPr>
      <w:r>
        <w:rPr>
          <w:rFonts w:ascii="Calibri" w:cs="Calibri" w:eastAsia="Calibri" w:hAnsi="Calibri"/>
          <w:color w:val="000000"/>
          <w:sz w:val="22"/>
          <w:szCs w:val="22"/>
        </w:rPr>
        <w:t xml:space="preserve">Fase 4 · Testing &amp; Refinement: testeo de endpoints, manejo de errores y optimización de queries.</w:t>
      </w:r>
    </w:p>
    <w:p>
      <w:pPr>
        <w:pStyle w:val="ListParagraph"/>
        <w:numPr>
          <w:ilvl w:val="0"/>
          <w:numId w:val="2"/>
        </w:numPr>
        <w:spacing w:after="40" w:before="40"/>
      </w:pPr>
      <w:r>
        <w:rPr>
          <w:rFonts w:ascii="Calibri" w:cs="Calibri" w:eastAsia="Calibri" w:hAnsi="Calibri"/>
          <w:color w:val="000000"/>
          <w:sz w:val="22"/>
          <w:szCs w:val="22"/>
        </w:rPr>
        <w:t xml:space="preserve">Fase 5 · Documentation &amp; Deployment: Swagger/OpenAPI, README y configuración Docker.</w:t>
      </w:r>
    </w:p>
    <w:p>
      <w:pPr>
        <w:pStyle w:val="ListParagraph"/>
        <w:numPr>
          <w:ilvl w:val="0"/>
          <w:numId w:val="2"/>
        </w:numPr>
        <w:spacing w:after="40" w:before="40"/>
      </w:pPr>
      <w:r>
        <w:rPr>
          <w:rFonts w:ascii="Calibri" w:cs="Calibri" w:eastAsia="Calibri" w:hAnsi="Calibri"/>
          <w:color w:val="000000"/>
          <w:sz w:val="22"/>
          <w:szCs w:val="22"/>
        </w:rPr>
        <w:t xml:space="preserve">Agentes IA para desarrollo ágil: el problema del "vibe coding" y la solución CODEX-IA.</w:t>
      </w:r>
    </w:p>
    <w:p>
      <w:pPr>
        <w:pStyle w:val="ListParagraph"/>
        <w:numPr>
          <w:ilvl w:val="0"/>
          <w:numId w:val="2"/>
        </w:numPr>
        <w:spacing w:after="40" w:before="40"/>
      </w:pPr>
      <w:r>
        <w:rPr>
          <w:rFonts w:ascii="Calibri" w:cs="Calibri" w:eastAsia="Calibri" w:hAnsi="Calibri"/>
          <w:color w:val="000000"/>
          <w:sz w:val="22"/>
          <w:szCs w:val="22"/>
        </w:rPr>
        <w:t xml:space="preserve">Metodología agéntica: 12+ agentes especializados (Analyst, PM, PO, SM, Architect, Dev, QA, UX).</w:t>
      </w:r>
    </w:p>
    <w:p>
      <w:pPr>
        <w:pStyle w:val="ListParagraph"/>
        <w:numPr>
          <w:ilvl w:val="0"/>
          <w:numId w:val="2"/>
        </w:numPr>
        <w:spacing w:after="40" w:before="40"/>
      </w:pPr>
      <w:r>
        <w:rPr>
          <w:rFonts w:ascii="Calibri" w:cs="Calibri" w:eastAsia="Calibri" w:hAnsi="Calibri"/>
          <w:color w:val="000000"/>
          <w:sz w:val="22"/>
          <w:szCs w:val="22"/>
        </w:rPr>
        <w:t xml:space="preserve">Document Sharding: técnica para escalar proyectos enterprise sin perder contexto.</w:t>
      </w:r>
    </w:p>
    <w:p>
      <w:pPr>
        <w:pStyle w:val="ListParagraph"/>
        <w:numPr>
          <w:ilvl w:val="0"/>
          <w:numId w:val="2"/>
        </w:numPr>
        <w:spacing w:after="40" w:before="40"/>
      </w:pPr>
      <w:r>
        <w:rPr>
          <w:rFonts w:ascii="Calibri" w:cs="Calibri" w:eastAsia="Calibri" w:hAnsi="Calibri"/>
          <w:color w:val="000000"/>
          <w:sz w:val="22"/>
          <w:szCs w:val="22"/>
        </w:rPr>
        <w:t xml:space="preserve">Comparativa de frameworks: CODEX-IA vs MetaGPT, AutoGPT, CrewAI, DevGPT, ChatDev.</w:t>
      </w:r>
    </w:p>
    <w:p>
      <w:pPr>
        <w:spacing w:after="80" w:before="160"/>
      </w:pPr>
      <w:r>
        <w:rPr>
          <w:rFonts w:ascii="Calibri" w:cs="Calibri" w:eastAsia="Calibri" w:hAnsi="Calibri"/>
          <w:b/>
          <w:bCs/>
          <w:color w:val="1F3864"/>
          <w:sz w:val="23"/>
          <w:szCs w:val="23"/>
        </w:rPr>
        <w:t xml:space="preserve">Bloque Práctico (1 hora)</w:t>
      </w:r>
    </w:p>
    <w:p>
      <w:pPr>
        <w:pStyle w:val="ListParagraph"/>
        <w:numPr>
          <w:ilvl w:val="0"/>
          <w:numId w:val="2"/>
        </w:numPr>
        <w:spacing w:after="40" w:before="40"/>
      </w:pPr>
      <w:r>
        <w:rPr>
          <w:rFonts w:ascii="Calibri" w:cs="Calibri" w:eastAsia="Calibri" w:hAnsi="Calibri"/>
          <w:color w:val="000000"/>
          <w:sz w:val="22"/>
          <w:szCs w:val="22"/>
        </w:rPr>
        <w:t xml:space="preserve">Demo en vivo: TaskMaster Pro — de idea a arquitectura en 30 minutos.</w:t>
      </w:r>
    </w:p>
    <w:p>
      <w:pPr>
        <w:pStyle w:val="ListParagraph"/>
        <w:numPr>
          <w:ilvl w:val="0"/>
          <w:numId w:val="2"/>
        </w:numPr>
        <w:spacing w:after="40" w:before="40"/>
      </w:pPr>
      <w:r>
        <w:rPr>
          <w:rFonts w:ascii="Calibri" w:cs="Calibri" w:eastAsia="Calibri" w:hAnsi="Calibri"/>
          <w:color w:val="000000"/>
          <w:sz w:val="22"/>
          <w:szCs w:val="22"/>
        </w:rPr>
        <w:t xml:space="preserve">Taller: construcción de un backend REST completo aplicando las 5 fases.</w:t>
      </w:r>
    </w:p>
    <w:p>
      <w:pPr>
        <w:pStyle w:val="ListParagraph"/>
        <w:numPr>
          <w:ilvl w:val="0"/>
          <w:numId w:val="2"/>
        </w:numPr>
        <w:spacing w:after="40" w:before="40"/>
      </w:pPr>
      <w:r>
        <w:rPr>
          <w:rFonts w:ascii="Calibri" w:cs="Calibri" w:eastAsia="Calibri" w:hAnsi="Calibri"/>
          <w:color w:val="000000"/>
          <w:sz w:val="22"/>
          <w:szCs w:val="22"/>
        </w:rPr>
        <w:t xml:space="preserve">Orquestación de agentes para simular un equipo Scrum virtual.</w:t>
      </w:r>
    </w:p>
    <w:p>
      <w:pPr>
        <w:pStyle w:val="ListParagraph"/>
        <w:numPr>
          <w:ilvl w:val="0"/>
          <w:numId w:val="2"/>
        </w:numPr>
        <w:spacing w:after="40" w:before="40"/>
      </w:pPr>
      <w:r>
        <w:rPr>
          <w:rFonts w:ascii="Calibri" w:cs="Calibri" w:eastAsia="Calibri" w:hAnsi="Calibri"/>
          <w:color w:val="000000"/>
          <w:sz w:val="22"/>
          <w:szCs w:val="22"/>
        </w:rPr>
        <w:t xml:space="preserve">Cierre: métricas de ROI, plan de implementación personalizado por empresa.</w:t>
      </w:r>
    </w:p>
    <w:p>
      <w:r>
        <w:br w:type="page"/>
      </w:r>
    </w:p>
    <w:p>
      <w:pPr>
        <w:pStyle w:val="Heading1"/>
        <w:pBdr>
          <w:bottom w:val="single" w:color="2E75B6" w:sz="12" w:space="4"/>
        </w:pBdr>
        <w:spacing w:after="160" w:before="300"/>
      </w:pPr>
      <w:r>
        <w:rPr>
          <w:rFonts w:ascii="Calibri" w:cs="Calibri" w:eastAsia="Calibri" w:hAnsi="Calibri"/>
          <w:b/>
          <w:bCs/>
          <w:color w:val="1F3864"/>
          <w:sz w:val="32"/>
          <w:szCs w:val="32"/>
        </w:rPr>
        <w:t xml:space="preserve">5. Qué Incluye la Conferencia</w:t>
      </w:r>
    </w:p>
    <w:p>
      <w:pPr>
        <w:pStyle w:val="ListParagraph"/>
        <w:numPr>
          <w:ilvl w:val="0"/>
          <w:numId w:val="2"/>
        </w:numPr>
        <w:spacing w:after="40" w:before="40"/>
      </w:pPr>
      <w:r>
        <w:rPr>
          <w:rFonts w:ascii="Calibri" w:cs="Calibri" w:eastAsia="Calibri" w:hAnsi="Calibri"/>
          <w:color w:val="000000"/>
          <w:sz w:val="22"/>
          <w:szCs w:val="22"/>
        </w:rPr>
        <w:t xml:space="preserve">Instructor certificado con 15+ años de experiencia en la industria del software.</w:t>
      </w:r>
    </w:p>
    <w:p>
      <w:pPr>
        <w:pStyle w:val="ListParagraph"/>
        <w:numPr>
          <w:ilvl w:val="0"/>
          <w:numId w:val="2"/>
        </w:numPr>
        <w:spacing w:after="40" w:before="40"/>
      </w:pPr>
      <w:r>
        <w:rPr>
          <w:rFonts w:ascii="Calibri" w:cs="Calibri" w:eastAsia="Calibri" w:hAnsi="Calibri"/>
          <w:color w:val="000000"/>
          <w:sz w:val="22"/>
          <w:szCs w:val="22"/>
        </w:rPr>
        <w:t xml:space="preserve">Material digital exclusivo: 4 presentaciones profesionales en PDF.</w:t>
      </w:r>
    </w:p>
    <w:p>
      <w:pPr>
        <w:pStyle w:val="ListParagraph"/>
        <w:numPr>
          <w:ilvl w:val="0"/>
          <w:numId w:val="2"/>
        </w:numPr>
        <w:spacing w:after="40" w:before="40"/>
      </w:pPr>
      <w:r>
        <w:rPr>
          <w:rFonts w:ascii="Calibri" w:cs="Calibri" w:eastAsia="Calibri" w:hAnsi="Calibri"/>
          <w:color w:val="000000"/>
          <w:sz w:val="22"/>
          <w:szCs w:val="22"/>
        </w:rPr>
        <w:t xml:space="preserve">Plantillas reutilizables: .cursorrules, CLAUDE.md, rules/, commands/ y hooks/.</w:t>
      </w:r>
    </w:p>
    <w:p>
      <w:pPr>
        <w:pStyle w:val="ListParagraph"/>
        <w:numPr>
          <w:ilvl w:val="0"/>
          <w:numId w:val="2"/>
        </w:numPr>
        <w:spacing w:after="40" w:before="40"/>
      </w:pPr>
      <w:r>
        <w:rPr>
          <w:rFonts w:ascii="Calibri" w:cs="Calibri" w:eastAsia="Calibri" w:hAnsi="Calibri"/>
          <w:color w:val="000000"/>
          <w:sz w:val="22"/>
          <w:szCs w:val="22"/>
        </w:rPr>
        <w:t xml:space="preserve">Repositorio de ejemplos y casos de uso aplicados al sector del cliente.</w:t>
      </w:r>
    </w:p>
    <w:p>
      <w:pPr>
        <w:pStyle w:val="ListParagraph"/>
        <w:numPr>
          <w:ilvl w:val="0"/>
          <w:numId w:val="2"/>
        </w:numPr>
        <w:spacing w:after="40" w:before="40"/>
      </w:pPr>
      <w:r>
        <w:rPr>
          <w:rFonts w:ascii="Calibri" w:cs="Calibri" w:eastAsia="Calibri" w:hAnsi="Calibri"/>
          <w:color w:val="000000"/>
          <w:sz w:val="22"/>
          <w:szCs w:val="22"/>
        </w:rPr>
        <w:t xml:space="preserve">Acceso a grabaciones de las sesiones durante 90 días.</w:t>
      </w:r>
    </w:p>
    <w:p>
      <w:pPr>
        <w:pStyle w:val="ListParagraph"/>
        <w:numPr>
          <w:ilvl w:val="0"/>
          <w:numId w:val="2"/>
        </w:numPr>
        <w:spacing w:after="40" w:before="40"/>
      </w:pPr>
      <w:r>
        <w:rPr>
          <w:rFonts w:ascii="Calibri" w:cs="Calibri" w:eastAsia="Calibri" w:hAnsi="Calibri"/>
          <w:color w:val="000000"/>
          <w:sz w:val="22"/>
          <w:szCs w:val="22"/>
        </w:rPr>
        <w:t xml:space="preserve">Certificado digital de participación por asistente.</w:t>
      </w:r>
    </w:p>
    <w:p>
      <w:pPr>
        <w:pStyle w:val="ListParagraph"/>
        <w:numPr>
          <w:ilvl w:val="0"/>
          <w:numId w:val="2"/>
        </w:numPr>
        <w:spacing w:after="40" w:before="40"/>
      </w:pPr>
      <w:r>
        <w:rPr>
          <w:rFonts w:ascii="Calibri" w:cs="Calibri" w:eastAsia="Calibri" w:hAnsi="Calibri"/>
          <w:color w:val="000000"/>
          <w:sz w:val="22"/>
          <w:szCs w:val="22"/>
        </w:rPr>
        <w:t xml:space="preserve">Sesión de Q&amp;A y acompañamiento vía correo durante 15 días post-evento.</w:t>
      </w:r>
    </w:p>
    <w:p>
      <w:pPr>
        <w:pStyle w:val="ListParagraph"/>
        <w:numPr>
          <w:ilvl w:val="0"/>
          <w:numId w:val="2"/>
        </w:numPr>
        <w:spacing w:after="40" w:before="40"/>
      </w:pPr>
      <w:r>
        <w:rPr>
          <w:rFonts w:ascii="Calibri" w:cs="Calibri" w:eastAsia="Calibri" w:hAnsi="Calibri"/>
          <w:color w:val="000000"/>
          <w:sz w:val="22"/>
          <w:szCs w:val="22"/>
        </w:rPr>
        <w:t xml:space="preserve">Checklist de adopción organizacional de IA en el ciclo de desarrollo.</w:t>
      </w:r>
    </w:p>
    <w:p>
      <w:pPr>
        <w:pStyle w:val="Heading1"/>
        <w:pBdr>
          <w:bottom w:val="single" w:color="2E75B6" w:sz="12" w:space="4"/>
        </w:pBdr>
        <w:spacing w:after="160" w:before="300"/>
      </w:pPr>
      <w:r>
        <w:rPr>
          <w:rFonts w:ascii="Calibri" w:cs="Calibri" w:eastAsia="Calibri" w:hAnsi="Calibri"/>
          <w:b/>
          <w:bCs/>
          <w:color w:val="1F3864"/>
          <w:sz w:val="32"/>
          <w:szCs w:val="32"/>
        </w:rPr>
        <w:t xml:space="preserve">6. Perfil del Instructor</w:t>
      </w:r>
    </w:p>
    <w:p>
      <w:pPr>
        <w:spacing w:after="60" w:before="60"/>
      </w:pPr>
      <w:r>
        <w:rPr>
          <w:rFonts w:ascii="Calibri" w:cs="Calibri" w:eastAsia="Calibri" w:hAnsi="Calibri"/>
          <w:b/>
          <w:bCs/>
          <w:color w:val="1F3864"/>
          <w:sz w:val="24"/>
          <w:szCs w:val="24"/>
        </w:rPr>
        <w:t xml:space="preserve">Miguel Angel Caro</w:t>
      </w:r>
    </w:p>
    <w:p>
      <w:pPr>
        <w:spacing w:after="60" w:before="60"/>
      </w:pPr>
      <w:r>
        <w:rPr>
          <w:rFonts w:ascii="Calibri" w:cs="Calibri" w:eastAsia="Calibri" w:hAnsi="Calibri"/>
          <w:color w:val="000000"/>
          <w:sz w:val="22"/>
          <w:szCs w:val="22"/>
        </w:rPr>
        <w:t xml:space="preserve">Profesional senior en la industria del software con más de 15 años de experiencia, especializado en la adopción de Inteligencia Artificial Generativa en equipos de desarrollo. Experto en metodologías ágiles, arquitectura de software y orquestación de agentes IA para entornos empresariales.</w:t>
      </w:r>
    </w:p>
    <w:p>
      <w:pPr>
        <w:pStyle w:val="Heading1"/>
        <w:pBdr>
          <w:bottom w:val="single" w:color="2E75B6" w:sz="12" w:space="4"/>
        </w:pBdr>
        <w:spacing w:after="160" w:before="300"/>
      </w:pPr>
      <w:r>
        <w:rPr>
          <w:rFonts w:ascii="Calibri" w:cs="Calibri" w:eastAsia="Calibri" w:hAnsi="Calibri"/>
          <w:b/>
          <w:bCs/>
          <w:color w:val="1F3864"/>
          <w:sz w:val="32"/>
          <w:szCs w:val="32"/>
        </w:rPr>
        <w:t xml:space="preserve">7. Inversión — Opciones Comerciales</w:t>
      </w:r>
    </w:p>
    <w:p>
      <w:pPr>
        <w:spacing w:after="60" w:before="60"/>
      </w:pPr>
      <w:r>
        <w:rPr>
          <w:rFonts w:ascii="Calibri" w:cs="Calibri" w:eastAsia="Calibri" w:hAnsi="Calibri"/>
          <w:i/>
          <w:iCs/>
          <w:color w:val="595959"/>
          <w:sz w:val="22"/>
          <w:szCs w:val="22"/>
        </w:rPr>
        <w:t xml:space="preserve">Se ofrecen tres paquetes según la modalidad, personalización y valor agregado requerido por la empresa. Todos los precios están expresados en Pesos Colombianos (COP) y Dólares Americanos (USD) como referencia.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Concepto</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Plan Básico</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Plan Estándar</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Plan Premium</w:t>
            </w:r>
          </w:p>
        </w:tc>
      </w:tr>
      <w:t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Modalidad</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Virtual en vivo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Presencial / Híbrida</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Presencial VIP</w:t>
            </w:r>
          </w:p>
        </w:tc>
      </w:tr>
      <w:t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Duración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9 horas (3 días)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9 horas (3 días)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9 horas + mentoría</w:t>
            </w:r>
          </w:p>
        </w:tc>
      </w:tr>
      <w:t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Participantes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Hasta 15</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Hasta 20</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Hasta 25</w:t>
            </w:r>
          </w:p>
        </w:tc>
      </w:tr>
      <w:t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Personalización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Estándar</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Casos del cliente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Casos + stack real</w:t>
            </w:r>
          </w:p>
        </w:tc>
      </w:tr>
      <w:t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Material digital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Incluido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Incluido + plantillas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Incluido + repositorio</w:t>
            </w:r>
          </w:p>
        </w:tc>
      </w:tr>
      <w:t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Grabación</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30 días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90 días</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12 meses</w:t>
            </w:r>
          </w:p>
        </w:tc>
      </w:tr>
      <w:t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Acompañamiento post-evento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No incluye</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15 días vía correo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30 días + 2h consultoría 1:1</w:t>
            </w:r>
          </w:p>
        </w:tc>
      </w:tr>
      <w:tr>
        <w:tc>
          <w:tcPr>
            <w:tcW w:type="dxa" w:w="2340"/>
            <w:tcBorders>
              <w:top w:val="single" w:color="BFBFBF" w:sz="4"/>
              <w:left w:val="single" w:color="BFBFBF" w:sz="4"/>
              <w:bottom w:val="single" w:color="BFBFBF" w:sz="4"/>
              <w:right w:val="single" w:color="BFBFBF" w:sz="4"/>
            </w:tcBorders>
            <w:shd w:fill="D9E2F3" w:val="clear"/>
            <w:tcMar>
              <w:top w:type="dxa" w:w="100"/>
              <w:left w:type="dxa" w:w="140"/>
              <w:bottom w:type="dxa" w:w="100"/>
              <w:right w:type="dxa" w:w="140"/>
            </w:tcMar>
          </w:tcPr>
          <w:p>
            <w:r>
              <w:rPr>
                <w:rFonts w:ascii="Calibri" w:cs="Calibri" w:eastAsia="Calibri" w:hAnsi="Calibri"/>
                <w:b/>
                <w:bCs/>
                <w:color w:val="000000"/>
                <w:sz w:val="20"/>
                <w:szCs w:val="20"/>
              </w:rPr>
              <w:t xml:space="preserve">Certificado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Digital</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Digital personalizado</w:t>
            </w:r>
          </w:p>
        </w:tc>
        <w:tc>
          <w:tcPr>
            <w:tcW w:type="dxa" w:w="234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Digital + físico</w:t>
            </w:r>
          </w:p>
        </w:tc>
      </w:tr>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INVERSIÓN (COP)</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$ 7.500.000</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$ 13.900.000</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$ 22.500.000</w:t>
            </w:r>
          </w:p>
        </w:tc>
      </w:tr>
      <w:tr>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r>
              <w:rPr>
                <w:rFonts w:ascii="Calibri" w:cs="Calibri" w:eastAsia="Calibri" w:hAnsi="Calibri"/>
                <w:b/>
                <w:bCs/>
                <w:color w:val="FFFFFF"/>
                <w:sz w:val="20"/>
                <w:szCs w:val="20"/>
              </w:rPr>
              <w:t xml:space="preserve">Equivalente USD</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 USD 1.900</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 USD 3.500</w:t>
            </w:r>
          </w:p>
        </w:tc>
        <w:tc>
          <w:tcPr>
            <w:tcW w:type="dxa" w:w="234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 USD 5.700</w:t>
            </w:r>
          </w:p>
        </w:tc>
      </w:tr>
    </w:tbl>
    <w:p>
      <w:pPr>
        <w:spacing w:after="60" w:before="60"/>
      </w:pPr>
      <w:r>
        <w:rPr>
          <w:rFonts w:ascii="Calibri" w:cs="Calibri" w:eastAsia="Calibri" w:hAnsi="Calibri"/>
          <w:i/>
          <w:iCs/>
          <w:color w:val="595959"/>
          <w:sz w:val="18"/>
          <w:szCs w:val="18"/>
        </w:rPr>
        <w:t xml:space="preserve">Valores antes de IVA (19%). No incluyen viáticos, transporte ni alojamiento en caso de modalidad presencial fuera de Bogotá.</w:t>
      </w:r>
    </w:p>
    <w:p>
      <w:pPr>
        <w:pStyle w:val="Heading1"/>
        <w:pBdr>
          <w:bottom w:val="single" w:color="2E75B6" w:sz="12" w:space="4"/>
        </w:pBdr>
        <w:spacing w:after="160" w:before="300"/>
      </w:pPr>
      <w:r>
        <w:rPr>
          <w:rFonts w:ascii="Calibri" w:cs="Calibri" w:eastAsia="Calibri" w:hAnsi="Calibri"/>
          <w:b/>
          <w:bCs/>
          <w:color w:val="1F3864"/>
          <w:sz w:val="32"/>
          <w:szCs w:val="32"/>
        </w:rPr>
        <w:t xml:space="preserve">8. Referencia de Precios de Mercado</w:t>
      </w:r>
    </w:p>
    <w:p>
      <w:pPr>
        <w:spacing w:after="60" w:before="60"/>
      </w:pPr>
      <w:r>
        <w:rPr>
          <w:rFonts w:ascii="Calibri" w:cs="Calibri" w:eastAsia="Calibri" w:hAnsi="Calibri"/>
          <w:color w:val="000000"/>
          <w:sz w:val="22"/>
          <w:szCs w:val="22"/>
        </w:rPr>
        <w:t xml:space="preserve">Con el fin de brindar transparencia, se presentan los rangos de precios observados en el mercado Latinoamericano para conferencias corporativas de IA aplicada a desarrollo de software con duración y alcance similares (3 días, 9 horas, equipos de 15–25 desarrolladores):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Segmento</w:t>
            </w:r>
          </w:p>
        </w:tc>
        <w:tc>
          <w:tcPr>
            <w:tcW w:type="dxa" w:w="33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Rango COP</w:t>
            </w:r>
          </w:p>
        </w:tc>
        <w:tc>
          <w:tcPr>
            <w:tcW w:type="dxa" w:w="338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rFonts w:ascii="Calibri" w:cs="Calibri" w:eastAsia="Calibri" w:hAnsi="Calibri"/>
                <w:b/>
                <w:bCs/>
                <w:color w:val="FFFFFF"/>
                <w:sz w:val="20"/>
                <w:szCs w:val="20"/>
              </w:rPr>
              <w:t xml:space="preserve">Rango USD</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color w:val="000000"/>
                <w:sz w:val="20"/>
                <w:szCs w:val="20"/>
              </w:rPr>
              <w:t xml:space="preserve">Instructor freelance / junior</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$ 4.000.000 – $ 7.000.000</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USD 1.000 – USD 1.800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color w:val="000000"/>
                <w:sz w:val="20"/>
                <w:szCs w:val="20"/>
              </w:rPr>
              <w:t xml:space="preserve">Consultor senior independiente</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$ 8.000.000 – $ 16.000.000</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USD 2.000 – USD 4.000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color w:val="000000"/>
                <w:sz w:val="20"/>
                <w:szCs w:val="20"/>
              </w:rPr>
              <w:t xml:space="preserve">Academias / bootcamps reconocidos</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$ 15.000.000 – $ 25.000.000</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USD 3.800 – USD 6.300</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rFonts w:ascii="Calibri" w:cs="Calibri" w:eastAsia="Calibri" w:hAnsi="Calibri"/>
                <w:color w:val="000000"/>
                <w:sz w:val="20"/>
                <w:szCs w:val="20"/>
              </w:rPr>
              <w:t xml:space="preserve">Consultoras internacionales (Big 4, boutiques tech)</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$ 25.000.000 – $ 60.000.000+</w:t>
            </w:r>
          </w:p>
        </w:tc>
        <w:tc>
          <w:tcPr>
            <w:tcW w:type="dxa" w:w="338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jc w:val="center"/>
            </w:pPr>
            <w:r>
              <w:rPr>
                <w:rFonts w:ascii="Calibri" w:cs="Calibri" w:eastAsia="Calibri" w:hAnsi="Calibri"/>
                <w:color w:val="000000"/>
                <w:sz w:val="20"/>
                <w:szCs w:val="20"/>
              </w:rPr>
              <w:t xml:space="preserve">USD 6.300 – USD 15.000+</w:t>
            </w:r>
          </w:p>
        </w:tc>
      </w:tr>
    </w:tbl>
    <w:p>
      <w:pPr>
        <w:spacing w:after="60" w:before="60"/>
      </w:pPr>
      <w:r>
        <w:rPr>
          <w:rFonts w:ascii="Calibri" w:cs="Calibri" w:eastAsia="Calibri" w:hAnsi="Calibri"/>
          <w:i/>
          <w:iCs/>
          <w:color w:val="000000"/>
          <w:sz w:val="22"/>
          <w:szCs w:val="22"/>
        </w:rPr>
        <w:t xml:space="preserve">Nuestra oferta se posiciona en el rango de consultor senior independiente, con calidad de contenido y personalización equiparable a la de academias reconocidas, pero con una relación costo-valor superior gracias a la experiencia directa del instructor en proyectos reales.</w:t>
      </w:r>
    </w:p>
    <w:p>
      <w:pPr>
        <w:pStyle w:val="Heading1"/>
        <w:pBdr>
          <w:bottom w:val="single" w:color="2E75B6" w:sz="12" w:space="4"/>
        </w:pBdr>
        <w:spacing w:after="160" w:before="300"/>
      </w:pPr>
      <w:r>
        <w:rPr>
          <w:rFonts w:ascii="Calibri" w:cs="Calibri" w:eastAsia="Calibri" w:hAnsi="Calibri"/>
          <w:b/>
          <w:bCs/>
          <w:color w:val="1F3864"/>
          <w:sz w:val="32"/>
          <w:szCs w:val="32"/>
        </w:rPr>
        <w:t xml:space="preserve">9. Condiciones Comerciales</w:t>
      </w:r>
    </w:p>
    <w:p>
      <w:pPr>
        <w:pStyle w:val="ListParagraph"/>
        <w:numPr>
          <w:ilvl w:val="0"/>
          <w:numId w:val="2"/>
        </w:numPr>
        <w:spacing w:after="40" w:before="40"/>
      </w:pPr>
      <w:r>
        <w:rPr>
          <w:rFonts w:ascii="Calibri" w:cs="Calibri" w:eastAsia="Calibri" w:hAnsi="Calibri"/>
          <w:color w:val="000000"/>
          <w:sz w:val="22"/>
          <w:szCs w:val="22"/>
        </w:rPr>
        <w:t xml:space="preserve">Forma de pago: 50% al momento de la aceptación de la cotización, 50% contra entrega del material final.</w:t>
      </w:r>
    </w:p>
    <w:p>
      <w:pPr>
        <w:pStyle w:val="ListParagraph"/>
        <w:numPr>
          <w:ilvl w:val="0"/>
          <w:numId w:val="2"/>
        </w:numPr>
        <w:spacing w:after="40" w:before="40"/>
      </w:pPr>
      <w:r>
        <w:rPr>
          <w:rFonts w:ascii="Calibri" w:cs="Calibri" w:eastAsia="Calibri" w:hAnsi="Calibri"/>
          <w:color w:val="000000"/>
          <w:sz w:val="22"/>
          <w:szCs w:val="22"/>
        </w:rPr>
        <w:t xml:space="preserve">Medio de pago: transferencia bancaria a cuenta empresarial que se informará en la factura.</w:t>
      </w:r>
    </w:p>
    <w:p>
      <w:pPr>
        <w:pStyle w:val="ListParagraph"/>
        <w:numPr>
          <w:ilvl w:val="0"/>
          <w:numId w:val="2"/>
        </w:numPr>
        <w:spacing w:after="40" w:before="40"/>
      </w:pPr>
      <w:r>
        <w:rPr>
          <w:rFonts w:ascii="Calibri" w:cs="Calibri" w:eastAsia="Calibri" w:hAnsi="Calibri"/>
          <w:color w:val="000000"/>
          <w:sz w:val="22"/>
          <w:szCs w:val="22"/>
        </w:rPr>
        <w:t xml:space="preserve">Validez de la cotización: 30 días calendario desde la fecha de emisión.</w:t>
      </w:r>
    </w:p>
    <w:p>
      <w:pPr>
        <w:pStyle w:val="ListParagraph"/>
        <w:numPr>
          <w:ilvl w:val="0"/>
          <w:numId w:val="2"/>
        </w:numPr>
        <w:spacing w:after="40" w:before="40"/>
      </w:pPr>
      <w:r>
        <w:rPr>
          <w:rFonts w:ascii="Calibri" w:cs="Calibri" w:eastAsia="Calibri" w:hAnsi="Calibri"/>
          <w:color w:val="000000"/>
          <w:sz w:val="22"/>
          <w:szCs w:val="22"/>
        </w:rPr>
        <w:t xml:space="preserve">Cancelación: con 8 días de anticipación sin penalidad; entre 7 y 3 días, 30% del valor; menor a 72 horas, 50%.</w:t>
      </w:r>
    </w:p>
    <w:p>
      <w:pPr>
        <w:pStyle w:val="ListParagraph"/>
        <w:numPr>
          <w:ilvl w:val="0"/>
          <w:numId w:val="2"/>
        </w:numPr>
        <w:spacing w:after="40" w:before="40"/>
      </w:pPr>
      <w:r>
        <w:rPr>
          <w:rFonts w:ascii="Calibri" w:cs="Calibri" w:eastAsia="Calibri" w:hAnsi="Calibri"/>
          <w:color w:val="000000"/>
          <w:sz w:val="22"/>
          <w:szCs w:val="22"/>
        </w:rPr>
        <w:t xml:space="preserve">Reprogramación: hasta una reprogramación gratuita con 5 días de anticipación.</w:t>
      </w:r>
    </w:p>
    <w:p>
      <w:pPr>
        <w:pStyle w:val="ListParagraph"/>
        <w:numPr>
          <w:ilvl w:val="0"/>
          <w:numId w:val="2"/>
        </w:numPr>
        <w:spacing w:after="40" w:before="40"/>
      </w:pPr>
      <w:r>
        <w:rPr>
          <w:rFonts w:ascii="Calibri" w:cs="Calibri" w:eastAsia="Calibri" w:hAnsi="Calibri"/>
          <w:color w:val="000000"/>
          <w:sz w:val="22"/>
          <w:szCs w:val="22"/>
        </w:rPr>
        <w:t xml:space="preserve">Propiedad intelectual: el material entregado es de uso interno de la empresa contratante y no puede redistribuirse.</w:t>
      </w:r>
    </w:p>
    <w:p>
      <w:pPr>
        <w:pStyle w:val="Heading1"/>
        <w:pBdr>
          <w:bottom w:val="single" w:color="2E75B6" w:sz="12" w:space="4"/>
        </w:pBdr>
        <w:spacing w:after="160" w:before="300"/>
      </w:pPr>
      <w:r>
        <w:rPr>
          <w:rFonts w:ascii="Calibri" w:cs="Calibri" w:eastAsia="Calibri" w:hAnsi="Calibri"/>
          <w:b/>
          <w:bCs/>
          <w:color w:val="1F3864"/>
          <w:sz w:val="32"/>
          <w:szCs w:val="32"/>
        </w:rPr>
        <w:t xml:space="preserve">10. Próximos Pasos</w:t>
      </w:r>
    </w:p>
    <w:p>
      <w:pPr>
        <w:spacing w:after="60" w:before="60"/>
      </w:pPr>
      <w:r>
        <w:rPr>
          <w:rFonts w:ascii="Calibri" w:cs="Calibri" w:eastAsia="Calibri" w:hAnsi="Calibri"/>
          <w:color w:val="000000"/>
          <w:sz w:val="22"/>
          <w:szCs w:val="22"/>
        </w:rPr>
        <w:t xml:space="preserve">Para confirmar la contratación, la empresa deberá remitir respuesta formal a esta cotización indicando el paquete seleccionado. Posteriormente se emitirá la factura correspondiente y se agendarán las fechas definitivas de la conferencia en acuerdo con el área responsable.</w:t>
      </w:r>
    </w:p>
    <w:p>
      <w:pPr>
        <w:spacing w:before="400"/>
      </w:pPr>
      <w:r>
        <w:rPr>
          <w:rFonts w:ascii="Calibri" w:cs="Calibri" w:eastAsia="Calibri" w:hAnsi="Calibri"/>
          <w:sz w:val="22"/>
          <w:szCs w:val="22"/>
        </w:rPr>
        <w:t xml:space="preserve">Cordialmente,</w:t>
      </w:r>
    </w:p>
    <w:p>
      <w:pPr>
        <w:spacing w:before="600"/>
      </w:pPr>
      <w:r>
        <w:rPr>
          <w:rFonts w:ascii="Calibri" w:cs="Calibri" w:eastAsia="Calibri" w:hAnsi="Calibri"/>
          <w:sz w:val="22"/>
          <w:szCs w:val="22"/>
        </w:rPr>
        <w:t xml:space="preserve">____________________________</w:t>
      </w:r>
    </w:p>
    <w:p>
      <w:pPr>
        <w:spacing w:after="60" w:before="60"/>
      </w:pPr>
      <w:r>
        <w:rPr>
          <w:rFonts w:ascii="Calibri" w:cs="Calibri" w:eastAsia="Calibri" w:hAnsi="Calibri"/>
          <w:b/>
          <w:bCs/>
          <w:color w:val="1F3864"/>
          <w:sz w:val="24"/>
          <w:szCs w:val="24"/>
        </w:rPr>
        <w:t xml:space="preserve">Miguel Angel Caro</w:t>
      </w:r>
    </w:p>
    <w:p>
      <w:pPr>
        <w:spacing w:after="60" w:before="60"/>
      </w:pPr>
      <w:r>
        <w:rPr>
          <w:rFonts w:ascii="Calibri" w:cs="Calibri" w:eastAsia="Calibri" w:hAnsi="Calibri"/>
          <w:color w:val="595959"/>
          <w:sz w:val="20"/>
          <w:szCs w:val="20"/>
        </w:rPr>
        <w:t xml:space="preserve">Consultor e Instructor Senior — IA Aplicada al Desarrollo de Software</w:t>
      </w:r>
    </w:p>
    <w:p>
      <w:pPr>
        <w:spacing w:after="60" w:before="60"/>
      </w:pPr>
      <w:r>
        <w:rPr>
          <w:rFonts w:ascii="Calibri" w:cs="Calibri" w:eastAsia="Calibri" w:hAnsi="Calibri"/>
          <w:color w:val="595959"/>
          <w:sz w:val="20"/>
          <w:szCs w:val="20"/>
        </w:rPr>
        <w:t xml:space="preserve">suscripcionesbrity3@gmail.com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8"/>
        <w:szCs w:val="18"/>
      </w:rPr>
      <w:t xml:space="preserve">Miguel Angel Caro · Consultor IA · Página </w:t>
    </w:r>
    <w:r>
      <w:rPr>
        <w:rFonts w:ascii="Calibri" w:cs="Calibri" w:eastAsia="Calibri" w:hAnsi="Calibri"/>
        <w:color w:val="595959"/>
        <w:sz w:val="18"/>
        <w:szCs w:val="18"/>
      </w:rPr>
      <w:fldChar w:fldCharType="begin"/>
      <w:instrText xml:space="preserve">PAGE</w:instrText>
      <w:fldChar w:fldCharType="separate"/>
      <w:fldChar w:fldCharType="end"/>
    </w:r>
    <w:r>
      <w:rPr>
        <w:rFonts w:ascii="Calibri" w:cs="Calibri" w:eastAsia="Calibri" w:hAnsi="Calibri"/>
        <w:color w:val="595959"/>
        <w:sz w:val="18"/>
        <w:szCs w:val="18"/>
      </w:rPr>
      <w:t xml:space="preserve"> de </w:t>
    </w:r>
    <w:r>
      <w:rPr>
        <w:rFonts w:ascii="Calibri" w:cs="Calibri" w:eastAsia="Calibri" w:hAnsi="Calibri"/>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8" w:space="4"/>
      </w:pBdr>
      <w:jc w:val="right"/>
    </w:pPr>
    <w:r>
      <w:rPr>
        <w:rFonts w:ascii="Calibri" w:cs="Calibri" w:eastAsia="Calibri" w:hAnsi="Calibri"/>
        <w:i/>
        <w:iCs/>
        <w:color w:val="595959"/>
        <w:sz w:val="18"/>
        <w:szCs w:val="18"/>
      </w:rPr>
      <w:t xml:space="preserve">Cotización Empresarial · Conferencia IA para Desarrolladores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Cotización Empresarial — Conferencia IA para Desarrolladores</dc:title>
  <dc:creator>Miguel Angel Caro</dc:creator>
  <cp:lastModifiedBy>Un-named</cp:lastModifiedBy>
  <cp:revision>1</cp:revision>
  <dcterms:created xsi:type="dcterms:W3CDTF">2026-04-14T19:26:20.509Z</dcterms:created>
  <dcterms:modified xsi:type="dcterms:W3CDTF">2026-04-14T19:26:20.509Z</dcterms:modified>
</cp:coreProperties>
</file>

<file path=docProps/custom.xml><?xml version="1.0" encoding="utf-8"?>
<Properties xmlns="http://schemas.openxmlformats.org/officeDocument/2006/custom-properties" xmlns:vt="http://schemas.openxmlformats.org/officeDocument/2006/docPropsVTypes"/>
</file>