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 channel main book</w:t>
      </w:r>
    </w:p>
    <w:p w:rsidR="00000000" w:rsidDel="00000000" w:rsidP="00000000" w:rsidRDefault="00000000" w:rsidRPr="00000000" w14:paraId="0000000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Стиль написання:</w:t>
      </w:r>
    </w:p>
    <w:p w:rsidR="00000000" w:rsidDel="00000000" w:rsidP="00000000" w:rsidRDefault="00000000" w:rsidRPr="00000000" w14:paraId="0000000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Тональність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Півформальна</w:t>
      </w:r>
      <w:r w:rsidDel="00000000" w:rsidR="00000000" w:rsidRPr="00000000">
        <w:rPr>
          <w:sz w:val="20"/>
          <w:szCs w:val="20"/>
          <w:rtl w:val="0"/>
        </w:rPr>
        <w:t xml:space="preserve">, іноді </w:t>
      </w:r>
      <w:r w:rsidDel="00000000" w:rsidR="00000000" w:rsidRPr="00000000">
        <w:rPr>
          <w:b w:val="1"/>
          <w:sz w:val="20"/>
          <w:szCs w:val="20"/>
          <w:rtl w:val="0"/>
        </w:rPr>
        <w:t xml:space="preserve">філософська</w:t>
      </w:r>
      <w:r w:rsidDel="00000000" w:rsidR="00000000" w:rsidRPr="00000000">
        <w:rPr>
          <w:sz w:val="20"/>
          <w:szCs w:val="20"/>
          <w:rtl w:val="0"/>
        </w:rPr>
        <w:t xml:space="preserve">, але без снобізму.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Мʼяка розмовна лексика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Поєднання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високого стилю</w:t>
      </w:r>
      <w:r w:rsidDel="00000000" w:rsidR="00000000" w:rsidRPr="00000000">
        <w:rPr>
          <w:sz w:val="20"/>
          <w:szCs w:val="20"/>
          <w:rtl w:val="0"/>
        </w:rPr>
        <w:t xml:space="preserve"> й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сленгу</w:t>
      </w:r>
      <w:r w:rsidDel="00000000" w:rsidR="00000000" w:rsidRPr="00000000">
        <w:rPr>
          <w:sz w:val="20"/>
          <w:szCs w:val="20"/>
          <w:rtl w:val="0"/>
        </w:rPr>
        <w:t xml:space="preserve">, створює ефект "розумної бесіди на кухні".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Легка іронія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внутрішній досвід</w:t>
      </w:r>
      <w:r w:rsidDel="00000000" w:rsidR="00000000" w:rsidRPr="00000000">
        <w:rPr>
          <w:sz w:val="20"/>
          <w:szCs w:val="20"/>
          <w:rtl w:val="0"/>
        </w:rPr>
        <w:t xml:space="preserve"> ("чесно зізнаюсь", "це моя помилка")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Є глибина</w:t>
      </w:r>
      <w:r w:rsidDel="00000000" w:rsidR="00000000" w:rsidRPr="00000000">
        <w:rPr>
          <w:sz w:val="20"/>
          <w:szCs w:val="20"/>
          <w:rtl w:val="0"/>
        </w:rPr>
        <w:t xml:space="preserve">, але вона подається </w:t>
      </w:r>
      <w:r w:rsidDel="00000000" w:rsidR="00000000" w:rsidRPr="00000000">
        <w:rPr>
          <w:b w:val="1"/>
          <w:sz w:val="20"/>
          <w:szCs w:val="20"/>
          <w:rtl w:val="0"/>
        </w:rPr>
        <w:t xml:space="preserve">як особисте усвідомлення</w:t>
      </w:r>
      <w:r w:rsidDel="00000000" w:rsidR="00000000" w:rsidRPr="00000000">
        <w:rPr>
          <w:sz w:val="20"/>
          <w:szCs w:val="20"/>
          <w:rtl w:val="0"/>
        </w:rPr>
        <w:t xml:space="preserve">, а не менторство</w:t>
      </w:r>
    </w:p>
    <w:p w:rsidR="00000000" w:rsidDel="00000000" w:rsidP="00000000" w:rsidRDefault="00000000" w:rsidRPr="00000000" w14:paraId="0000000C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Структура постів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Часто використовуються </w:t>
      </w:r>
      <w:r w:rsidDel="00000000" w:rsidR="00000000" w:rsidRPr="00000000">
        <w:rPr>
          <w:b w:val="1"/>
          <w:sz w:val="20"/>
          <w:szCs w:val="20"/>
          <w:rtl w:val="0"/>
        </w:rPr>
        <w:t xml:space="preserve">тези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переліки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емфаза через капс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Є </w:t>
      </w:r>
      <w:r w:rsidDel="00000000" w:rsidR="00000000" w:rsidRPr="00000000">
        <w:rPr>
          <w:b w:val="1"/>
          <w:sz w:val="20"/>
          <w:szCs w:val="20"/>
          <w:rtl w:val="0"/>
        </w:rPr>
        <w:t xml:space="preserve">вступ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розгортання</w:t>
      </w:r>
      <w:r w:rsidDel="00000000" w:rsidR="00000000" w:rsidRPr="00000000">
        <w:rPr>
          <w:sz w:val="20"/>
          <w:szCs w:val="20"/>
          <w:rtl w:val="0"/>
        </w:rPr>
        <w:t xml:space="preserve">, і </w:t>
      </w:r>
      <w:r w:rsidDel="00000000" w:rsidR="00000000" w:rsidRPr="00000000">
        <w:rPr>
          <w:b w:val="1"/>
          <w:sz w:val="20"/>
          <w:szCs w:val="20"/>
          <w:rtl w:val="0"/>
        </w:rPr>
        <w:t xml:space="preserve">"крючок" наприкінці</w:t>
      </w:r>
      <w:r w:rsidDel="00000000" w:rsidR="00000000" w:rsidRPr="00000000">
        <w:rPr>
          <w:sz w:val="20"/>
          <w:szCs w:val="20"/>
          <w:rtl w:val="0"/>
        </w:rPr>
        <w:t xml:space="preserve"> ("Але про це далі))", "усвідомлення цього посту — це теж зміна світогляду").</w:t>
      </w:r>
    </w:p>
    <w:p w:rsidR="00000000" w:rsidDel="00000000" w:rsidP="00000000" w:rsidRDefault="00000000" w:rsidRPr="00000000" w14:paraId="0000000F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Мова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Слова з глибоким емоційним забарвленням ("мʼясо ще попереду", "ментальна пастка", "ефект сковорідки").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Часті метафори й аналогії (гора, сковорідка, мʼяч шимпанзе, гачки в мозку),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Приклади та порівняння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Залучення до розмови: звернення на «ти», питання до читача.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Живий, просторний текст</w:t>
      </w:r>
      <w:r w:rsidDel="00000000" w:rsidR="00000000" w:rsidRPr="00000000">
        <w:rPr>
          <w:sz w:val="20"/>
          <w:szCs w:val="20"/>
          <w:rtl w:val="0"/>
        </w:rPr>
        <w:t xml:space="preserve"> — довгі, але плавні речення без рубаних фраз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