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AC4F" w14:textId="77777777" w:rsidR="005940EA" w:rsidRDefault="005940EA" w:rsidP="00ED114C">
      <w:pPr>
        <w:jc w:val="center"/>
        <w:rPr>
          <w:rFonts w:asciiTheme="majorBidi" w:hAnsiTheme="majorBidi" w:cstheme="majorBidi"/>
          <w:b/>
          <w:bCs/>
          <w:sz w:val="36"/>
          <w:szCs w:val="36"/>
        </w:rPr>
      </w:pPr>
    </w:p>
    <w:p w14:paraId="3E81189C" w14:textId="77777777" w:rsidR="005940EA" w:rsidRDefault="005940EA" w:rsidP="00ED114C">
      <w:pPr>
        <w:jc w:val="center"/>
        <w:rPr>
          <w:rFonts w:asciiTheme="majorBidi" w:hAnsiTheme="majorBidi" w:cstheme="majorBidi"/>
          <w:b/>
          <w:bCs/>
          <w:sz w:val="36"/>
          <w:szCs w:val="36"/>
        </w:rPr>
      </w:pPr>
    </w:p>
    <w:p w14:paraId="7999DE34" w14:textId="77777777" w:rsidR="005940EA" w:rsidRDefault="005940EA" w:rsidP="00ED114C">
      <w:pPr>
        <w:jc w:val="center"/>
        <w:rPr>
          <w:rFonts w:asciiTheme="majorBidi" w:hAnsiTheme="majorBidi" w:cstheme="majorBidi"/>
          <w:b/>
          <w:bCs/>
          <w:sz w:val="36"/>
          <w:szCs w:val="36"/>
        </w:rPr>
      </w:pPr>
    </w:p>
    <w:p w14:paraId="1EEE6050" w14:textId="77777777" w:rsidR="005940EA" w:rsidRDefault="005940EA" w:rsidP="00ED114C">
      <w:pPr>
        <w:jc w:val="center"/>
        <w:rPr>
          <w:rFonts w:asciiTheme="majorBidi" w:hAnsiTheme="majorBidi" w:cstheme="majorBidi"/>
          <w:b/>
          <w:bCs/>
          <w:sz w:val="36"/>
          <w:szCs w:val="36"/>
        </w:rPr>
      </w:pPr>
    </w:p>
    <w:p w14:paraId="39F1946F" w14:textId="77777777" w:rsidR="00450802" w:rsidRPr="00E7229F" w:rsidRDefault="00450802" w:rsidP="00ED114C">
      <w:pPr>
        <w:jc w:val="center"/>
        <w:rPr>
          <w:rFonts w:asciiTheme="majorBidi" w:hAnsiTheme="majorBidi" w:cstheme="majorBidi"/>
          <w:b/>
          <w:bCs/>
          <w:sz w:val="36"/>
          <w:szCs w:val="36"/>
        </w:rPr>
      </w:pPr>
      <w:r w:rsidRPr="00E7229F">
        <w:rPr>
          <w:rFonts w:asciiTheme="majorBidi" w:hAnsiTheme="majorBidi" w:cstheme="majorBidi"/>
          <w:b/>
          <w:bCs/>
          <w:sz w:val="36"/>
          <w:szCs w:val="36"/>
        </w:rPr>
        <w:t xml:space="preserve">Quantitative Assessment of </w:t>
      </w:r>
      <w:r w:rsidR="00AF2119" w:rsidRPr="00E7229F">
        <w:rPr>
          <w:rFonts w:asciiTheme="majorBidi" w:hAnsiTheme="majorBidi" w:cstheme="majorBidi"/>
          <w:b/>
          <w:bCs/>
          <w:sz w:val="36"/>
          <w:szCs w:val="36"/>
        </w:rPr>
        <w:t xml:space="preserve">Fiscal Contraction </w:t>
      </w:r>
      <w:r w:rsidR="00ED114C">
        <w:rPr>
          <w:rFonts w:asciiTheme="majorBidi" w:hAnsiTheme="majorBidi" w:cstheme="majorBidi"/>
          <w:b/>
          <w:bCs/>
          <w:sz w:val="36"/>
          <w:szCs w:val="36"/>
        </w:rPr>
        <w:t>Shock</w:t>
      </w:r>
      <w:r w:rsidR="007E3A68">
        <w:rPr>
          <w:rFonts w:asciiTheme="majorBidi" w:hAnsiTheme="majorBidi" w:cstheme="majorBidi"/>
          <w:b/>
          <w:bCs/>
          <w:sz w:val="36"/>
          <w:szCs w:val="36"/>
        </w:rPr>
        <w:t>s</w:t>
      </w:r>
      <w:r w:rsidR="00ED114C">
        <w:rPr>
          <w:rFonts w:asciiTheme="majorBidi" w:hAnsiTheme="majorBidi" w:cstheme="majorBidi"/>
          <w:b/>
          <w:bCs/>
          <w:sz w:val="36"/>
          <w:szCs w:val="36"/>
        </w:rPr>
        <w:t xml:space="preserve"> </w:t>
      </w:r>
      <w:r w:rsidR="00AF2119" w:rsidRPr="00E7229F">
        <w:rPr>
          <w:rFonts w:asciiTheme="majorBidi" w:hAnsiTheme="majorBidi" w:cstheme="majorBidi"/>
          <w:b/>
          <w:bCs/>
          <w:sz w:val="36"/>
          <w:szCs w:val="36"/>
        </w:rPr>
        <w:t xml:space="preserve">using </w:t>
      </w:r>
      <w:r w:rsidR="00185B6D">
        <w:rPr>
          <w:rFonts w:asciiTheme="majorBidi" w:hAnsiTheme="majorBidi" w:cstheme="majorBidi"/>
          <w:b/>
          <w:bCs/>
          <w:sz w:val="36"/>
          <w:szCs w:val="36"/>
        </w:rPr>
        <w:t xml:space="preserve">the </w:t>
      </w:r>
      <w:r w:rsidR="00AF2119" w:rsidRPr="00E7229F">
        <w:rPr>
          <w:rFonts w:asciiTheme="majorBidi" w:hAnsiTheme="majorBidi" w:cstheme="majorBidi"/>
          <w:b/>
          <w:bCs/>
          <w:sz w:val="36"/>
          <w:szCs w:val="36"/>
        </w:rPr>
        <w:t>G-Cubed</w:t>
      </w:r>
      <w:r w:rsidR="00E14388" w:rsidRPr="00E7229F">
        <w:rPr>
          <w:rFonts w:asciiTheme="majorBidi" w:hAnsiTheme="majorBidi" w:cstheme="majorBidi"/>
          <w:b/>
          <w:bCs/>
          <w:sz w:val="36"/>
          <w:szCs w:val="36"/>
        </w:rPr>
        <w:t xml:space="preserve"> Model</w:t>
      </w:r>
    </w:p>
    <w:p w14:paraId="03D84915" w14:textId="77777777" w:rsidR="00E7229F" w:rsidRDefault="00E7229F" w:rsidP="00E7229F">
      <w:pPr>
        <w:rPr>
          <w:rFonts w:asciiTheme="majorBidi" w:hAnsiTheme="majorBidi" w:cstheme="majorBidi"/>
          <w:b/>
          <w:bCs/>
          <w:sz w:val="44"/>
          <w:szCs w:val="44"/>
        </w:rPr>
      </w:pPr>
    </w:p>
    <w:p w14:paraId="1B786D8B" w14:textId="77777777" w:rsidR="00E7229F" w:rsidRPr="00B83390" w:rsidRDefault="00E7229F" w:rsidP="00E7229F">
      <w:pPr>
        <w:jc w:val="center"/>
        <w:rPr>
          <w:rFonts w:asciiTheme="majorBidi" w:hAnsiTheme="majorBidi" w:cstheme="majorBidi"/>
          <w:b/>
          <w:bCs/>
          <w:i/>
          <w:iCs/>
          <w:sz w:val="32"/>
          <w:szCs w:val="32"/>
        </w:rPr>
      </w:pPr>
      <w:r w:rsidRPr="00B83390">
        <w:rPr>
          <w:rFonts w:asciiTheme="majorBidi" w:hAnsiTheme="majorBidi" w:cstheme="majorBidi"/>
          <w:b/>
          <w:bCs/>
          <w:i/>
          <w:iCs/>
          <w:sz w:val="32"/>
          <w:szCs w:val="32"/>
        </w:rPr>
        <w:t>Chi-Sheng Lo</w:t>
      </w:r>
    </w:p>
    <w:p w14:paraId="760F28D6" w14:textId="77777777" w:rsidR="00E7229F" w:rsidRPr="00B83390" w:rsidRDefault="00E7229F" w:rsidP="00E7229F">
      <w:pPr>
        <w:jc w:val="center"/>
        <w:rPr>
          <w:rFonts w:asciiTheme="majorBidi" w:hAnsiTheme="majorBidi" w:cstheme="majorBidi"/>
          <w:b/>
          <w:bCs/>
          <w:sz w:val="32"/>
          <w:szCs w:val="32"/>
        </w:rPr>
      </w:pPr>
      <w:r w:rsidRPr="00B83390">
        <w:rPr>
          <w:rFonts w:asciiTheme="majorBidi" w:hAnsiTheme="majorBidi" w:cstheme="majorBidi"/>
          <w:b/>
          <w:bCs/>
          <w:sz w:val="32"/>
          <w:szCs w:val="32"/>
        </w:rPr>
        <w:t>Australian National University</w:t>
      </w:r>
    </w:p>
    <w:p w14:paraId="3E9E948D" w14:textId="77777777" w:rsidR="00E7229F" w:rsidRPr="00AF2119" w:rsidRDefault="00E7229F" w:rsidP="00E7229F">
      <w:pPr>
        <w:jc w:val="center"/>
        <w:rPr>
          <w:rFonts w:asciiTheme="majorBidi" w:hAnsiTheme="majorBidi" w:cstheme="majorBidi"/>
          <w:b/>
          <w:bCs/>
          <w:sz w:val="44"/>
          <w:szCs w:val="44"/>
        </w:rPr>
      </w:pPr>
    </w:p>
    <w:p w14:paraId="64B5B3F8" w14:textId="77777777" w:rsidR="00450802" w:rsidRPr="006D60D6" w:rsidRDefault="008117AF" w:rsidP="00242770">
      <w:pPr>
        <w:jc w:val="both"/>
        <w:rPr>
          <w:rFonts w:asciiTheme="majorBidi" w:hAnsiTheme="majorBidi" w:cstheme="majorBidi"/>
          <w:b/>
          <w:bCs/>
          <w:sz w:val="24"/>
          <w:szCs w:val="24"/>
        </w:rPr>
      </w:pPr>
      <w:r w:rsidRPr="006D60D6">
        <w:rPr>
          <w:rFonts w:asciiTheme="majorBidi" w:hAnsiTheme="majorBidi" w:cstheme="majorBidi"/>
          <w:b/>
          <w:bCs/>
          <w:sz w:val="24"/>
          <w:szCs w:val="24"/>
        </w:rPr>
        <w:t>Abstract</w:t>
      </w:r>
    </w:p>
    <w:p w14:paraId="29C62DA0" w14:textId="77777777" w:rsidR="00AF2119" w:rsidRPr="00D00AA9" w:rsidRDefault="00D00AA9" w:rsidP="005917B3">
      <w:pPr>
        <w:spacing w:after="120" w:line="240" w:lineRule="auto"/>
        <w:jc w:val="both"/>
        <w:rPr>
          <w:rFonts w:ascii="Times New Roman" w:hAnsi="Times New Roman" w:cs="Times New Roman"/>
          <w:sz w:val="24"/>
          <w:szCs w:val="24"/>
        </w:rPr>
      </w:pPr>
      <w:r w:rsidRPr="00D00AA9">
        <w:rPr>
          <w:rFonts w:ascii="Times New Roman" w:hAnsi="Times New Roman" w:cs="Times New Roman"/>
          <w:sz w:val="24"/>
          <w:szCs w:val="24"/>
        </w:rPr>
        <w:t xml:space="preserve">This paper analyse the impact of fiscal contraction </w:t>
      </w:r>
      <w:r w:rsidR="00B91DDD">
        <w:rPr>
          <w:rFonts w:ascii="Times New Roman" w:hAnsi="Times New Roman" w:cs="Times New Roman"/>
          <w:sz w:val="24"/>
          <w:szCs w:val="24"/>
        </w:rPr>
        <w:t xml:space="preserve">policy shock on macroeconomy </w:t>
      </w:r>
      <w:r>
        <w:rPr>
          <w:rFonts w:ascii="Times New Roman" w:hAnsi="Times New Roman" w:cs="Times New Roman"/>
          <w:sz w:val="24"/>
          <w:szCs w:val="24"/>
        </w:rPr>
        <w:t>under three different scenarios by using G-Cubed model. The first two</w:t>
      </w:r>
      <w:r w:rsidR="00CA07C4">
        <w:rPr>
          <w:rFonts w:ascii="Times New Roman" w:hAnsi="Times New Roman" w:cs="Times New Roman"/>
          <w:sz w:val="24"/>
          <w:szCs w:val="24"/>
        </w:rPr>
        <w:t xml:space="preserve"> </w:t>
      </w:r>
      <w:r>
        <w:rPr>
          <w:rFonts w:ascii="Times New Roman" w:hAnsi="Times New Roman" w:cs="Times New Roman"/>
          <w:sz w:val="24"/>
          <w:szCs w:val="24"/>
        </w:rPr>
        <w:t xml:space="preserve">simulate permanent and phase-in policy in the US only and </w:t>
      </w:r>
      <w:r w:rsidR="00CA07C4">
        <w:rPr>
          <w:rFonts w:ascii="Times New Roman" w:hAnsi="Times New Roman" w:cs="Times New Roman"/>
          <w:sz w:val="24"/>
          <w:szCs w:val="24"/>
        </w:rPr>
        <w:t xml:space="preserve">finally, </w:t>
      </w:r>
      <w:r>
        <w:rPr>
          <w:rFonts w:ascii="Times New Roman" w:hAnsi="Times New Roman" w:cs="Times New Roman"/>
          <w:sz w:val="24"/>
          <w:szCs w:val="24"/>
        </w:rPr>
        <w:t xml:space="preserve">the third </w:t>
      </w:r>
      <w:r w:rsidR="00F7133F">
        <w:rPr>
          <w:rFonts w:ascii="Times New Roman" w:hAnsi="Times New Roman" w:cs="Times New Roman"/>
          <w:sz w:val="24"/>
          <w:szCs w:val="24"/>
        </w:rPr>
        <w:t>simulation is under assumption that</w:t>
      </w:r>
      <w:r>
        <w:rPr>
          <w:rFonts w:ascii="Times New Roman" w:hAnsi="Times New Roman" w:cs="Times New Roman"/>
          <w:sz w:val="24"/>
          <w:szCs w:val="24"/>
        </w:rPr>
        <w:t xml:space="preserve"> both the </w:t>
      </w:r>
      <w:r w:rsidR="00E95B76">
        <w:rPr>
          <w:rFonts w:ascii="Times New Roman" w:hAnsi="Times New Roman" w:cs="Times New Roman"/>
          <w:sz w:val="24"/>
          <w:szCs w:val="24"/>
        </w:rPr>
        <w:t xml:space="preserve">rest of </w:t>
      </w:r>
      <w:r>
        <w:rPr>
          <w:rFonts w:ascii="Times New Roman" w:hAnsi="Times New Roman" w:cs="Times New Roman"/>
          <w:sz w:val="24"/>
          <w:szCs w:val="24"/>
        </w:rPr>
        <w:t xml:space="preserve">world and the US implement permanent policy. </w:t>
      </w:r>
      <w:r w:rsidR="00414993">
        <w:rPr>
          <w:rFonts w:ascii="Times New Roman" w:hAnsi="Times New Roman" w:cs="Times New Roman"/>
          <w:sz w:val="24"/>
          <w:szCs w:val="24"/>
        </w:rPr>
        <w:t>F</w:t>
      </w:r>
      <w:r w:rsidR="00717687">
        <w:rPr>
          <w:rFonts w:ascii="Times New Roman" w:hAnsi="Times New Roman" w:cs="Times New Roman"/>
          <w:sz w:val="24"/>
          <w:szCs w:val="24"/>
        </w:rPr>
        <w:t>ollowing the shock of budget deficit reduction,</w:t>
      </w:r>
      <w:r w:rsidR="00CA07C4">
        <w:rPr>
          <w:rFonts w:ascii="Times New Roman" w:hAnsi="Times New Roman" w:cs="Times New Roman"/>
          <w:sz w:val="24"/>
          <w:szCs w:val="24"/>
        </w:rPr>
        <w:t xml:space="preserve"> phase-in policy will be more expansionary than other two </w:t>
      </w:r>
      <w:r w:rsidR="000C4919">
        <w:rPr>
          <w:rFonts w:ascii="Times New Roman" w:hAnsi="Times New Roman" w:cs="Times New Roman"/>
          <w:sz w:val="24"/>
          <w:szCs w:val="24"/>
        </w:rPr>
        <w:t xml:space="preserve">kinds of </w:t>
      </w:r>
      <w:r w:rsidR="00CA07C4">
        <w:rPr>
          <w:rFonts w:ascii="Times New Roman" w:hAnsi="Times New Roman" w:cs="Times New Roman"/>
          <w:sz w:val="24"/>
          <w:szCs w:val="24"/>
        </w:rPr>
        <w:t>permanent policies</w:t>
      </w:r>
      <w:r w:rsidR="00F84DE9">
        <w:rPr>
          <w:rFonts w:ascii="Times New Roman" w:hAnsi="Times New Roman" w:cs="Times New Roman"/>
          <w:sz w:val="24"/>
          <w:szCs w:val="24"/>
        </w:rPr>
        <w:t>.</w:t>
      </w:r>
      <w:r w:rsidR="00CA07C4">
        <w:rPr>
          <w:rFonts w:ascii="Times New Roman" w:hAnsi="Times New Roman" w:cs="Times New Roman"/>
          <w:sz w:val="24"/>
          <w:szCs w:val="24"/>
        </w:rPr>
        <w:t xml:space="preserve"> </w:t>
      </w:r>
      <w:r w:rsidR="00F84DE9">
        <w:rPr>
          <w:rFonts w:ascii="Times New Roman" w:hAnsi="Times New Roman" w:cs="Times New Roman"/>
          <w:sz w:val="24"/>
          <w:szCs w:val="24"/>
        </w:rPr>
        <w:t xml:space="preserve">There are two </w:t>
      </w:r>
      <w:r w:rsidR="00695D47">
        <w:rPr>
          <w:rFonts w:ascii="Times New Roman" w:hAnsi="Times New Roman" w:cs="Times New Roman"/>
          <w:sz w:val="24"/>
          <w:szCs w:val="24"/>
        </w:rPr>
        <w:t xml:space="preserve">main </w:t>
      </w:r>
      <w:r w:rsidR="00F84DE9">
        <w:rPr>
          <w:rFonts w:ascii="Times New Roman" w:hAnsi="Times New Roman" w:cs="Times New Roman"/>
          <w:sz w:val="24"/>
          <w:szCs w:val="24"/>
        </w:rPr>
        <w:t xml:space="preserve">reasons: </w:t>
      </w:r>
      <w:r w:rsidR="00695D47">
        <w:rPr>
          <w:rFonts w:ascii="Times New Roman" w:hAnsi="Times New Roman" w:cs="Times New Roman"/>
          <w:sz w:val="24"/>
          <w:szCs w:val="24"/>
        </w:rPr>
        <w:t>F</w:t>
      </w:r>
      <w:r w:rsidR="00F84DE9">
        <w:rPr>
          <w:rFonts w:ascii="Times New Roman" w:hAnsi="Times New Roman" w:cs="Times New Roman"/>
          <w:sz w:val="24"/>
          <w:szCs w:val="24"/>
        </w:rPr>
        <w:t>irst,</w:t>
      </w:r>
      <w:r w:rsidR="00695D47">
        <w:rPr>
          <w:rFonts w:ascii="Times New Roman" w:hAnsi="Times New Roman" w:cs="Times New Roman"/>
          <w:sz w:val="24"/>
          <w:szCs w:val="24"/>
        </w:rPr>
        <w:t xml:space="preserve"> reduction in spending outweighs increases in consumption under permanent policy. </w:t>
      </w:r>
      <w:r w:rsidR="00F84DE9">
        <w:rPr>
          <w:rFonts w:ascii="Times New Roman" w:hAnsi="Times New Roman" w:cs="Times New Roman"/>
          <w:sz w:val="24"/>
          <w:szCs w:val="24"/>
        </w:rPr>
        <w:t xml:space="preserve">Second, nominal rigidity of gradual increase in spending reduction will prevent GDP from falling. </w:t>
      </w:r>
      <w:r w:rsidR="00E31154">
        <w:rPr>
          <w:rFonts w:ascii="Times New Roman" w:hAnsi="Times New Roman" w:cs="Times New Roman"/>
          <w:sz w:val="24"/>
          <w:szCs w:val="24"/>
        </w:rPr>
        <w:t>Overall, fiscal c</w:t>
      </w:r>
      <w:r w:rsidR="00FA4B78">
        <w:rPr>
          <w:rFonts w:ascii="Times New Roman" w:hAnsi="Times New Roman" w:cs="Times New Roman"/>
          <w:sz w:val="24"/>
          <w:szCs w:val="24"/>
        </w:rPr>
        <w:t xml:space="preserve">ontraction policy </w:t>
      </w:r>
      <w:r w:rsidR="00470E1E">
        <w:rPr>
          <w:rFonts w:ascii="Times New Roman" w:hAnsi="Times New Roman" w:cs="Times New Roman"/>
          <w:sz w:val="24"/>
          <w:szCs w:val="24"/>
        </w:rPr>
        <w:t>is highly effective in</w:t>
      </w:r>
      <w:r w:rsidR="00E31154">
        <w:rPr>
          <w:rFonts w:ascii="Times New Roman" w:hAnsi="Times New Roman" w:cs="Times New Roman"/>
          <w:sz w:val="24"/>
          <w:szCs w:val="24"/>
        </w:rPr>
        <w:t xml:space="preserve"> raising consumption and export in the US. </w:t>
      </w:r>
      <w:r w:rsidR="00924C16">
        <w:rPr>
          <w:rFonts w:ascii="Times New Roman" w:hAnsi="Times New Roman" w:cs="Times New Roman"/>
          <w:sz w:val="24"/>
          <w:szCs w:val="24"/>
        </w:rPr>
        <w:t xml:space="preserve">The former </w:t>
      </w:r>
      <w:r w:rsidR="0022366A">
        <w:rPr>
          <w:rFonts w:ascii="Times New Roman" w:hAnsi="Times New Roman" w:cs="Times New Roman"/>
          <w:sz w:val="24"/>
          <w:szCs w:val="24"/>
        </w:rPr>
        <w:t>will be</w:t>
      </w:r>
      <w:r w:rsidR="00924C16">
        <w:rPr>
          <w:rFonts w:ascii="Times New Roman" w:hAnsi="Times New Roman" w:cs="Times New Roman"/>
          <w:sz w:val="24"/>
          <w:szCs w:val="24"/>
        </w:rPr>
        <w:t xml:space="preserve"> encouraged by expectation of lower future intere</w:t>
      </w:r>
      <w:r w:rsidR="001E530C">
        <w:rPr>
          <w:rFonts w:ascii="Times New Roman" w:hAnsi="Times New Roman" w:cs="Times New Roman"/>
          <w:sz w:val="24"/>
          <w:szCs w:val="24"/>
        </w:rPr>
        <w:t>st rate and higher future income</w:t>
      </w:r>
      <w:r w:rsidR="00E95B76">
        <w:rPr>
          <w:rFonts w:ascii="Times New Roman" w:hAnsi="Times New Roman" w:cs="Times New Roman"/>
          <w:sz w:val="24"/>
          <w:szCs w:val="24"/>
        </w:rPr>
        <w:t xml:space="preserve"> and the later </w:t>
      </w:r>
      <w:r w:rsidR="005917B3">
        <w:rPr>
          <w:rFonts w:ascii="Times New Roman" w:hAnsi="Times New Roman" w:cs="Times New Roman"/>
          <w:sz w:val="24"/>
          <w:szCs w:val="24"/>
        </w:rPr>
        <w:t>will be</w:t>
      </w:r>
      <w:r w:rsidR="00E95B76">
        <w:rPr>
          <w:rFonts w:ascii="Times New Roman" w:hAnsi="Times New Roman" w:cs="Times New Roman"/>
          <w:sz w:val="24"/>
          <w:szCs w:val="24"/>
        </w:rPr>
        <w:t xml:space="preserve"> boosted by depreciation in USD.</w:t>
      </w:r>
    </w:p>
    <w:p w14:paraId="32D1289F" w14:textId="77777777" w:rsidR="00AF2119" w:rsidRPr="00D00AA9" w:rsidRDefault="00AF2119" w:rsidP="00AF2119">
      <w:pPr>
        <w:spacing w:after="120" w:line="240" w:lineRule="auto"/>
        <w:jc w:val="both"/>
        <w:rPr>
          <w:rFonts w:ascii="Times New Roman" w:hAnsi="Times New Roman" w:cs="Times New Roman"/>
          <w:b/>
          <w:bCs/>
          <w:sz w:val="24"/>
          <w:szCs w:val="24"/>
        </w:rPr>
      </w:pPr>
    </w:p>
    <w:p w14:paraId="1D1018E8" w14:textId="77777777" w:rsidR="00AF2119" w:rsidRPr="00D00AA9" w:rsidRDefault="00AF2119" w:rsidP="00AF2119">
      <w:pPr>
        <w:spacing w:after="120" w:line="240" w:lineRule="auto"/>
        <w:jc w:val="both"/>
        <w:rPr>
          <w:rFonts w:ascii="Times New Roman" w:hAnsi="Times New Roman" w:cs="Times New Roman"/>
          <w:b/>
          <w:bCs/>
          <w:sz w:val="24"/>
          <w:szCs w:val="24"/>
        </w:rPr>
      </w:pPr>
    </w:p>
    <w:p w14:paraId="0D983827" w14:textId="77777777" w:rsidR="00AF2119" w:rsidRPr="00D00AA9" w:rsidRDefault="00AF2119" w:rsidP="00AF2119">
      <w:pPr>
        <w:spacing w:after="120" w:line="240" w:lineRule="auto"/>
        <w:jc w:val="both"/>
        <w:rPr>
          <w:rFonts w:ascii="Times New Roman" w:hAnsi="Times New Roman" w:cs="Times New Roman"/>
          <w:b/>
          <w:bCs/>
          <w:sz w:val="24"/>
          <w:szCs w:val="24"/>
        </w:rPr>
      </w:pPr>
    </w:p>
    <w:p w14:paraId="23AEE8AA" w14:textId="77777777" w:rsidR="00AF2119" w:rsidRPr="00D00AA9" w:rsidRDefault="00AF2119" w:rsidP="00AF2119">
      <w:pPr>
        <w:spacing w:after="120" w:line="240" w:lineRule="auto"/>
        <w:jc w:val="both"/>
        <w:rPr>
          <w:rFonts w:ascii="Times New Roman" w:hAnsi="Times New Roman" w:cs="Times New Roman"/>
          <w:b/>
          <w:bCs/>
          <w:sz w:val="24"/>
          <w:szCs w:val="24"/>
        </w:rPr>
      </w:pPr>
    </w:p>
    <w:p w14:paraId="082099F4" w14:textId="77777777" w:rsidR="00AF2119" w:rsidRPr="00D00AA9" w:rsidRDefault="00AF2119" w:rsidP="00AF2119">
      <w:pPr>
        <w:spacing w:after="120" w:line="240" w:lineRule="auto"/>
        <w:jc w:val="both"/>
        <w:rPr>
          <w:rFonts w:ascii="Times New Roman" w:hAnsi="Times New Roman" w:cs="Times New Roman"/>
          <w:b/>
          <w:bCs/>
          <w:sz w:val="24"/>
          <w:szCs w:val="24"/>
        </w:rPr>
      </w:pPr>
    </w:p>
    <w:p w14:paraId="65BED119" w14:textId="77777777" w:rsidR="00AF2119" w:rsidRPr="005B24B4" w:rsidRDefault="00AF2119" w:rsidP="00B54638">
      <w:pPr>
        <w:spacing w:after="120" w:line="240" w:lineRule="auto"/>
        <w:jc w:val="both"/>
        <w:rPr>
          <w:rFonts w:ascii="Times New Roman" w:hAnsi="Times New Roman" w:cs="Times New Roman"/>
          <w:sz w:val="24"/>
          <w:szCs w:val="24"/>
        </w:rPr>
      </w:pPr>
      <w:r w:rsidRPr="005B24B4">
        <w:rPr>
          <w:rFonts w:ascii="Times New Roman" w:hAnsi="Times New Roman" w:cs="Times New Roman"/>
          <w:b/>
          <w:bCs/>
          <w:sz w:val="24"/>
          <w:szCs w:val="24"/>
        </w:rPr>
        <w:t xml:space="preserve">JEL Classifications: </w:t>
      </w:r>
      <w:r w:rsidRPr="005B24B4">
        <w:rPr>
          <w:rFonts w:ascii="Times New Roman" w:hAnsi="Times New Roman" w:cs="Times New Roman"/>
          <w:sz w:val="24"/>
          <w:szCs w:val="24"/>
        </w:rPr>
        <w:t>C</w:t>
      </w:r>
      <w:r w:rsidR="00B54638" w:rsidRPr="005B24B4">
        <w:rPr>
          <w:rFonts w:ascii="Times New Roman" w:hAnsi="Times New Roman" w:cs="Times New Roman"/>
          <w:sz w:val="24"/>
          <w:szCs w:val="24"/>
        </w:rPr>
        <w:t>50</w:t>
      </w:r>
      <w:r w:rsidRPr="005B24B4">
        <w:rPr>
          <w:rFonts w:ascii="Times New Roman" w:hAnsi="Times New Roman" w:cs="Times New Roman"/>
          <w:sz w:val="24"/>
          <w:szCs w:val="24"/>
        </w:rPr>
        <w:t xml:space="preserve">, </w:t>
      </w:r>
      <w:r w:rsidR="00B54638" w:rsidRPr="005B24B4">
        <w:rPr>
          <w:rFonts w:ascii="Times New Roman" w:hAnsi="Times New Roman" w:cs="Times New Roman"/>
          <w:sz w:val="24"/>
          <w:szCs w:val="24"/>
        </w:rPr>
        <w:t>D58, H30</w:t>
      </w:r>
    </w:p>
    <w:p w14:paraId="64689368" w14:textId="77777777" w:rsidR="00AF2119" w:rsidRPr="001949A0" w:rsidRDefault="00AF2119" w:rsidP="008823CE">
      <w:pPr>
        <w:spacing w:after="360" w:line="240" w:lineRule="auto"/>
        <w:jc w:val="both"/>
        <w:rPr>
          <w:rFonts w:ascii="Times New Roman" w:hAnsi="Times New Roman" w:cs="Times New Roman"/>
          <w:sz w:val="24"/>
          <w:szCs w:val="24"/>
        </w:rPr>
      </w:pPr>
      <w:r>
        <w:rPr>
          <w:rFonts w:ascii="Times New Roman" w:hAnsi="Times New Roman" w:cs="Times New Roman"/>
          <w:b/>
          <w:bCs/>
          <w:sz w:val="24"/>
          <w:szCs w:val="24"/>
          <w:lang w:val="en-US"/>
        </w:rPr>
        <w:t>Key</w:t>
      </w:r>
      <w:r w:rsidRPr="005F6C0F">
        <w:rPr>
          <w:rFonts w:ascii="Times New Roman" w:hAnsi="Times New Roman" w:cs="Times New Roman"/>
          <w:b/>
          <w:bCs/>
          <w:sz w:val="24"/>
          <w:szCs w:val="24"/>
          <w:lang w:val="en-US"/>
        </w:rPr>
        <w:t>words</w:t>
      </w:r>
      <w:r>
        <w:rPr>
          <w:rFonts w:ascii="Times New Roman" w:hAnsi="Times New Roman" w:cs="Times New Roman"/>
          <w:sz w:val="24"/>
          <w:szCs w:val="24"/>
          <w:lang w:val="en-US"/>
        </w:rPr>
        <w:t xml:space="preserve">: </w:t>
      </w:r>
      <w:r w:rsidR="00852AC8">
        <w:rPr>
          <w:rFonts w:ascii="Times New Roman" w:hAnsi="Times New Roman" w:cs="Times New Roman"/>
          <w:sz w:val="24"/>
          <w:szCs w:val="24"/>
          <w:lang w:val="en-US"/>
        </w:rPr>
        <w:t>G-Cubed M</w:t>
      </w:r>
      <w:r>
        <w:rPr>
          <w:rFonts w:ascii="Times New Roman" w:hAnsi="Times New Roman" w:cs="Times New Roman"/>
          <w:sz w:val="24"/>
          <w:szCs w:val="24"/>
          <w:lang w:val="en-US"/>
        </w:rPr>
        <w:t>odel, Fiscal Policy Shocks</w:t>
      </w:r>
    </w:p>
    <w:p w14:paraId="1AEBE921" w14:textId="77777777" w:rsidR="00450802" w:rsidRPr="00AF2119" w:rsidRDefault="00450802" w:rsidP="00242770">
      <w:pPr>
        <w:jc w:val="both"/>
        <w:rPr>
          <w:rFonts w:asciiTheme="majorBidi" w:hAnsiTheme="majorBidi" w:cstheme="majorBidi"/>
          <w:b/>
          <w:bCs/>
          <w:sz w:val="24"/>
          <w:szCs w:val="24"/>
          <w:lang w:val="en-US"/>
        </w:rPr>
      </w:pPr>
    </w:p>
    <w:p w14:paraId="675B637D" w14:textId="77777777" w:rsidR="00450802" w:rsidRDefault="00450802" w:rsidP="00242770">
      <w:pPr>
        <w:jc w:val="both"/>
        <w:rPr>
          <w:rFonts w:asciiTheme="majorBidi" w:hAnsiTheme="majorBidi" w:cstheme="majorBidi"/>
          <w:b/>
          <w:bCs/>
          <w:sz w:val="24"/>
          <w:szCs w:val="24"/>
        </w:rPr>
      </w:pPr>
    </w:p>
    <w:p w14:paraId="38049DB5" w14:textId="77777777" w:rsidR="00450802" w:rsidRDefault="00450802" w:rsidP="00242770">
      <w:pPr>
        <w:jc w:val="both"/>
        <w:rPr>
          <w:rFonts w:asciiTheme="majorBidi" w:hAnsiTheme="majorBidi" w:cstheme="majorBidi"/>
          <w:b/>
          <w:bCs/>
          <w:sz w:val="24"/>
          <w:szCs w:val="24"/>
        </w:rPr>
      </w:pPr>
    </w:p>
    <w:p w14:paraId="242306CA" w14:textId="77777777" w:rsidR="004664B7" w:rsidRDefault="0074324B" w:rsidP="00242770">
      <w:pPr>
        <w:jc w:val="both"/>
        <w:rPr>
          <w:rFonts w:asciiTheme="majorBidi" w:hAnsiTheme="majorBidi" w:cstheme="majorBidi"/>
          <w:b/>
          <w:bCs/>
          <w:sz w:val="24"/>
          <w:szCs w:val="24"/>
        </w:rPr>
      </w:pPr>
      <w:r w:rsidRPr="0074324B">
        <w:rPr>
          <w:rFonts w:asciiTheme="majorBidi" w:hAnsiTheme="majorBidi" w:cstheme="majorBidi"/>
          <w:b/>
          <w:bCs/>
          <w:sz w:val="24"/>
          <w:szCs w:val="24"/>
        </w:rPr>
        <w:lastRenderedPageBreak/>
        <w:t>Introduction</w:t>
      </w:r>
    </w:p>
    <w:p w14:paraId="6EC84BA5" w14:textId="77777777" w:rsidR="002B0A74" w:rsidRDefault="0027568F" w:rsidP="00FF6968">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the past three decades, </w:t>
      </w:r>
      <w:r w:rsidR="00947720">
        <w:rPr>
          <w:rFonts w:asciiTheme="majorBidi" w:hAnsiTheme="majorBidi" w:cstheme="majorBidi"/>
          <w:sz w:val="24"/>
          <w:szCs w:val="24"/>
        </w:rPr>
        <w:t xml:space="preserve">the </w:t>
      </w:r>
      <w:r>
        <w:rPr>
          <w:rFonts w:asciiTheme="majorBidi" w:hAnsiTheme="majorBidi" w:cstheme="majorBidi"/>
          <w:sz w:val="24"/>
          <w:szCs w:val="24"/>
        </w:rPr>
        <w:t>US has run large budget deficit</w:t>
      </w:r>
      <w:r w:rsidR="00A939AE">
        <w:rPr>
          <w:rFonts w:asciiTheme="majorBidi" w:hAnsiTheme="majorBidi" w:cstheme="majorBidi"/>
          <w:sz w:val="24"/>
          <w:szCs w:val="24"/>
        </w:rPr>
        <w:t xml:space="preserve"> which happens when government spending exceeds revenue</w:t>
      </w:r>
      <w:r>
        <w:rPr>
          <w:rFonts w:asciiTheme="majorBidi" w:hAnsiTheme="majorBidi" w:cstheme="majorBidi"/>
          <w:sz w:val="24"/>
          <w:szCs w:val="24"/>
        </w:rPr>
        <w:t xml:space="preserve">. Until recently, the US fiscal deficit has greatly reduced especially since the </w:t>
      </w:r>
      <w:r w:rsidR="004F1552">
        <w:rPr>
          <w:rFonts w:asciiTheme="majorBidi" w:hAnsiTheme="majorBidi" w:cstheme="majorBidi"/>
          <w:sz w:val="24"/>
          <w:szCs w:val="24"/>
        </w:rPr>
        <w:t xml:space="preserve">collapse </w:t>
      </w:r>
      <w:r>
        <w:rPr>
          <w:rFonts w:asciiTheme="majorBidi" w:hAnsiTheme="majorBidi" w:cstheme="majorBidi"/>
          <w:sz w:val="24"/>
          <w:szCs w:val="24"/>
        </w:rPr>
        <w:t xml:space="preserve">of global financial crisis in 2008. From fiscal year 2009 to 2015, the percentage of fiscal deficit in GDP has reduced from 12.1 percent to 2.5 percent. During the same period, the US GDP had also bottomed out since the third quarter of 2009.  </w:t>
      </w:r>
      <w:r w:rsidR="00010411">
        <w:rPr>
          <w:rFonts w:asciiTheme="majorBidi" w:hAnsiTheme="majorBidi" w:cstheme="majorBidi"/>
          <w:sz w:val="24"/>
          <w:szCs w:val="24"/>
        </w:rPr>
        <w:t xml:space="preserve">Although Bohn (1998) discovers that US </w:t>
      </w:r>
      <w:r w:rsidR="00010411" w:rsidRPr="00BB1CA7">
        <w:rPr>
          <w:rFonts w:asciiTheme="majorBidi" w:hAnsiTheme="majorBidi" w:cstheme="majorBidi"/>
          <w:sz w:val="24"/>
          <w:szCs w:val="24"/>
        </w:rPr>
        <w:t>government has historically responded to increases in the debt-GDP ratio by</w:t>
      </w:r>
      <w:r w:rsidR="00010411">
        <w:rPr>
          <w:rFonts w:asciiTheme="majorBidi" w:hAnsiTheme="majorBidi" w:cstheme="majorBidi"/>
          <w:sz w:val="24"/>
          <w:szCs w:val="24"/>
        </w:rPr>
        <w:t xml:space="preserve"> reducing primary deficit which is arrived by deducting interest payment by fiscal deficit (p. 962),</w:t>
      </w:r>
      <w:r w:rsidR="00FF6968">
        <w:rPr>
          <w:rFonts w:asciiTheme="majorBidi" w:hAnsiTheme="majorBidi" w:cstheme="majorBidi"/>
          <w:sz w:val="24"/>
          <w:szCs w:val="24"/>
        </w:rPr>
        <w:t xml:space="preserve"> the US government</w:t>
      </w:r>
      <w:r w:rsidR="00010411">
        <w:rPr>
          <w:rFonts w:asciiTheme="majorBidi" w:hAnsiTheme="majorBidi" w:cstheme="majorBidi"/>
          <w:sz w:val="24"/>
          <w:szCs w:val="24"/>
        </w:rPr>
        <w:t xml:space="preserve"> </w:t>
      </w:r>
      <w:r w:rsidR="00662126">
        <w:rPr>
          <w:rFonts w:asciiTheme="majorBidi" w:hAnsiTheme="majorBidi" w:cstheme="majorBidi"/>
          <w:sz w:val="24"/>
          <w:szCs w:val="24"/>
        </w:rPr>
        <w:t>debt-GDP ratio</w:t>
      </w:r>
      <w:r w:rsidR="00CA32E9">
        <w:rPr>
          <w:rFonts w:asciiTheme="majorBidi" w:hAnsiTheme="majorBidi" w:cstheme="majorBidi"/>
          <w:sz w:val="24"/>
          <w:szCs w:val="24"/>
        </w:rPr>
        <w:t xml:space="preserve"> has continued to rise</w:t>
      </w:r>
      <w:r w:rsidR="00FF6968">
        <w:rPr>
          <w:rFonts w:asciiTheme="majorBidi" w:hAnsiTheme="majorBidi" w:cstheme="majorBidi"/>
          <w:sz w:val="24"/>
          <w:szCs w:val="24"/>
        </w:rPr>
        <w:t xml:space="preserve"> in the last nine years</w:t>
      </w:r>
      <w:r w:rsidR="00662126">
        <w:rPr>
          <w:rFonts w:asciiTheme="majorBidi" w:hAnsiTheme="majorBidi" w:cstheme="majorBidi"/>
          <w:sz w:val="24"/>
          <w:szCs w:val="24"/>
        </w:rPr>
        <w:t xml:space="preserve">. </w:t>
      </w:r>
      <w:r w:rsidR="00CA32E9">
        <w:rPr>
          <w:rFonts w:asciiTheme="majorBidi" w:hAnsiTheme="majorBidi" w:cstheme="majorBidi"/>
          <w:sz w:val="24"/>
          <w:szCs w:val="24"/>
        </w:rPr>
        <w:t xml:space="preserve">As of </w:t>
      </w:r>
      <w:r w:rsidR="00662126">
        <w:rPr>
          <w:rFonts w:asciiTheme="majorBidi" w:hAnsiTheme="majorBidi" w:cstheme="majorBidi"/>
          <w:sz w:val="24"/>
          <w:szCs w:val="24"/>
        </w:rPr>
        <w:t>2015, the latest figure is at 104.17 percent versus the historical average at 61.94 percent</w:t>
      </w:r>
      <w:r w:rsidR="00651B10">
        <w:rPr>
          <w:rFonts w:asciiTheme="majorBidi" w:hAnsiTheme="majorBidi" w:cstheme="majorBidi"/>
          <w:sz w:val="24"/>
          <w:szCs w:val="24"/>
        </w:rPr>
        <w:t xml:space="preserve"> (US Bureau of Public Debt)</w:t>
      </w:r>
      <w:r w:rsidR="00662126">
        <w:rPr>
          <w:rFonts w:asciiTheme="majorBidi" w:hAnsiTheme="majorBidi" w:cstheme="majorBidi"/>
          <w:sz w:val="24"/>
          <w:szCs w:val="24"/>
        </w:rPr>
        <w:t xml:space="preserve">. </w:t>
      </w:r>
    </w:p>
    <w:p w14:paraId="150AF819" w14:textId="77777777" w:rsidR="002A4CEE" w:rsidRDefault="00D96669" w:rsidP="007125F6">
      <w:pPr>
        <w:spacing w:line="360" w:lineRule="auto"/>
        <w:jc w:val="both"/>
        <w:rPr>
          <w:rFonts w:asciiTheme="majorBidi" w:eastAsia="新細明體" w:hAnsiTheme="majorBidi" w:cstheme="majorBidi"/>
          <w:bCs/>
          <w:sz w:val="24"/>
          <w:szCs w:val="24"/>
          <w:lang w:eastAsia="zh-TW"/>
        </w:rPr>
      </w:pPr>
      <w:r>
        <w:rPr>
          <w:rFonts w:asciiTheme="majorBidi" w:hAnsiTheme="majorBidi" w:cstheme="majorBidi"/>
          <w:sz w:val="24"/>
          <w:szCs w:val="24"/>
        </w:rPr>
        <w:t xml:space="preserve">Other </w:t>
      </w:r>
      <w:r w:rsidR="0027568F">
        <w:rPr>
          <w:rFonts w:asciiTheme="majorBidi" w:hAnsiTheme="majorBidi" w:cstheme="majorBidi"/>
          <w:sz w:val="24"/>
          <w:szCs w:val="24"/>
        </w:rPr>
        <w:t>researche</w:t>
      </w:r>
      <w:r w:rsidR="00E959D4">
        <w:rPr>
          <w:rFonts w:asciiTheme="majorBidi" w:hAnsiTheme="majorBidi" w:cstheme="majorBidi"/>
          <w:sz w:val="24"/>
          <w:szCs w:val="24"/>
        </w:rPr>
        <w:t>r</w:t>
      </w:r>
      <w:r w:rsidR="0027568F">
        <w:rPr>
          <w:rFonts w:asciiTheme="majorBidi" w:hAnsiTheme="majorBidi" w:cstheme="majorBidi"/>
          <w:sz w:val="24"/>
          <w:szCs w:val="24"/>
        </w:rPr>
        <w:t xml:space="preserve">s have </w:t>
      </w:r>
      <w:r w:rsidR="00651B10">
        <w:rPr>
          <w:rFonts w:asciiTheme="majorBidi" w:hAnsiTheme="majorBidi" w:cstheme="majorBidi"/>
          <w:sz w:val="24"/>
          <w:szCs w:val="24"/>
        </w:rPr>
        <w:t>concentrated on</w:t>
      </w:r>
      <w:r w:rsidR="0027568F">
        <w:rPr>
          <w:rFonts w:asciiTheme="majorBidi" w:hAnsiTheme="majorBidi" w:cstheme="majorBidi"/>
          <w:sz w:val="24"/>
          <w:szCs w:val="24"/>
        </w:rPr>
        <w:t xml:space="preserve"> the effectiveness of </w:t>
      </w:r>
      <w:r w:rsidR="007B17BF">
        <w:rPr>
          <w:rFonts w:asciiTheme="majorBidi" w:hAnsiTheme="majorBidi" w:cstheme="majorBidi"/>
          <w:sz w:val="24"/>
          <w:szCs w:val="24"/>
        </w:rPr>
        <w:t>fiscal policy</w:t>
      </w:r>
      <w:r w:rsidR="0027568F">
        <w:rPr>
          <w:rFonts w:asciiTheme="majorBidi" w:hAnsiTheme="majorBidi" w:cstheme="majorBidi"/>
          <w:sz w:val="24"/>
          <w:szCs w:val="24"/>
        </w:rPr>
        <w:t>. For instance, the theory of Ricardian equivalence is known to against the thought of using tax cut or spending increase as means of boosting aggregate demand for goods and services.</w:t>
      </w:r>
      <w:r w:rsidR="00B81B39">
        <w:rPr>
          <w:rFonts w:asciiTheme="majorBidi" w:hAnsiTheme="majorBidi" w:cstheme="majorBidi"/>
          <w:sz w:val="24"/>
          <w:szCs w:val="24"/>
        </w:rPr>
        <w:t xml:space="preserve"> Barro (1974) concludes that fiscal effects involving changes in tax and debt finance for a given amount of public expenditure have no influence on aggregate demand and interest rate (p. 1116). </w:t>
      </w:r>
      <w:r w:rsidR="002A4CEE">
        <w:rPr>
          <w:rFonts w:asciiTheme="majorBidi" w:hAnsiTheme="majorBidi" w:cstheme="majorBidi"/>
          <w:sz w:val="24"/>
          <w:szCs w:val="24"/>
        </w:rPr>
        <w:t xml:space="preserve">There is also theory on the role of expectation in which initial fiscal deficit reduction could be the signal for further reduction and raises the overall demand for goods and services. Romer (2015) argues that </w:t>
      </w:r>
      <w:r w:rsidR="00567E19">
        <w:rPr>
          <w:rFonts w:asciiTheme="majorBidi" w:hAnsiTheme="majorBidi" w:cstheme="majorBidi"/>
          <w:sz w:val="24"/>
          <w:szCs w:val="24"/>
        </w:rPr>
        <w:t>fiscal contraction</w:t>
      </w:r>
      <w:r w:rsidR="002A4CEE">
        <w:rPr>
          <w:rFonts w:asciiTheme="majorBidi" w:hAnsiTheme="majorBidi" w:cstheme="majorBidi"/>
          <w:sz w:val="24"/>
          <w:szCs w:val="24"/>
        </w:rPr>
        <w:t xml:space="preserve"> </w:t>
      </w:r>
      <w:r w:rsidR="00567E19">
        <w:rPr>
          <w:rFonts w:asciiTheme="majorBidi" w:hAnsiTheme="majorBidi" w:cstheme="majorBidi"/>
          <w:sz w:val="24"/>
          <w:szCs w:val="24"/>
        </w:rPr>
        <w:t xml:space="preserve">can be expansionary </w:t>
      </w:r>
      <w:r w:rsidR="007125F6">
        <w:rPr>
          <w:rFonts w:asciiTheme="majorBidi" w:hAnsiTheme="majorBidi" w:cstheme="majorBidi"/>
          <w:sz w:val="24"/>
          <w:szCs w:val="24"/>
        </w:rPr>
        <w:t>through two channels</w:t>
      </w:r>
      <w:r w:rsidR="002A4CEE">
        <w:rPr>
          <w:rFonts w:asciiTheme="majorBidi" w:hAnsiTheme="majorBidi" w:cstheme="majorBidi"/>
          <w:sz w:val="24"/>
          <w:szCs w:val="24"/>
        </w:rPr>
        <w:t xml:space="preserve">. The first channel is expectation of lower interest rate as a result of spending cut. The second channel is through the supply side in which people expects higher future income because of lower future taxes </w:t>
      </w:r>
      <w:r w:rsidR="002A4CEE">
        <w:rPr>
          <w:rFonts w:ascii="新細明體" w:eastAsia="新細明體" w:hAnsi="新細明體" w:cstheme="majorBidi" w:hint="eastAsia"/>
          <w:sz w:val="24"/>
          <w:szCs w:val="24"/>
          <w:lang w:eastAsia="zh-TW"/>
        </w:rPr>
        <w:t>(</w:t>
      </w:r>
      <w:r w:rsidR="002A4CEE">
        <w:rPr>
          <w:rFonts w:asciiTheme="majorBidi" w:hAnsiTheme="majorBidi" w:cstheme="majorBidi" w:hint="eastAsia"/>
          <w:sz w:val="24"/>
          <w:szCs w:val="24"/>
        </w:rPr>
        <w:t xml:space="preserve">p. </w:t>
      </w:r>
      <w:r w:rsidR="002A4CEE">
        <w:rPr>
          <w:rFonts w:asciiTheme="majorBidi" w:hAnsiTheme="majorBidi" w:cstheme="majorBidi"/>
          <w:sz w:val="24"/>
          <w:szCs w:val="24"/>
        </w:rPr>
        <w:t xml:space="preserve">604).  </w:t>
      </w:r>
      <w:r w:rsidR="002A4CEE">
        <w:rPr>
          <w:rFonts w:asciiTheme="majorBidi" w:eastAsia="新細明體" w:hAnsiTheme="majorBidi" w:cstheme="majorBidi" w:hint="eastAsia"/>
          <w:sz w:val="24"/>
          <w:szCs w:val="24"/>
          <w:lang w:eastAsia="zh-TW"/>
        </w:rPr>
        <w:t xml:space="preserve">In </w:t>
      </w:r>
      <w:r w:rsidR="002A4CEE">
        <w:rPr>
          <w:rFonts w:asciiTheme="majorBidi" w:eastAsia="新細明體" w:hAnsiTheme="majorBidi" w:cstheme="majorBidi"/>
          <w:sz w:val="24"/>
          <w:szCs w:val="24"/>
          <w:lang w:eastAsia="zh-TW"/>
        </w:rPr>
        <w:t>addition</w:t>
      </w:r>
      <w:r w:rsidR="002A4CEE">
        <w:rPr>
          <w:rFonts w:asciiTheme="majorBidi" w:eastAsia="新細明體" w:hAnsiTheme="majorBidi" w:cstheme="majorBidi" w:hint="eastAsia"/>
          <w:sz w:val="24"/>
          <w:szCs w:val="24"/>
          <w:lang w:eastAsia="zh-TW"/>
        </w:rPr>
        <w:t xml:space="preserve">, </w:t>
      </w:r>
      <w:r w:rsidR="002A4CEE">
        <w:rPr>
          <w:rFonts w:asciiTheme="majorBidi" w:eastAsia="新細明體" w:hAnsiTheme="majorBidi" w:cstheme="majorBidi"/>
          <w:sz w:val="24"/>
          <w:szCs w:val="24"/>
          <w:lang w:eastAsia="zh-TW"/>
        </w:rPr>
        <w:t xml:space="preserve">the shock of fiscal policy on consumption and investment may not be in the same direction. </w:t>
      </w:r>
      <w:r w:rsidR="00BC0EC5">
        <w:rPr>
          <w:rFonts w:asciiTheme="majorBidi" w:hAnsiTheme="majorBidi" w:cstheme="majorBidi"/>
          <w:sz w:val="24"/>
          <w:szCs w:val="24"/>
        </w:rPr>
        <w:t xml:space="preserve">Blanchard and </w:t>
      </w:r>
      <w:proofErr w:type="spellStart"/>
      <w:r w:rsidR="00BC0EC5">
        <w:rPr>
          <w:rFonts w:asciiTheme="majorBidi" w:hAnsiTheme="majorBidi" w:cstheme="majorBidi"/>
          <w:sz w:val="24"/>
          <w:szCs w:val="24"/>
        </w:rPr>
        <w:t>Perotti</w:t>
      </w:r>
      <w:proofErr w:type="spellEnd"/>
      <w:r w:rsidR="00BC0EC5">
        <w:rPr>
          <w:rFonts w:asciiTheme="majorBidi" w:hAnsiTheme="majorBidi" w:cstheme="majorBidi"/>
          <w:sz w:val="24"/>
          <w:szCs w:val="24"/>
        </w:rPr>
        <w:t xml:space="preserve"> (2002</w:t>
      </w:r>
      <w:r w:rsidR="002A4CEE">
        <w:rPr>
          <w:rFonts w:asciiTheme="majorBidi" w:hAnsiTheme="majorBidi" w:cstheme="majorBidi"/>
          <w:sz w:val="24"/>
          <w:szCs w:val="24"/>
        </w:rPr>
        <w:t xml:space="preserve">) </w:t>
      </w:r>
      <w:r w:rsidR="002A4CEE">
        <w:rPr>
          <w:rFonts w:asciiTheme="majorBidi" w:eastAsia="新細明體" w:hAnsiTheme="majorBidi" w:cstheme="majorBidi" w:hint="eastAsia"/>
          <w:sz w:val="24"/>
          <w:szCs w:val="24"/>
          <w:lang w:eastAsia="zh-TW"/>
        </w:rPr>
        <w:t>conclude</w:t>
      </w:r>
      <w:r w:rsidR="002A4CEE">
        <w:rPr>
          <w:rFonts w:asciiTheme="majorBidi" w:hAnsiTheme="majorBidi" w:cstheme="majorBidi"/>
          <w:sz w:val="24"/>
          <w:szCs w:val="24"/>
        </w:rPr>
        <w:t xml:space="preserve"> that </w:t>
      </w:r>
      <w:r w:rsidR="002A4CEE">
        <w:rPr>
          <w:rFonts w:asciiTheme="majorBidi" w:eastAsia="新細明體" w:hAnsiTheme="majorBidi" w:cstheme="majorBidi"/>
          <w:sz w:val="24"/>
          <w:szCs w:val="24"/>
          <w:lang w:eastAsia="zh-TW"/>
        </w:rPr>
        <w:t>either</w:t>
      </w:r>
      <w:r w:rsidR="002A4CEE">
        <w:rPr>
          <w:rFonts w:asciiTheme="majorBidi" w:eastAsia="新細明體" w:hAnsiTheme="majorBidi" w:cstheme="majorBidi" w:hint="eastAsia"/>
          <w:sz w:val="24"/>
          <w:szCs w:val="24"/>
          <w:lang w:eastAsia="zh-TW"/>
        </w:rPr>
        <w:t xml:space="preserve"> tax increase</w:t>
      </w:r>
      <w:r w:rsidR="002A4CEE">
        <w:rPr>
          <w:rFonts w:asciiTheme="majorBidi" w:eastAsia="新細明體" w:hAnsiTheme="majorBidi" w:cstheme="majorBidi"/>
          <w:sz w:val="24"/>
          <w:szCs w:val="24"/>
          <w:lang w:eastAsia="zh-TW"/>
        </w:rPr>
        <w:t xml:space="preserve"> or</w:t>
      </w:r>
      <w:r w:rsidR="002A4CEE">
        <w:rPr>
          <w:rFonts w:asciiTheme="majorBidi" w:eastAsia="新細明體" w:hAnsiTheme="majorBidi" w:cstheme="majorBidi" w:hint="eastAsia"/>
          <w:sz w:val="24"/>
          <w:szCs w:val="24"/>
          <w:lang w:eastAsia="zh-TW"/>
        </w:rPr>
        <w:t xml:space="preserve"> </w:t>
      </w:r>
      <w:r w:rsidR="002A4CEE">
        <w:rPr>
          <w:rFonts w:asciiTheme="majorBidi" w:hAnsiTheme="majorBidi" w:cstheme="majorBidi"/>
          <w:sz w:val="24"/>
          <w:szCs w:val="24"/>
        </w:rPr>
        <w:t>government spending increase can crowd out investment</w:t>
      </w:r>
      <w:r w:rsidR="002A4CEE">
        <w:rPr>
          <w:rFonts w:asciiTheme="majorBidi" w:eastAsia="新細明體" w:hAnsiTheme="majorBidi" w:cstheme="majorBidi" w:hint="eastAsia"/>
          <w:sz w:val="24"/>
          <w:szCs w:val="24"/>
          <w:lang w:eastAsia="zh-TW"/>
        </w:rPr>
        <w:t xml:space="preserve">; however, consumption will still increase </w:t>
      </w:r>
      <w:r w:rsidR="002A4CEE">
        <w:rPr>
          <w:rFonts w:asciiTheme="majorBidi" w:hAnsiTheme="majorBidi" w:cstheme="majorBidi"/>
          <w:sz w:val="24"/>
          <w:szCs w:val="24"/>
        </w:rPr>
        <w:t xml:space="preserve">(p. </w:t>
      </w:r>
      <w:r w:rsidR="005D528E">
        <w:rPr>
          <w:rFonts w:asciiTheme="majorBidi" w:hAnsiTheme="majorBidi" w:cstheme="majorBidi"/>
          <w:sz w:val="24"/>
          <w:szCs w:val="24"/>
        </w:rPr>
        <w:t>1364</w:t>
      </w:r>
      <w:r w:rsidR="002A4CEE">
        <w:rPr>
          <w:rFonts w:asciiTheme="majorBidi" w:hAnsiTheme="majorBidi" w:cstheme="majorBidi"/>
          <w:sz w:val="24"/>
          <w:szCs w:val="24"/>
        </w:rPr>
        <w:t xml:space="preserve">). Also, the outcome from either changing tax or spending alone could be different. </w:t>
      </w:r>
      <w:proofErr w:type="spellStart"/>
      <w:r w:rsidR="002A4CEE">
        <w:rPr>
          <w:rFonts w:asciiTheme="majorBidi" w:hAnsiTheme="majorBidi" w:cstheme="majorBidi"/>
          <w:sz w:val="24"/>
          <w:szCs w:val="24"/>
        </w:rPr>
        <w:t>Bertola</w:t>
      </w:r>
      <w:proofErr w:type="spellEnd"/>
      <w:r w:rsidR="002A4CEE">
        <w:rPr>
          <w:rFonts w:asciiTheme="majorBidi" w:hAnsiTheme="majorBidi" w:cstheme="majorBidi"/>
          <w:sz w:val="24"/>
          <w:szCs w:val="24"/>
        </w:rPr>
        <w:t xml:space="preserve"> and Drazen (1991) state that fiscal deficit reduction by tax increase while spending remains constant will result in output decrease and consumption unchanged a</w:t>
      </w:r>
      <w:r w:rsidR="009E5E43">
        <w:rPr>
          <w:rFonts w:asciiTheme="majorBidi" w:hAnsiTheme="majorBidi" w:cstheme="majorBidi"/>
          <w:sz w:val="24"/>
          <w:szCs w:val="24"/>
        </w:rPr>
        <w:t xml:space="preserve">t most but </w:t>
      </w:r>
      <w:r w:rsidR="002A4CEE">
        <w:rPr>
          <w:rFonts w:asciiTheme="majorBidi" w:hAnsiTheme="majorBidi" w:cstheme="majorBidi"/>
          <w:sz w:val="24"/>
          <w:szCs w:val="24"/>
        </w:rPr>
        <w:t xml:space="preserve">fiscal deficit reduction by spending cut will boost consumption (p. 15). </w:t>
      </w:r>
    </w:p>
    <w:p w14:paraId="60DC93FF" w14:textId="77777777" w:rsidR="001A76AE" w:rsidRDefault="00352A4F" w:rsidP="00F30FE9">
      <w:pPr>
        <w:spacing w:line="360" w:lineRule="auto"/>
        <w:jc w:val="both"/>
        <w:rPr>
          <w:rFonts w:asciiTheme="majorBidi" w:eastAsia="新細明體" w:hAnsiTheme="majorBidi" w:cstheme="majorBidi"/>
          <w:bCs/>
          <w:sz w:val="24"/>
          <w:szCs w:val="24"/>
          <w:lang w:eastAsia="zh-TW"/>
        </w:rPr>
      </w:pPr>
      <w:r>
        <w:rPr>
          <w:rFonts w:asciiTheme="majorBidi" w:hAnsiTheme="majorBidi" w:cstheme="majorBidi"/>
          <w:sz w:val="24"/>
          <w:szCs w:val="24"/>
        </w:rPr>
        <w:t xml:space="preserve">On the other hand, </w:t>
      </w:r>
      <w:proofErr w:type="spellStart"/>
      <w:r w:rsidR="00B81B39">
        <w:rPr>
          <w:rFonts w:asciiTheme="majorBidi" w:hAnsiTheme="majorBidi" w:cstheme="majorBidi"/>
          <w:sz w:val="24"/>
          <w:szCs w:val="24"/>
        </w:rPr>
        <w:t>Bernheim</w:t>
      </w:r>
      <w:proofErr w:type="spellEnd"/>
      <w:r w:rsidR="00B81B39">
        <w:rPr>
          <w:rFonts w:asciiTheme="majorBidi" w:hAnsiTheme="majorBidi" w:cstheme="majorBidi"/>
          <w:sz w:val="24"/>
          <w:szCs w:val="24"/>
        </w:rPr>
        <w:t xml:space="preserve"> (1987) </w:t>
      </w:r>
      <w:r>
        <w:rPr>
          <w:rFonts w:asciiTheme="majorBidi" w:hAnsiTheme="majorBidi" w:cstheme="majorBidi"/>
          <w:sz w:val="24"/>
          <w:szCs w:val="24"/>
        </w:rPr>
        <w:t>uses cross country data and found that results are strongly anti-</w:t>
      </w:r>
      <w:r w:rsidRPr="00352A4F">
        <w:rPr>
          <w:rFonts w:asciiTheme="majorBidi" w:hAnsiTheme="majorBidi" w:cstheme="majorBidi"/>
          <w:sz w:val="24"/>
          <w:szCs w:val="24"/>
        </w:rPr>
        <w:t>Ricard</w:t>
      </w:r>
      <w:r w:rsidR="008F6643">
        <w:rPr>
          <w:rFonts w:asciiTheme="majorBidi" w:hAnsiTheme="majorBidi" w:cstheme="majorBidi"/>
          <w:sz w:val="24"/>
          <w:szCs w:val="24"/>
        </w:rPr>
        <w:t xml:space="preserve">ian in which </w:t>
      </w:r>
      <w:r>
        <w:rPr>
          <w:rFonts w:asciiTheme="majorBidi" w:hAnsiTheme="majorBidi" w:cstheme="majorBidi"/>
          <w:sz w:val="24"/>
          <w:szCs w:val="24"/>
        </w:rPr>
        <w:t xml:space="preserve">government deficit </w:t>
      </w:r>
      <w:r w:rsidR="008F6643">
        <w:rPr>
          <w:rFonts w:asciiTheme="majorBidi" w:hAnsiTheme="majorBidi" w:cstheme="majorBidi"/>
          <w:sz w:val="24"/>
          <w:szCs w:val="24"/>
        </w:rPr>
        <w:t>can stimulate</w:t>
      </w:r>
      <w:r w:rsidR="00D96669">
        <w:rPr>
          <w:rFonts w:asciiTheme="majorBidi" w:hAnsiTheme="majorBidi" w:cstheme="majorBidi"/>
          <w:sz w:val="24"/>
          <w:szCs w:val="24"/>
        </w:rPr>
        <w:t xml:space="preserve"> private </w:t>
      </w:r>
      <w:r>
        <w:rPr>
          <w:rFonts w:asciiTheme="majorBidi" w:hAnsiTheme="majorBidi" w:cstheme="majorBidi"/>
          <w:sz w:val="24"/>
          <w:szCs w:val="24"/>
        </w:rPr>
        <w:t xml:space="preserve">consumption (p. 73). </w:t>
      </w:r>
      <w:proofErr w:type="spellStart"/>
      <w:r w:rsidR="007E43CB" w:rsidRPr="007E43CB">
        <w:rPr>
          <w:rFonts w:asciiTheme="majorBidi" w:hAnsiTheme="majorBidi" w:cstheme="majorBidi"/>
          <w:color w:val="0D0D0D" w:themeColor="text1" w:themeTint="F2"/>
          <w:sz w:val="24"/>
          <w:szCs w:val="24"/>
        </w:rPr>
        <w:t>Fatas</w:t>
      </w:r>
      <w:proofErr w:type="spellEnd"/>
      <w:r w:rsidR="007E43CB" w:rsidRPr="007E43CB">
        <w:rPr>
          <w:rFonts w:asciiTheme="majorBidi" w:hAnsiTheme="majorBidi" w:cstheme="majorBidi"/>
          <w:color w:val="0D0D0D" w:themeColor="text1" w:themeTint="F2"/>
          <w:sz w:val="24"/>
          <w:szCs w:val="24"/>
        </w:rPr>
        <w:t xml:space="preserve"> and </w:t>
      </w:r>
      <w:proofErr w:type="spellStart"/>
      <w:r w:rsidR="007E43CB" w:rsidRPr="007E43CB">
        <w:rPr>
          <w:rFonts w:asciiTheme="majorBidi" w:hAnsiTheme="majorBidi" w:cstheme="majorBidi"/>
          <w:color w:val="0D0D0D" w:themeColor="text1" w:themeTint="F2"/>
          <w:sz w:val="24"/>
          <w:szCs w:val="24"/>
        </w:rPr>
        <w:t>Mihov</w:t>
      </w:r>
      <w:proofErr w:type="spellEnd"/>
      <w:r w:rsidR="007E43CB" w:rsidRPr="007E43CB">
        <w:rPr>
          <w:rFonts w:asciiTheme="majorBidi" w:hAnsiTheme="majorBidi" w:cstheme="majorBidi"/>
          <w:color w:val="0D0D0D" w:themeColor="text1" w:themeTint="F2"/>
          <w:sz w:val="24"/>
          <w:szCs w:val="24"/>
        </w:rPr>
        <w:t xml:space="preserve"> (1998) argue that increases in government spending are expansionary which means that output will increase driven by private consumption but growth in </w:t>
      </w:r>
      <w:r w:rsidR="007E43CB" w:rsidRPr="007E43CB">
        <w:rPr>
          <w:rFonts w:asciiTheme="majorBidi" w:hAnsiTheme="majorBidi" w:cstheme="majorBidi"/>
          <w:color w:val="0D0D0D" w:themeColor="text1" w:themeTint="F2"/>
          <w:sz w:val="24"/>
          <w:szCs w:val="24"/>
        </w:rPr>
        <w:lastRenderedPageBreak/>
        <w:t>investment does not react significantly to increase in government spending (p. 18).</w:t>
      </w:r>
      <w:r w:rsidR="007E43CB">
        <w:rPr>
          <w:rFonts w:asciiTheme="majorBidi" w:eastAsia="新細明體" w:hAnsiTheme="majorBidi" w:cstheme="majorBidi"/>
          <w:bCs/>
          <w:color w:val="0D0D0D" w:themeColor="text1" w:themeTint="F2"/>
          <w:sz w:val="24"/>
          <w:szCs w:val="24"/>
          <w:lang w:eastAsia="zh-TW"/>
        </w:rPr>
        <w:t xml:space="preserve"> </w:t>
      </w:r>
      <w:r w:rsidR="00101BCB">
        <w:rPr>
          <w:rFonts w:asciiTheme="majorBidi" w:hAnsiTheme="majorBidi" w:cstheme="majorBidi"/>
          <w:sz w:val="24"/>
          <w:szCs w:val="24"/>
        </w:rPr>
        <w:t xml:space="preserve">Moreover, </w:t>
      </w:r>
      <w:r w:rsidR="00101BCB">
        <w:rPr>
          <w:rFonts w:asciiTheme="majorBidi" w:eastAsia="新細明體" w:hAnsiTheme="majorBidi" w:cstheme="majorBidi"/>
          <w:bCs/>
          <w:sz w:val="24"/>
          <w:szCs w:val="24"/>
          <w:lang w:eastAsia="zh-TW"/>
        </w:rPr>
        <w:t>u</w:t>
      </w:r>
      <w:r w:rsidR="00721811">
        <w:rPr>
          <w:rFonts w:asciiTheme="majorBidi" w:eastAsia="新細明體" w:hAnsiTheme="majorBidi" w:cstheme="majorBidi" w:hint="eastAsia"/>
          <w:bCs/>
          <w:sz w:val="24"/>
          <w:szCs w:val="24"/>
          <w:lang w:eastAsia="zh-TW"/>
        </w:rPr>
        <w:t xml:space="preserve">nlike the theory of Keynesian who believes that budget reduction will increase unemployment and drag GDP, </w:t>
      </w:r>
      <w:r w:rsidR="00270BB4">
        <w:rPr>
          <w:rFonts w:asciiTheme="majorBidi" w:eastAsia="新細明體" w:hAnsiTheme="majorBidi" w:cstheme="majorBidi" w:hint="eastAsia"/>
          <w:bCs/>
          <w:sz w:val="24"/>
          <w:szCs w:val="24"/>
          <w:lang w:eastAsia="zh-TW"/>
        </w:rPr>
        <w:t>McDermott and</w:t>
      </w:r>
      <w:r w:rsidR="00270BB4">
        <w:rPr>
          <w:rFonts w:asciiTheme="majorBidi" w:eastAsia="新細明體" w:hAnsiTheme="majorBidi" w:cstheme="majorBidi"/>
          <w:bCs/>
          <w:sz w:val="24"/>
          <w:szCs w:val="24"/>
          <w:lang w:eastAsia="zh-TW"/>
        </w:rPr>
        <w:t xml:space="preserve"> </w:t>
      </w:r>
      <w:r w:rsidR="00721811">
        <w:rPr>
          <w:rFonts w:asciiTheme="majorBidi" w:eastAsia="新細明體" w:hAnsiTheme="majorBidi" w:cstheme="majorBidi" w:hint="eastAsia"/>
          <w:bCs/>
          <w:sz w:val="24"/>
          <w:szCs w:val="24"/>
          <w:lang w:eastAsia="zh-TW"/>
        </w:rPr>
        <w:t xml:space="preserve">Wescott (1996) </w:t>
      </w:r>
      <w:r w:rsidR="00A14CA3">
        <w:rPr>
          <w:rFonts w:asciiTheme="majorBidi" w:eastAsia="新細明體" w:hAnsiTheme="majorBidi" w:cstheme="majorBidi"/>
          <w:bCs/>
          <w:sz w:val="24"/>
          <w:szCs w:val="24"/>
          <w:lang w:eastAsia="zh-TW"/>
        </w:rPr>
        <w:t>note</w:t>
      </w:r>
      <w:r w:rsidR="00721811">
        <w:rPr>
          <w:rFonts w:asciiTheme="majorBidi" w:eastAsia="新細明體" w:hAnsiTheme="majorBidi" w:cstheme="majorBidi" w:hint="eastAsia"/>
          <w:bCs/>
          <w:sz w:val="24"/>
          <w:szCs w:val="24"/>
          <w:lang w:eastAsia="zh-TW"/>
        </w:rPr>
        <w:t xml:space="preserve"> that Neoclassical model has </w:t>
      </w:r>
      <w:r w:rsidR="00721811">
        <w:rPr>
          <w:rFonts w:asciiTheme="majorBidi" w:eastAsia="新細明體" w:hAnsiTheme="majorBidi" w:cstheme="majorBidi"/>
          <w:bCs/>
          <w:sz w:val="24"/>
          <w:szCs w:val="24"/>
          <w:lang w:eastAsia="zh-TW"/>
        </w:rPr>
        <w:t>argued</w:t>
      </w:r>
      <w:r w:rsidR="00721811">
        <w:rPr>
          <w:rFonts w:asciiTheme="majorBidi" w:eastAsia="新細明體" w:hAnsiTheme="majorBidi" w:cstheme="majorBidi" w:hint="eastAsia"/>
          <w:bCs/>
          <w:sz w:val="24"/>
          <w:szCs w:val="24"/>
          <w:lang w:eastAsia="zh-TW"/>
        </w:rPr>
        <w:t xml:space="preserve"> reduction in budget deficit might lead to lower interest rate, depreciation in home currency, and positive expectation effect on aggregate demand.  </w:t>
      </w:r>
      <w:r w:rsidR="002D2991">
        <w:rPr>
          <w:rFonts w:asciiTheme="majorBidi" w:eastAsia="新細明體" w:hAnsiTheme="majorBidi" w:cstheme="majorBidi"/>
          <w:bCs/>
          <w:sz w:val="24"/>
          <w:szCs w:val="24"/>
          <w:lang w:eastAsia="zh-TW"/>
        </w:rPr>
        <w:t>Also,</w:t>
      </w:r>
      <w:r w:rsidR="00721811">
        <w:rPr>
          <w:rFonts w:asciiTheme="majorBidi" w:eastAsia="新細明體" w:hAnsiTheme="majorBidi" w:cstheme="majorBidi" w:hint="eastAsia"/>
          <w:bCs/>
          <w:sz w:val="24"/>
          <w:szCs w:val="24"/>
          <w:lang w:eastAsia="zh-TW"/>
        </w:rPr>
        <w:t xml:space="preserve"> the public will feel eased on the default risk of the government (p.2). </w:t>
      </w:r>
    </w:p>
    <w:p w14:paraId="09269154" w14:textId="77777777" w:rsidR="00947720" w:rsidRPr="007E43CB" w:rsidRDefault="00947720" w:rsidP="007E43CB">
      <w:pPr>
        <w:spacing w:line="360" w:lineRule="auto"/>
        <w:jc w:val="both"/>
        <w:rPr>
          <w:rFonts w:asciiTheme="majorBidi" w:eastAsia="新細明體" w:hAnsiTheme="majorBidi" w:cstheme="majorBidi"/>
          <w:bCs/>
          <w:color w:val="0D0D0D" w:themeColor="text1" w:themeTint="F2"/>
          <w:sz w:val="24"/>
          <w:szCs w:val="24"/>
          <w:lang w:eastAsia="zh-TW"/>
        </w:rPr>
      </w:pPr>
      <w:r>
        <w:rPr>
          <w:rFonts w:asciiTheme="majorBidi" w:eastAsia="新細明體" w:hAnsiTheme="majorBidi" w:cstheme="majorBidi"/>
          <w:bCs/>
          <w:sz w:val="24"/>
          <w:szCs w:val="24"/>
          <w:lang w:eastAsia="zh-TW"/>
        </w:rPr>
        <w:t xml:space="preserve">For international trade, </w:t>
      </w:r>
      <w:r>
        <w:rPr>
          <w:rFonts w:asciiTheme="majorBidi" w:hAnsiTheme="majorBidi" w:cstheme="majorBidi"/>
          <w:color w:val="000000" w:themeColor="text1"/>
          <w:sz w:val="24"/>
          <w:szCs w:val="24"/>
        </w:rPr>
        <w:t xml:space="preserve">Erceg, </w:t>
      </w:r>
      <w:r w:rsidR="00BE6A08">
        <w:rPr>
          <w:rFonts w:asciiTheme="majorBidi" w:hAnsiTheme="majorBidi" w:cstheme="majorBidi"/>
          <w:color w:val="000000" w:themeColor="text1"/>
          <w:sz w:val="24"/>
          <w:szCs w:val="24"/>
        </w:rPr>
        <w:t xml:space="preserve">et al (2005) concludes that </w:t>
      </w:r>
      <w:r w:rsidRPr="00947720">
        <w:rPr>
          <w:rFonts w:asciiTheme="majorBidi" w:hAnsiTheme="majorBidi" w:cstheme="majorBidi"/>
          <w:color w:val="000000" w:themeColor="text1"/>
          <w:sz w:val="24"/>
          <w:szCs w:val="24"/>
        </w:rPr>
        <w:t>US fiscal deficit has little effect on its trade balance regardless of whether either increase in spending or reduction in tax (p.32).</w:t>
      </w:r>
      <w:r>
        <w:rPr>
          <w:rFonts w:asciiTheme="majorBidi" w:hAnsiTheme="majorBidi" w:cstheme="majorBidi"/>
          <w:color w:val="000000" w:themeColor="text1"/>
          <w:sz w:val="24"/>
          <w:szCs w:val="24"/>
        </w:rPr>
        <w:t xml:space="preserve"> </w:t>
      </w:r>
      <w:proofErr w:type="spellStart"/>
      <w:r w:rsidRPr="00991F2D">
        <w:rPr>
          <w:rFonts w:asciiTheme="majorBidi" w:eastAsia="新細明體" w:hAnsiTheme="majorBidi" w:cstheme="majorBidi"/>
          <w:sz w:val="24"/>
          <w:szCs w:val="24"/>
          <w:lang w:eastAsia="zh-TW"/>
        </w:rPr>
        <w:t>Bussi`ere</w:t>
      </w:r>
      <w:proofErr w:type="spellEnd"/>
      <w:r w:rsidRPr="00991F2D">
        <w:rPr>
          <w:rFonts w:asciiTheme="majorBidi" w:eastAsia="新細明體" w:hAnsiTheme="majorBidi" w:cstheme="majorBidi"/>
          <w:sz w:val="24"/>
          <w:szCs w:val="24"/>
          <w:lang w:eastAsia="zh-TW"/>
        </w:rPr>
        <w:t xml:space="preserve">, et al (2005) mention that reduction in the US budget deficit may not lower current account deficit and argue that government deficit has no causal relationship with current account (p. 22). </w:t>
      </w:r>
      <w:r w:rsidR="0001093F">
        <w:rPr>
          <w:rFonts w:asciiTheme="majorBidi" w:eastAsia="新細明體" w:hAnsiTheme="majorBidi" w:cstheme="majorBidi"/>
          <w:sz w:val="24"/>
          <w:szCs w:val="24"/>
          <w:lang w:eastAsia="zh-TW"/>
        </w:rPr>
        <w:t>Furthermore</w:t>
      </w:r>
      <w:r w:rsidR="00B264C3">
        <w:rPr>
          <w:rFonts w:asciiTheme="majorBidi" w:eastAsia="新細明體" w:hAnsiTheme="majorBidi" w:cstheme="majorBidi"/>
          <w:sz w:val="24"/>
          <w:szCs w:val="24"/>
          <w:lang w:eastAsia="zh-TW"/>
        </w:rPr>
        <w:t xml:space="preserve">, </w:t>
      </w:r>
      <w:r w:rsidR="00302C70">
        <w:rPr>
          <w:rFonts w:asciiTheme="majorBidi" w:eastAsia="新細明體" w:hAnsiTheme="majorBidi" w:cstheme="majorBidi"/>
          <w:sz w:val="24"/>
          <w:szCs w:val="24"/>
          <w:lang w:eastAsia="zh-TW"/>
        </w:rPr>
        <w:t>when financial markets</w:t>
      </w:r>
      <w:r w:rsidR="0001093F">
        <w:rPr>
          <w:rFonts w:asciiTheme="majorBidi" w:eastAsia="新細明體" w:hAnsiTheme="majorBidi" w:cstheme="majorBidi"/>
          <w:sz w:val="24"/>
          <w:szCs w:val="24"/>
          <w:lang w:eastAsia="zh-TW"/>
        </w:rPr>
        <w:t xml:space="preserve"> cast doubt about the fiscal policy</w:t>
      </w:r>
      <w:r w:rsidR="00E50464">
        <w:rPr>
          <w:rFonts w:asciiTheme="majorBidi" w:eastAsia="新細明體" w:hAnsiTheme="majorBidi" w:cstheme="majorBidi"/>
          <w:sz w:val="24"/>
          <w:szCs w:val="24"/>
          <w:lang w:eastAsia="zh-TW"/>
        </w:rPr>
        <w:t>, they will</w:t>
      </w:r>
      <w:r w:rsidR="00302C70">
        <w:rPr>
          <w:rFonts w:asciiTheme="majorBidi" w:eastAsia="新細明體" w:hAnsiTheme="majorBidi" w:cstheme="majorBidi"/>
          <w:sz w:val="24"/>
          <w:szCs w:val="24"/>
          <w:lang w:eastAsia="zh-TW"/>
        </w:rPr>
        <w:t xml:space="preserve"> increase risk premia </w:t>
      </w:r>
      <w:r w:rsidR="00E50464">
        <w:rPr>
          <w:rFonts w:asciiTheme="majorBidi" w:eastAsia="新細明體" w:hAnsiTheme="majorBidi" w:cstheme="majorBidi"/>
          <w:sz w:val="24"/>
          <w:szCs w:val="24"/>
          <w:lang w:eastAsia="zh-TW"/>
        </w:rPr>
        <w:t xml:space="preserve">in response to </w:t>
      </w:r>
      <w:r w:rsidR="000C0F7D">
        <w:rPr>
          <w:rFonts w:asciiTheme="majorBidi" w:eastAsia="新細明體" w:hAnsiTheme="majorBidi" w:cstheme="majorBidi"/>
          <w:sz w:val="24"/>
          <w:szCs w:val="24"/>
          <w:lang w:eastAsia="zh-TW"/>
        </w:rPr>
        <w:t>higher</w:t>
      </w:r>
      <w:r w:rsidR="00E50464">
        <w:rPr>
          <w:rFonts w:asciiTheme="majorBidi" w:eastAsia="新細明體" w:hAnsiTheme="majorBidi" w:cstheme="majorBidi"/>
          <w:sz w:val="24"/>
          <w:szCs w:val="24"/>
          <w:lang w:eastAsia="zh-TW"/>
        </w:rPr>
        <w:t xml:space="preserve"> possibility of</w:t>
      </w:r>
      <w:r w:rsidR="00302C70">
        <w:rPr>
          <w:rFonts w:asciiTheme="majorBidi" w:eastAsia="新細明體" w:hAnsiTheme="majorBidi" w:cstheme="majorBidi"/>
          <w:sz w:val="24"/>
          <w:szCs w:val="24"/>
          <w:lang w:eastAsia="zh-TW"/>
        </w:rPr>
        <w:t xml:space="preserve"> government debt default.</w:t>
      </w:r>
      <w:r w:rsidR="0001093F">
        <w:rPr>
          <w:rFonts w:asciiTheme="majorBidi" w:eastAsia="新細明體" w:hAnsiTheme="majorBidi" w:cstheme="majorBidi"/>
          <w:sz w:val="24"/>
          <w:szCs w:val="24"/>
          <w:lang w:eastAsia="zh-TW"/>
        </w:rPr>
        <w:t xml:space="preserve"> </w:t>
      </w:r>
      <w:proofErr w:type="spellStart"/>
      <w:r w:rsidR="00B264C3">
        <w:rPr>
          <w:rFonts w:asciiTheme="majorBidi" w:hAnsiTheme="majorBidi" w:cstheme="majorBidi"/>
          <w:sz w:val="24"/>
          <w:szCs w:val="24"/>
        </w:rPr>
        <w:t>Mckibbin</w:t>
      </w:r>
      <w:proofErr w:type="spellEnd"/>
      <w:r w:rsidR="00B264C3">
        <w:rPr>
          <w:rFonts w:asciiTheme="majorBidi" w:hAnsiTheme="majorBidi" w:cstheme="majorBidi"/>
          <w:sz w:val="24"/>
          <w:szCs w:val="24"/>
        </w:rPr>
        <w:t xml:space="preserve"> and </w:t>
      </w:r>
      <w:proofErr w:type="spellStart"/>
      <w:r w:rsidR="00B264C3">
        <w:rPr>
          <w:rFonts w:asciiTheme="majorBidi" w:hAnsiTheme="majorBidi" w:cstheme="majorBidi"/>
          <w:sz w:val="24"/>
          <w:szCs w:val="24"/>
        </w:rPr>
        <w:t>Stoeckel</w:t>
      </w:r>
      <w:proofErr w:type="spellEnd"/>
      <w:r w:rsidR="00B264C3">
        <w:rPr>
          <w:rFonts w:asciiTheme="majorBidi" w:hAnsiTheme="majorBidi" w:cstheme="majorBidi"/>
          <w:sz w:val="24"/>
          <w:szCs w:val="24"/>
        </w:rPr>
        <w:t xml:space="preserve"> (201</w:t>
      </w:r>
      <w:r w:rsidR="002E5A86">
        <w:rPr>
          <w:rFonts w:asciiTheme="majorBidi" w:hAnsiTheme="majorBidi" w:cstheme="majorBidi"/>
          <w:sz w:val="24"/>
          <w:szCs w:val="24"/>
        </w:rPr>
        <w:t>2</w:t>
      </w:r>
      <w:r w:rsidR="00B264C3">
        <w:rPr>
          <w:rFonts w:asciiTheme="majorBidi" w:hAnsiTheme="majorBidi" w:cstheme="majorBidi"/>
          <w:sz w:val="24"/>
          <w:szCs w:val="24"/>
        </w:rPr>
        <w:t xml:space="preserve">) mention that the primary reason government cuts fiscal deficit and reduce debt is that financial market begin to </w:t>
      </w:r>
      <w:r w:rsidR="0001093F">
        <w:rPr>
          <w:rFonts w:asciiTheme="majorBidi" w:hAnsiTheme="majorBidi" w:cstheme="majorBidi"/>
          <w:sz w:val="24"/>
          <w:szCs w:val="24"/>
        </w:rPr>
        <w:t xml:space="preserve">question </w:t>
      </w:r>
      <w:r w:rsidR="00B264C3">
        <w:rPr>
          <w:rFonts w:asciiTheme="majorBidi" w:hAnsiTheme="majorBidi" w:cstheme="majorBidi"/>
          <w:sz w:val="24"/>
          <w:szCs w:val="24"/>
        </w:rPr>
        <w:t xml:space="preserve">the sustainability of fiscal policy (p. 14). </w:t>
      </w:r>
      <w:r w:rsidR="006A1D13">
        <w:rPr>
          <w:rFonts w:asciiTheme="majorBidi" w:hAnsiTheme="majorBidi" w:cstheme="majorBidi"/>
          <w:sz w:val="24"/>
          <w:szCs w:val="24"/>
        </w:rPr>
        <w:t xml:space="preserve">Others have studied the relation between budget deficit and bond yield. </w:t>
      </w:r>
      <w:r w:rsidR="00234055">
        <w:rPr>
          <w:rFonts w:asciiTheme="majorBidi" w:hAnsiTheme="majorBidi" w:cstheme="majorBidi"/>
          <w:sz w:val="24"/>
          <w:szCs w:val="24"/>
        </w:rPr>
        <w:t xml:space="preserve">Laubach (2007) discovers that forward </w:t>
      </w:r>
      <w:r w:rsidR="0066735A">
        <w:rPr>
          <w:rFonts w:asciiTheme="majorBidi" w:hAnsiTheme="majorBidi" w:cstheme="majorBidi"/>
          <w:sz w:val="24"/>
          <w:szCs w:val="24"/>
        </w:rPr>
        <w:t xml:space="preserve">yield </w:t>
      </w:r>
      <w:r w:rsidR="00234055">
        <w:rPr>
          <w:rFonts w:asciiTheme="majorBidi" w:hAnsiTheme="majorBidi" w:cstheme="majorBidi"/>
          <w:sz w:val="24"/>
          <w:szCs w:val="24"/>
        </w:rPr>
        <w:t xml:space="preserve">rate </w:t>
      </w:r>
      <w:r w:rsidR="0066735A">
        <w:rPr>
          <w:rFonts w:asciiTheme="majorBidi" w:hAnsiTheme="majorBidi" w:cstheme="majorBidi"/>
          <w:sz w:val="24"/>
          <w:szCs w:val="24"/>
        </w:rPr>
        <w:t xml:space="preserve">with five </w:t>
      </w:r>
      <w:r w:rsidR="00234055" w:rsidRPr="00234055">
        <w:rPr>
          <w:rFonts w:asciiTheme="majorBidi" w:hAnsiTheme="majorBidi" w:cstheme="majorBidi"/>
          <w:sz w:val="24"/>
          <w:szCs w:val="24"/>
        </w:rPr>
        <w:t>and</w:t>
      </w:r>
      <w:r w:rsidR="0066735A">
        <w:rPr>
          <w:rFonts w:asciiTheme="majorBidi" w:hAnsiTheme="majorBidi" w:cstheme="majorBidi"/>
          <w:sz w:val="24"/>
          <w:szCs w:val="24"/>
        </w:rPr>
        <w:t xml:space="preserve"> more years into the future will rise</w:t>
      </w:r>
      <w:r w:rsidR="00234055" w:rsidRPr="00234055">
        <w:rPr>
          <w:rFonts w:asciiTheme="majorBidi" w:hAnsiTheme="majorBidi" w:cstheme="majorBidi"/>
          <w:sz w:val="24"/>
          <w:szCs w:val="24"/>
        </w:rPr>
        <w:t xml:space="preserve"> by 20 to 30 basis points in response to a percentage point increase in the projected deficit-to-GDP ratio</w:t>
      </w:r>
      <w:r w:rsidR="00234055">
        <w:rPr>
          <w:rFonts w:asciiTheme="majorBidi" w:hAnsiTheme="majorBidi" w:cstheme="majorBidi"/>
          <w:sz w:val="24"/>
          <w:szCs w:val="24"/>
        </w:rPr>
        <w:t xml:space="preserve"> (p. 18).</w:t>
      </w:r>
    </w:p>
    <w:p w14:paraId="27A20860" w14:textId="77777777" w:rsidR="009E2730" w:rsidRPr="00480CEB" w:rsidRDefault="009E2730" w:rsidP="004557E7">
      <w:pPr>
        <w:spacing w:line="360" w:lineRule="auto"/>
        <w:jc w:val="both"/>
        <w:rPr>
          <w:rFonts w:asciiTheme="majorBidi" w:hAnsiTheme="majorBidi" w:cstheme="majorBidi"/>
          <w:sz w:val="24"/>
          <w:szCs w:val="24"/>
          <w:lang w:val="en-US"/>
        </w:rPr>
      </w:pPr>
      <w:r w:rsidRPr="00D75EF4">
        <w:rPr>
          <w:rFonts w:asciiTheme="majorBidi" w:hAnsiTheme="majorBidi" w:cstheme="majorBidi"/>
          <w:sz w:val="24"/>
          <w:szCs w:val="24"/>
        </w:rPr>
        <w:t xml:space="preserve">In </w:t>
      </w:r>
      <w:r w:rsidR="00ED3434">
        <w:rPr>
          <w:rFonts w:asciiTheme="majorBidi" w:hAnsiTheme="majorBidi" w:cstheme="majorBidi"/>
          <w:sz w:val="24"/>
          <w:szCs w:val="24"/>
        </w:rPr>
        <w:t>this paper</w:t>
      </w:r>
      <w:r w:rsidRPr="00D75EF4">
        <w:rPr>
          <w:rFonts w:asciiTheme="majorBidi" w:hAnsiTheme="majorBidi" w:cstheme="majorBidi"/>
          <w:sz w:val="24"/>
          <w:szCs w:val="24"/>
        </w:rPr>
        <w:t xml:space="preserve">, I am </w:t>
      </w:r>
      <w:r>
        <w:rPr>
          <w:rFonts w:asciiTheme="majorBidi" w:hAnsiTheme="majorBidi" w:cstheme="majorBidi"/>
          <w:sz w:val="24"/>
          <w:szCs w:val="24"/>
        </w:rPr>
        <w:t xml:space="preserve">going to </w:t>
      </w:r>
      <w:r w:rsidR="00267940">
        <w:rPr>
          <w:rFonts w:asciiTheme="majorBidi" w:hAnsiTheme="majorBidi" w:cstheme="majorBidi"/>
          <w:sz w:val="24"/>
          <w:szCs w:val="24"/>
        </w:rPr>
        <w:t xml:space="preserve">use the G-Cubed model to </w:t>
      </w:r>
      <w:r>
        <w:rPr>
          <w:rFonts w:asciiTheme="majorBidi" w:hAnsiTheme="majorBidi" w:cstheme="majorBidi"/>
          <w:sz w:val="24"/>
          <w:szCs w:val="24"/>
        </w:rPr>
        <w:t>provide</w:t>
      </w:r>
      <w:r w:rsidRPr="00BD15BD">
        <w:rPr>
          <w:rFonts w:asciiTheme="majorBidi" w:hAnsiTheme="majorBidi" w:cstheme="majorBidi"/>
          <w:sz w:val="24"/>
          <w:szCs w:val="24"/>
          <w:lang w:val="en-US"/>
        </w:rPr>
        <w:t xml:space="preserve"> quantitative assessment of the </w:t>
      </w:r>
      <w:r>
        <w:rPr>
          <w:rFonts w:asciiTheme="majorBidi" w:hAnsiTheme="majorBidi" w:cstheme="majorBidi"/>
          <w:sz w:val="24"/>
          <w:szCs w:val="24"/>
          <w:lang w:val="en-US"/>
        </w:rPr>
        <w:t xml:space="preserve">national and global impacts of </w:t>
      </w:r>
      <w:r w:rsidRPr="00BD15BD">
        <w:rPr>
          <w:rFonts w:asciiTheme="majorBidi" w:hAnsiTheme="majorBidi" w:cstheme="majorBidi"/>
          <w:sz w:val="24"/>
          <w:szCs w:val="24"/>
          <w:lang w:val="en-US"/>
        </w:rPr>
        <w:t xml:space="preserve">permanent reduction in the US fiscal deficit caused by a cut in US government spending. </w:t>
      </w:r>
      <w:proofErr w:type="spellStart"/>
      <w:r w:rsidR="00362C97">
        <w:rPr>
          <w:rFonts w:asciiTheme="majorBidi" w:hAnsiTheme="majorBidi" w:cstheme="majorBidi"/>
          <w:sz w:val="24"/>
          <w:szCs w:val="24"/>
          <w:lang w:val="en-US"/>
        </w:rPr>
        <w:t>Pe</w:t>
      </w:r>
      <w:r w:rsidR="004557E7">
        <w:rPr>
          <w:rFonts w:asciiTheme="majorBidi" w:hAnsiTheme="majorBidi" w:cstheme="majorBidi"/>
          <w:sz w:val="24"/>
          <w:szCs w:val="24"/>
          <w:lang w:val="en-US"/>
        </w:rPr>
        <w:t>zzy</w:t>
      </w:r>
      <w:proofErr w:type="spellEnd"/>
      <w:r w:rsidR="004557E7">
        <w:rPr>
          <w:rFonts w:asciiTheme="majorBidi" w:hAnsiTheme="majorBidi" w:cstheme="majorBidi"/>
          <w:sz w:val="24"/>
          <w:szCs w:val="24"/>
          <w:lang w:val="en-US"/>
        </w:rPr>
        <w:t xml:space="preserve"> and Lambie (2001) mention</w:t>
      </w:r>
      <w:r w:rsidR="00544BA8">
        <w:rPr>
          <w:rFonts w:asciiTheme="majorBidi" w:hAnsiTheme="majorBidi" w:cstheme="majorBidi"/>
          <w:sz w:val="24"/>
          <w:szCs w:val="24"/>
          <w:lang w:val="en-US"/>
        </w:rPr>
        <w:t xml:space="preserve"> </w:t>
      </w:r>
      <w:r w:rsidR="00362C97">
        <w:rPr>
          <w:rFonts w:asciiTheme="majorBidi" w:hAnsiTheme="majorBidi" w:cstheme="majorBidi"/>
          <w:sz w:val="24"/>
          <w:szCs w:val="24"/>
          <w:lang w:val="en-US"/>
        </w:rPr>
        <w:t xml:space="preserve">G-Cubed </w:t>
      </w:r>
      <w:r w:rsidR="00362C97" w:rsidRPr="00362C97">
        <w:rPr>
          <w:rFonts w:asciiTheme="majorBidi" w:hAnsiTheme="majorBidi" w:cstheme="majorBidi"/>
          <w:sz w:val="24"/>
          <w:szCs w:val="24"/>
          <w:lang w:val="en-US"/>
        </w:rPr>
        <w:t xml:space="preserve">assumes that economic agents use a combination of rational expectations and </w:t>
      </w:r>
      <w:r w:rsidR="004557E7">
        <w:rPr>
          <w:rFonts w:asciiTheme="majorBidi" w:hAnsiTheme="majorBidi" w:cstheme="majorBidi"/>
          <w:sz w:val="24"/>
          <w:szCs w:val="24"/>
          <w:lang w:val="en-US"/>
        </w:rPr>
        <w:t>short-term</w:t>
      </w:r>
      <w:r w:rsidR="00362C97" w:rsidRPr="00362C97">
        <w:rPr>
          <w:rFonts w:asciiTheme="majorBidi" w:hAnsiTheme="majorBidi" w:cstheme="majorBidi"/>
          <w:sz w:val="24"/>
          <w:szCs w:val="24"/>
          <w:lang w:val="en-US"/>
        </w:rPr>
        <w:t xml:space="preserve"> </w:t>
      </w:r>
      <w:r w:rsidR="00167C8B" w:rsidRPr="00362C97">
        <w:rPr>
          <w:rFonts w:asciiTheme="majorBidi" w:hAnsiTheme="majorBidi" w:cstheme="majorBidi"/>
          <w:sz w:val="24"/>
          <w:szCs w:val="24"/>
          <w:lang w:val="en-US"/>
        </w:rPr>
        <w:t>behavior</w:t>
      </w:r>
      <w:r w:rsidR="00FB0F92">
        <w:rPr>
          <w:rFonts w:asciiTheme="majorBidi" w:hAnsiTheme="majorBidi" w:cstheme="majorBidi"/>
          <w:sz w:val="24"/>
          <w:szCs w:val="24"/>
          <w:lang w:val="en-US"/>
        </w:rPr>
        <w:t xml:space="preserve"> (p. </w:t>
      </w:r>
      <w:r w:rsidR="00362C97" w:rsidRPr="00362C97">
        <w:rPr>
          <w:rFonts w:asciiTheme="majorBidi" w:hAnsiTheme="majorBidi" w:cstheme="majorBidi"/>
          <w:sz w:val="24"/>
          <w:szCs w:val="24"/>
          <w:lang w:val="en-US"/>
        </w:rPr>
        <w:t>59).</w:t>
      </w:r>
      <w:r w:rsidR="00362C97">
        <w:rPr>
          <w:rFonts w:asciiTheme="majorBidi" w:hAnsiTheme="majorBidi" w:cstheme="majorBidi"/>
          <w:sz w:val="24"/>
          <w:szCs w:val="24"/>
          <w:lang w:val="en-US"/>
        </w:rPr>
        <w:t xml:space="preserve"> </w:t>
      </w:r>
      <w:proofErr w:type="spellStart"/>
      <w:r w:rsidR="00267940">
        <w:rPr>
          <w:rFonts w:asciiTheme="majorBidi" w:hAnsiTheme="majorBidi" w:cstheme="majorBidi"/>
          <w:sz w:val="24"/>
          <w:szCs w:val="24"/>
          <w:lang w:val="en-US"/>
        </w:rPr>
        <w:t>Mckibbin</w:t>
      </w:r>
      <w:proofErr w:type="spellEnd"/>
      <w:r w:rsidR="00267940">
        <w:rPr>
          <w:rFonts w:asciiTheme="majorBidi" w:hAnsiTheme="majorBidi" w:cstheme="majorBidi"/>
          <w:sz w:val="24"/>
          <w:szCs w:val="24"/>
          <w:lang w:val="en-US"/>
        </w:rPr>
        <w:t xml:space="preserve"> and </w:t>
      </w:r>
      <w:proofErr w:type="spellStart"/>
      <w:r w:rsidR="00267940">
        <w:rPr>
          <w:rFonts w:asciiTheme="majorBidi" w:hAnsiTheme="majorBidi" w:cstheme="majorBidi"/>
          <w:sz w:val="24"/>
          <w:szCs w:val="24"/>
          <w:lang w:val="en-US"/>
        </w:rPr>
        <w:t>Wilcoxen</w:t>
      </w:r>
      <w:proofErr w:type="spellEnd"/>
      <w:r w:rsidR="00267940">
        <w:rPr>
          <w:rFonts w:asciiTheme="majorBidi" w:hAnsiTheme="majorBidi" w:cstheme="majorBidi"/>
          <w:sz w:val="24"/>
          <w:szCs w:val="24"/>
          <w:lang w:val="en-US"/>
        </w:rPr>
        <w:t xml:space="preserve"> (1998) </w:t>
      </w:r>
      <w:r w:rsidR="00267940">
        <w:rPr>
          <w:rFonts w:asciiTheme="majorBidi" w:hAnsiTheme="majorBidi" w:cstheme="majorBidi"/>
          <w:sz w:val="24"/>
          <w:szCs w:val="24"/>
        </w:rPr>
        <w:t>emphasize</w:t>
      </w:r>
      <w:r w:rsidR="00267940">
        <w:rPr>
          <w:rFonts w:asciiTheme="majorBidi" w:hAnsiTheme="majorBidi" w:cstheme="majorBidi"/>
          <w:sz w:val="24"/>
          <w:szCs w:val="24"/>
          <w:lang w:val="en-US"/>
        </w:rPr>
        <w:t xml:space="preserve"> that G-Cubed model is designed to incorporates the best features of</w:t>
      </w:r>
      <w:r w:rsidR="00267940" w:rsidRPr="00267940">
        <w:rPr>
          <w:rFonts w:asciiTheme="majorBidi" w:hAnsiTheme="majorBidi" w:cstheme="majorBidi"/>
          <w:sz w:val="24"/>
          <w:szCs w:val="24"/>
          <w:lang w:val="en-US"/>
        </w:rPr>
        <w:t xml:space="preserve"> econometric general equilibrium modeling, international trade theory, and modern macroeconomics</w:t>
      </w:r>
      <w:r w:rsidR="00267940">
        <w:rPr>
          <w:rFonts w:asciiTheme="majorBidi" w:hAnsiTheme="majorBidi" w:cstheme="majorBidi"/>
          <w:sz w:val="24"/>
          <w:szCs w:val="24"/>
          <w:lang w:val="en-US"/>
        </w:rPr>
        <w:t xml:space="preserve"> (p. 1). </w:t>
      </w:r>
      <w:r w:rsidR="00F82C5F">
        <w:rPr>
          <w:rFonts w:asciiTheme="majorBidi" w:hAnsiTheme="majorBidi" w:cstheme="majorBidi"/>
          <w:sz w:val="24"/>
          <w:szCs w:val="24"/>
          <w:lang w:val="en-US"/>
        </w:rPr>
        <w:t xml:space="preserve">By using G-Cubed model, </w:t>
      </w:r>
      <w:r>
        <w:rPr>
          <w:rFonts w:asciiTheme="majorBidi" w:hAnsiTheme="majorBidi" w:cstheme="majorBidi"/>
          <w:sz w:val="24"/>
          <w:szCs w:val="24"/>
          <w:lang w:val="en-US"/>
        </w:rPr>
        <w:t xml:space="preserve">I </w:t>
      </w:r>
      <w:r w:rsidRPr="00F05E31">
        <w:rPr>
          <w:rFonts w:asciiTheme="majorBidi" w:hAnsiTheme="majorBidi" w:cstheme="majorBidi"/>
          <w:color w:val="000000" w:themeColor="text1"/>
          <w:sz w:val="24"/>
          <w:szCs w:val="24"/>
          <w:lang w:val="en-US"/>
        </w:rPr>
        <w:t>will analyze the shock to fiscal deficit reduc</w:t>
      </w:r>
      <w:r w:rsidR="009B4B34" w:rsidRPr="00F05E31">
        <w:rPr>
          <w:rFonts w:asciiTheme="majorBidi" w:hAnsiTheme="majorBidi" w:cstheme="majorBidi"/>
          <w:color w:val="000000" w:themeColor="text1"/>
          <w:sz w:val="24"/>
          <w:szCs w:val="24"/>
          <w:lang w:val="en-US"/>
        </w:rPr>
        <w:t xml:space="preserve">tion on US economy </w:t>
      </w:r>
      <w:r w:rsidR="00F528C8">
        <w:rPr>
          <w:rFonts w:asciiTheme="majorBidi" w:hAnsiTheme="majorBidi" w:cstheme="majorBidi"/>
          <w:color w:val="000000" w:themeColor="text1"/>
          <w:sz w:val="24"/>
          <w:szCs w:val="24"/>
          <w:lang w:val="en-US"/>
        </w:rPr>
        <w:t xml:space="preserve">with the baseline set at year 2012 </w:t>
      </w:r>
      <w:r w:rsidR="009B4B34" w:rsidRPr="00F05E31">
        <w:rPr>
          <w:rFonts w:asciiTheme="majorBidi" w:hAnsiTheme="majorBidi" w:cstheme="majorBidi"/>
          <w:color w:val="000000" w:themeColor="text1"/>
          <w:sz w:val="24"/>
          <w:szCs w:val="24"/>
          <w:lang w:val="en-US"/>
        </w:rPr>
        <w:t>under three cases</w:t>
      </w:r>
      <w:r w:rsidRPr="00F05E31">
        <w:rPr>
          <w:rFonts w:asciiTheme="majorBidi" w:hAnsiTheme="majorBidi" w:cstheme="majorBidi"/>
          <w:color w:val="000000" w:themeColor="text1"/>
          <w:sz w:val="24"/>
          <w:szCs w:val="24"/>
          <w:lang w:val="en-US"/>
        </w:rPr>
        <w:t xml:space="preserve">. The first case assumes a </w:t>
      </w:r>
      <w:r w:rsidR="00F05E31" w:rsidRPr="00F05E31">
        <w:rPr>
          <w:rFonts w:asciiTheme="majorBidi" w:hAnsiTheme="majorBidi" w:cstheme="majorBidi"/>
          <w:color w:val="000000" w:themeColor="text1"/>
          <w:sz w:val="24"/>
          <w:szCs w:val="24"/>
          <w:lang w:val="en-US"/>
        </w:rPr>
        <w:t>permanent policy</w:t>
      </w:r>
      <w:r w:rsidRPr="00F05E31">
        <w:rPr>
          <w:rFonts w:asciiTheme="majorBidi" w:hAnsiTheme="majorBidi" w:cstheme="majorBidi"/>
          <w:color w:val="000000" w:themeColor="text1"/>
          <w:sz w:val="24"/>
          <w:szCs w:val="24"/>
          <w:lang w:val="en-US"/>
        </w:rPr>
        <w:t xml:space="preserve"> in which there</w:t>
      </w:r>
      <w:r>
        <w:rPr>
          <w:rFonts w:asciiTheme="majorBidi" w:hAnsiTheme="majorBidi" w:cstheme="majorBidi"/>
          <w:sz w:val="24"/>
          <w:szCs w:val="24"/>
          <w:lang w:val="en-US"/>
        </w:rPr>
        <w:t xml:space="preserve"> will be perpetual</w:t>
      </w:r>
      <w:r w:rsidRPr="00BD15BD">
        <w:rPr>
          <w:rFonts w:asciiTheme="majorBidi" w:hAnsiTheme="majorBidi" w:cstheme="majorBidi"/>
          <w:sz w:val="24"/>
          <w:szCs w:val="24"/>
          <w:lang w:val="en-US"/>
        </w:rPr>
        <w:t xml:space="preserve"> US </w:t>
      </w:r>
      <w:r w:rsidRPr="009E2730">
        <w:rPr>
          <w:rFonts w:asciiTheme="majorBidi" w:hAnsiTheme="majorBidi" w:cstheme="majorBidi"/>
          <w:sz w:val="24"/>
          <w:szCs w:val="24"/>
          <w:lang w:val="en-US"/>
        </w:rPr>
        <w:t xml:space="preserve">fiscal deficit reduction of </w:t>
      </w:r>
      <w:r w:rsidR="00CE7C3A">
        <w:rPr>
          <w:rFonts w:asciiTheme="majorBidi" w:hAnsiTheme="majorBidi" w:cstheme="majorBidi"/>
          <w:sz w:val="24"/>
          <w:szCs w:val="24"/>
          <w:lang w:val="en-US"/>
        </w:rPr>
        <w:t>one percent</w:t>
      </w:r>
      <w:r w:rsidRPr="009E2730">
        <w:rPr>
          <w:rFonts w:asciiTheme="majorBidi" w:hAnsiTheme="majorBidi" w:cstheme="majorBidi"/>
          <w:sz w:val="24"/>
          <w:szCs w:val="24"/>
          <w:lang w:val="en-US"/>
        </w:rPr>
        <w:t xml:space="preserve"> of GDP since the </w:t>
      </w:r>
      <w:r w:rsidR="00787AD5">
        <w:rPr>
          <w:rFonts w:asciiTheme="majorBidi" w:hAnsiTheme="majorBidi" w:cstheme="majorBidi"/>
          <w:sz w:val="24"/>
          <w:szCs w:val="24"/>
          <w:lang w:val="en-US"/>
        </w:rPr>
        <w:t>first year. The second case simulates</w:t>
      </w:r>
      <w:r w:rsidRPr="009E2730">
        <w:rPr>
          <w:rFonts w:asciiTheme="majorBidi" w:hAnsiTheme="majorBidi" w:cstheme="majorBidi"/>
          <w:sz w:val="24"/>
          <w:szCs w:val="24"/>
          <w:lang w:val="en-US"/>
        </w:rPr>
        <w:t xml:space="preserve"> </w:t>
      </w:r>
      <w:r>
        <w:rPr>
          <w:rFonts w:asciiTheme="majorBidi" w:hAnsiTheme="majorBidi" w:cstheme="majorBidi"/>
          <w:sz w:val="24"/>
          <w:szCs w:val="24"/>
          <w:lang w:val="en-US"/>
        </w:rPr>
        <w:t>phase</w:t>
      </w:r>
      <w:r w:rsidR="00787AD5">
        <w:rPr>
          <w:rFonts w:asciiTheme="majorBidi" w:hAnsiTheme="majorBidi" w:cstheme="majorBidi"/>
          <w:sz w:val="24"/>
          <w:szCs w:val="24"/>
          <w:lang w:val="en-US"/>
        </w:rPr>
        <w:t>-in policy</w:t>
      </w:r>
      <w:r>
        <w:rPr>
          <w:rFonts w:asciiTheme="majorBidi" w:hAnsiTheme="majorBidi" w:cstheme="majorBidi"/>
          <w:sz w:val="24"/>
          <w:szCs w:val="24"/>
          <w:lang w:val="en-US"/>
        </w:rPr>
        <w:t xml:space="preserve"> which implements cut</w:t>
      </w:r>
      <w:r w:rsidRPr="00BD15BD">
        <w:rPr>
          <w:rFonts w:asciiTheme="majorBidi" w:hAnsiTheme="majorBidi" w:cstheme="majorBidi"/>
          <w:sz w:val="24"/>
          <w:szCs w:val="24"/>
          <w:lang w:val="en-US"/>
        </w:rPr>
        <w:t xml:space="preserve"> in the fis</w:t>
      </w:r>
      <w:r>
        <w:rPr>
          <w:rFonts w:asciiTheme="majorBidi" w:hAnsiTheme="majorBidi" w:cstheme="majorBidi"/>
          <w:sz w:val="24"/>
          <w:szCs w:val="24"/>
          <w:lang w:val="en-US"/>
        </w:rPr>
        <w:t xml:space="preserve">cal deficit of 0.2 percent </w:t>
      </w:r>
      <w:r w:rsidRPr="00BD15BD">
        <w:rPr>
          <w:rFonts w:asciiTheme="majorBidi" w:hAnsiTheme="majorBidi" w:cstheme="majorBidi"/>
          <w:sz w:val="24"/>
          <w:szCs w:val="24"/>
          <w:lang w:val="en-US"/>
        </w:rPr>
        <w:t xml:space="preserve">of GDP in year </w:t>
      </w:r>
      <w:r>
        <w:rPr>
          <w:rFonts w:asciiTheme="majorBidi" w:hAnsiTheme="majorBidi" w:cstheme="majorBidi"/>
          <w:sz w:val="24"/>
          <w:szCs w:val="24"/>
          <w:lang w:val="en-US"/>
        </w:rPr>
        <w:t>one, then subsequently, 0.4 percent of GDP in year two, 0.6 percent in year three, 0.8 percent in year four and finally one percent of GDP from year five</w:t>
      </w:r>
      <w:r w:rsidRPr="00BD15BD">
        <w:rPr>
          <w:rFonts w:asciiTheme="majorBidi" w:hAnsiTheme="majorBidi" w:cstheme="majorBidi"/>
          <w:sz w:val="24"/>
          <w:szCs w:val="24"/>
          <w:lang w:val="en-US"/>
        </w:rPr>
        <w:t xml:space="preserve"> forever</w:t>
      </w:r>
      <w:r>
        <w:rPr>
          <w:rFonts w:asciiTheme="majorBidi" w:hAnsiTheme="majorBidi" w:cstheme="majorBidi"/>
          <w:sz w:val="24"/>
          <w:szCs w:val="24"/>
          <w:lang w:val="en-US"/>
        </w:rPr>
        <w:t>. Lastly, the third case assumes both the</w:t>
      </w:r>
      <w:r w:rsidR="00B81DFA">
        <w:rPr>
          <w:rFonts w:asciiTheme="majorBidi" w:hAnsiTheme="majorBidi" w:cstheme="majorBidi"/>
          <w:sz w:val="24"/>
          <w:szCs w:val="24"/>
          <w:lang w:val="en-US"/>
        </w:rPr>
        <w:t xml:space="preserve"> rest of the</w:t>
      </w:r>
      <w:r>
        <w:rPr>
          <w:rFonts w:asciiTheme="majorBidi" w:hAnsiTheme="majorBidi" w:cstheme="majorBidi"/>
          <w:sz w:val="24"/>
          <w:szCs w:val="24"/>
          <w:lang w:val="en-US"/>
        </w:rPr>
        <w:t xml:space="preserve"> world </w:t>
      </w:r>
      <w:r w:rsidR="00B81DFA">
        <w:rPr>
          <w:rFonts w:asciiTheme="majorBidi" w:hAnsiTheme="majorBidi" w:cstheme="majorBidi"/>
          <w:sz w:val="24"/>
          <w:szCs w:val="24"/>
          <w:lang w:val="en-US"/>
        </w:rPr>
        <w:t xml:space="preserve">(ROW) </w:t>
      </w:r>
      <w:r>
        <w:rPr>
          <w:rFonts w:asciiTheme="majorBidi" w:hAnsiTheme="majorBidi" w:cstheme="majorBidi"/>
          <w:sz w:val="24"/>
          <w:szCs w:val="24"/>
          <w:lang w:val="en-US"/>
        </w:rPr>
        <w:t>and</w:t>
      </w:r>
      <w:r w:rsidR="00B81DFA">
        <w:rPr>
          <w:rFonts w:asciiTheme="majorBidi" w:hAnsiTheme="majorBidi" w:cstheme="majorBidi"/>
          <w:sz w:val="24"/>
          <w:szCs w:val="24"/>
          <w:lang w:val="en-US"/>
        </w:rPr>
        <w:t xml:space="preserve"> the</w:t>
      </w:r>
      <w:r>
        <w:rPr>
          <w:rFonts w:asciiTheme="majorBidi" w:hAnsiTheme="majorBidi" w:cstheme="majorBidi"/>
          <w:sz w:val="24"/>
          <w:szCs w:val="24"/>
          <w:lang w:val="en-US"/>
        </w:rPr>
        <w:t xml:space="preserve"> US </w:t>
      </w:r>
      <w:r w:rsidR="00B81DFA">
        <w:rPr>
          <w:rFonts w:asciiTheme="majorBidi" w:hAnsiTheme="majorBidi" w:cstheme="majorBidi"/>
          <w:sz w:val="24"/>
          <w:szCs w:val="24"/>
          <w:lang w:val="en-US"/>
        </w:rPr>
        <w:t xml:space="preserve">apply </w:t>
      </w:r>
      <w:r w:rsidR="00CE7C3A">
        <w:rPr>
          <w:rFonts w:asciiTheme="majorBidi" w:hAnsiTheme="majorBidi" w:cstheme="majorBidi"/>
          <w:sz w:val="24"/>
          <w:szCs w:val="24"/>
          <w:lang w:val="en-US"/>
        </w:rPr>
        <w:t xml:space="preserve">fiscal deficit reduction of one percent </w:t>
      </w:r>
      <w:r>
        <w:rPr>
          <w:rFonts w:asciiTheme="majorBidi" w:hAnsiTheme="majorBidi" w:cstheme="majorBidi"/>
          <w:sz w:val="24"/>
          <w:szCs w:val="24"/>
          <w:lang w:val="en-US"/>
        </w:rPr>
        <w:t xml:space="preserve">of </w:t>
      </w:r>
      <w:r w:rsidR="008E3E29">
        <w:rPr>
          <w:rFonts w:asciiTheme="majorBidi" w:hAnsiTheme="majorBidi" w:cstheme="majorBidi"/>
          <w:sz w:val="24"/>
          <w:szCs w:val="24"/>
          <w:lang w:val="en-US"/>
        </w:rPr>
        <w:t xml:space="preserve">their </w:t>
      </w:r>
      <w:r>
        <w:rPr>
          <w:rFonts w:asciiTheme="majorBidi" w:hAnsiTheme="majorBidi" w:cstheme="majorBidi"/>
          <w:sz w:val="24"/>
          <w:szCs w:val="24"/>
          <w:lang w:val="en-US"/>
        </w:rPr>
        <w:t xml:space="preserve">GDP </w:t>
      </w:r>
      <w:r w:rsidR="001603CE">
        <w:rPr>
          <w:rFonts w:asciiTheme="majorBidi" w:hAnsiTheme="majorBidi" w:cstheme="majorBidi"/>
          <w:sz w:val="24"/>
          <w:szCs w:val="24"/>
          <w:lang w:val="en-US"/>
        </w:rPr>
        <w:t>together permanently</w:t>
      </w:r>
      <w:r>
        <w:rPr>
          <w:rFonts w:asciiTheme="majorBidi" w:hAnsiTheme="majorBidi" w:cstheme="majorBidi"/>
          <w:sz w:val="24"/>
          <w:szCs w:val="24"/>
          <w:lang w:val="en-US"/>
        </w:rPr>
        <w:t>.</w:t>
      </w:r>
    </w:p>
    <w:p w14:paraId="0E2821F2" w14:textId="77777777" w:rsidR="00D75EF4" w:rsidRPr="005B01D2" w:rsidRDefault="00066C37" w:rsidP="007203F9">
      <w:pPr>
        <w:spacing w:line="360" w:lineRule="auto"/>
        <w:jc w:val="both"/>
        <w:rPr>
          <w:rFonts w:asciiTheme="majorBidi" w:hAnsiTheme="majorBidi" w:cstheme="majorBidi"/>
          <w:b/>
          <w:bCs/>
          <w:sz w:val="24"/>
          <w:szCs w:val="24"/>
        </w:rPr>
      </w:pPr>
      <w:r w:rsidRPr="005B01D2">
        <w:rPr>
          <w:rFonts w:asciiTheme="majorBidi" w:hAnsiTheme="majorBidi" w:cstheme="majorBidi"/>
          <w:b/>
          <w:bCs/>
          <w:sz w:val="24"/>
          <w:szCs w:val="24"/>
        </w:rPr>
        <w:lastRenderedPageBreak/>
        <w:t>Case</w:t>
      </w:r>
      <w:r w:rsidR="00D75EF4" w:rsidRPr="005B01D2">
        <w:rPr>
          <w:rFonts w:asciiTheme="majorBidi" w:hAnsiTheme="majorBidi" w:cstheme="majorBidi"/>
          <w:b/>
          <w:bCs/>
          <w:sz w:val="24"/>
          <w:szCs w:val="24"/>
        </w:rPr>
        <w:t xml:space="preserve"> I: </w:t>
      </w:r>
      <w:r w:rsidR="00532A0C" w:rsidRPr="005B01D2">
        <w:rPr>
          <w:rFonts w:asciiTheme="majorBidi" w:hAnsiTheme="majorBidi" w:cstheme="majorBidi"/>
          <w:b/>
          <w:bCs/>
          <w:sz w:val="24"/>
          <w:szCs w:val="24"/>
        </w:rPr>
        <w:t xml:space="preserve">Permanent </w:t>
      </w:r>
      <w:r w:rsidR="007203F9">
        <w:rPr>
          <w:rFonts w:asciiTheme="majorBidi" w:hAnsiTheme="majorBidi" w:cstheme="majorBidi"/>
          <w:b/>
          <w:bCs/>
          <w:sz w:val="24"/>
          <w:szCs w:val="24"/>
        </w:rPr>
        <w:t>fiscal contraction shock</w:t>
      </w:r>
    </w:p>
    <w:p w14:paraId="34AAF6F0" w14:textId="77777777" w:rsidR="00270BB4" w:rsidRDefault="00427E1A" w:rsidP="00052CB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Following the one percent permanent shock of </w:t>
      </w:r>
      <w:r w:rsidR="005612ED">
        <w:rPr>
          <w:rFonts w:asciiTheme="majorBidi" w:hAnsiTheme="majorBidi" w:cstheme="majorBidi"/>
          <w:sz w:val="24"/>
          <w:szCs w:val="24"/>
        </w:rPr>
        <w:t xml:space="preserve">expansionary fiscal contraction </w:t>
      </w:r>
      <w:r>
        <w:rPr>
          <w:rFonts w:asciiTheme="majorBidi" w:hAnsiTheme="majorBidi" w:cstheme="majorBidi"/>
          <w:sz w:val="24"/>
          <w:szCs w:val="24"/>
        </w:rPr>
        <w:t>policy</w:t>
      </w:r>
      <w:r w:rsidR="00676FD3">
        <w:rPr>
          <w:rFonts w:asciiTheme="majorBidi" w:hAnsiTheme="majorBidi" w:cstheme="majorBidi"/>
          <w:sz w:val="24"/>
          <w:szCs w:val="24"/>
        </w:rPr>
        <w:t>, GDP growth will be in negative zone for four fours</w:t>
      </w:r>
      <w:r w:rsidR="00FE0615">
        <w:rPr>
          <w:rFonts w:asciiTheme="majorBidi" w:hAnsiTheme="majorBidi" w:cstheme="majorBidi"/>
          <w:sz w:val="24"/>
          <w:szCs w:val="24"/>
        </w:rPr>
        <w:t>. Then</w:t>
      </w:r>
      <w:r w:rsidR="00435F0C">
        <w:rPr>
          <w:rFonts w:asciiTheme="majorBidi" w:hAnsiTheme="majorBidi" w:cstheme="majorBidi"/>
          <w:sz w:val="24"/>
          <w:szCs w:val="24"/>
        </w:rPr>
        <w:t xml:space="preserve"> GDP stably grows at </w:t>
      </w:r>
      <w:r w:rsidR="005100DD">
        <w:rPr>
          <w:rFonts w:asciiTheme="majorBidi" w:hAnsiTheme="majorBidi" w:cstheme="majorBidi"/>
          <w:sz w:val="24"/>
          <w:szCs w:val="24"/>
        </w:rPr>
        <w:t>less than</w:t>
      </w:r>
      <w:r w:rsidR="00435F0C">
        <w:rPr>
          <w:rFonts w:asciiTheme="majorBidi" w:hAnsiTheme="majorBidi" w:cstheme="majorBidi"/>
          <w:sz w:val="24"/>
          <w:szCs w:val="24"/>
        </w:rPr>
        <w:t xml:space="preserve"> 0.2 percent </w:t>
      </w:r>
      <w:r w:rsidR="00FE0615">
        <w:rPr>
          <w:rFonts w:asciiTheme="majorBidi" w:hAnsiTheme="majorBidi" w:cstheme="majorBidi"/>
          <w:sz w:val="24"/>
          <w:szCs w:val="24"/>
        </w:rPr>
        <w:t>per year</w:t>
      </w:r>
      <w:r w:rsidR="005100DD">
        <w:rPr>
          <w:rFonts w:asciiTheme="majorBidi" w:hAnsiTheme="majorBidi" w:cstheme="majorBidi"/>
          <w:sz w:val="24"/>
          <w:szCs w:val="24"/>
        </w:rPr>
        <w:t xml:space="preserve"> compare to baseline in 2012</w:t>
      </w:r>
      <w:r w:rsidR="00FE0615">
        <w:rPr>
          <w:rFonts w:asciiTheme="majorBidi" w:hAnsiTheme="majorBidi" w:cstheme="majorBidi"/>
          <w:sz w:val="24"/>
          <w:szCs w:val="24"/>
        </w:rPr>
        <w:t xml:space="preserve">. </w:t>
      </w:r>
      <w:proofErr w:type="spellStart"/>
      <w:r w:rsidR="000F2208">
        <w:rPr>
          <w:rFonts w:asciiTheme="majorBidi" w:hAnsiTheme="majorBidi" w:cstheme="majorBidi"/>
          <w:sz w:val="24"/>
          <w:szCs w:val="24"/>
        </w:rPr>
        <w:t>Mckibbin</w:t>
      </w:r>
      <w:proofErr w:type="spellEnd"/>
      <w:r w:rsidR="000F2208">
        <w:rPr>
          <w:rFonts w:asciiTheme="majorBidi" w:hAnsiTheme="majorBidi" w:cstheme="majorBidi"/>
          <w:sz w:val="24"/>
          <w:szCs w:val="24"/>
        </w:rPr>
        <w:t xml:space="preserve"> and </w:t>
      </w:r>
      <w:proofErr w:type="spellStart"/>
      <w:r w:rsidR="000F2208">
        <w:rPr>
          <w:rFonts w:asciiTheme="majorBidi" w:hAnsiTheme="majorBidi" w:cstheme="majorBidi"/>
          <w:sz w:val="24"/>
          <w:szCs w:val="24"/>
        </w:rPr>
        <w:t>Stoeckel</w:t>
      </w:r>
      <w:proofErr w:type="spellEnd"/>
      <w:r w:rsidR="000F2208">
        <w:rPr>
          <w:rFonts w:asciiTheme="majorBidi" w:hAnsiTheme="majorBidi" w:cstheme="majorBidi"/>
          <w:sz w:val="24"/>
          <w:szCs w:val="24"/>
        </w:rPr>
        <w:t xml:space="preserve"> (201</w:t>
      </w:r>
      <w:r w:rsidR="00FF7F90">
        <w:rPr>
          <w:rFonts w:asciiTheme="majorBidi" w:hAnsiTheme="majorBidi" w:cstheme="majorBidi"/>
          <w:sz w:val="24"/>
          <w:szCs w:val="24"/>
        </w:rPr>
        <w:t>2</w:t>
      </w:r>
      <w:r w:rsidR="005264AA">
        <w:rPr>
          <w:rFonts w:asciiTheme="majorBidi" w:hAnsiTheme="majorBidi" w:cstheme="majorBidi"/>
          <w:sz w:val="24"/>
          <w:szCs w:val="24"/>
        </w:rPr>
        <w:t>) explain</w:t>
      </w:r>
      <w:r w:rsidR="000F2208">
        <w:rPr>
          <w:rFonts w:asciiTheme="majorBidi" w:hAnsiTheme="majorBidi" w:cstheme="majorBidi"/>
          <w:sz w:val="24"/>
          <w:szCs w:val="24"/>
        </w:rPr>
        <w:t xml:space="preserve"> that earlier fall in GDP is attributed to decline in government spending. </w:t>
      </w:r>
      <w:r w:rsidR="00057831">
        <w:rPr>
          <w:rFonts w:asciiTheme="majorBidi" w:hAnsiTheme="majorBidi" w:cstheme="majorBidi"/>
          <w:sz w:val="24"/>
          <w:szCs w:val="24"/>
        </w:rPr>
        <w:t xml:space="preserve">However, </w:t>
      </w:r>
      <w:r w:rsidR="00F83AE4">
        <w:rPr>
          <w:rFonts w:asciiTheme="majorBidi" w:hAnsiTheme="majorBidi" w:cstheme="majorBidi"/>
          <w:sz w:val="24"/>
          <w:szCs w:val="24"/>
        </w:rPr>
        <w:t xml:space="preserve">the reduction in </w:t>
      </w:r>
      <w:r w:rsidR="00057831">
        <w:rPr>
          <w:rFonts w:asciiTheme="majorBidi" w:hAnsiTheme="majorBidi" w:cstheme="majorBidi"/>
          <w:sz w:val="24"/>
          <w:szCs w:val="24"/>
        </w:rPr>
        <w:t xml:space="preserve">private spending will be crowded-in as government will </w:t>
      </w:r>
      <w:r w:rsidR="004C7BF4">
        <w:rPr>
          <w:rFonts w:asciiTheme="majorBidi" w:hAnsiTheme="majorBidi" w:cstheme="majorBidi"/>
          <w:sz w:val="24"/>
          <w:szCs w:val="24"/>
        </w:rPr>
        <w:t xml:space="preserve">borrow </w:t>
      </w:r>
      <w:r w:rsidR="00057831">
        <w:rPr>
          <w:rFonts w:asciiTheme="majorBidi" w:hAnsiTheme="majorBidi" w:cstheme="majorBidi"/>
          <w:sz w:val="24"/>
          <w:szCs w:val="24"/>
        </w:rPr>
        <w:t>less and less t</w:t>
      </w:r>
      <w:r w:rsidR="00064667">
        <w:rPr>
          <w:rFonts w:asciiTheme="majorBidi" w:hAnsiTheme="majorBidi" w:cstheme="majorBidi"/>
          <w:sz w:val="24"/>
          <w:szCs w:val="24"/>
        </w:rPr>
        <w:t xml:space="preserve">hat </w:t>
      </w:r>
      <w:r w:rsidR="00F83AE4">
        <w:rPr>
          <w:rFonts w:asciiTheme="majorBidi" w:hAnsiTheme="majorBidi" w:cstheme="majorBidi"/>
          <w:sz w:val="24"/>
          <w:szCs w:val="24"/>
        </w:rPr>
        <w:t>eventually lead to</w:t>
      </w:r>
      <w:r w:rsidR="00064667">
        <w:rPr>
          <w:rFonts w:asciiTheme="majorBidi" w:hAnsiTheme="majorBidi" w:cstheme="majorBidi"/>
          <w:sz w:val="24"/>
          <w:szCs w:val="24"/>
        </w:rPr>
        <w:t xml:space="preserve"> excess of savings (p. 11). </w:t>
      </w:r>
      <w:r w:rsidR="008D2221">
        <w:rPr>
          <w:rFonts w:asciiTheme="majorBidi" w:hAnsiTheme="majorBidi" w:cstheme="majorBidi"/>
          <w:sz w:val="24"/>
          <w:szCs w:val="24"/>
        </w:rPr>
        <w:t>Therefore</w:t>
      </w:r>
      <w:r w:rsidR="004C7BF4">
        <w:rPr>
          <w:rFonts w:asciiTheme="majorBidi" w:hAnsiTheme="majorBidi" w:cstheme="majorBidi"/>
          <w:sz w:val="24"/>
          <w:szCs w:val="24"/>
        </w:rPr>
        <w:t>, s</w:t>
      </w:r>
      <w:r w:rsidR="00AE404E">
        <w:rPr>
          <w:rFonts w:asciiTheme="majorBidi" w:hAnsiTheme="majorBidi" w:cstheme="majorBidi"/>
          <w:sz w:val="24"/>
          <w:szCs w:val="24"/>
        </w:rPr>
        <w:t xml:space="preserve">tock of debt will </w:t>
      </w:r>
      <w:r w:rsidR="00AE536E">
        <w:rPr>
          <w:rFonts w:asciiTheme="majorBidi" w:hAnsiTheme="majorBidi" w:cstheme="majorBidi"/>
          <w:sz w:val="24"/>
          <w:szCs w:val="24"/>
        </w:rPr>
        <w:t xml:space="preserve">fall </w:t>
      </w:r>
      <w:r w:rsidR="00661D68">
        <w:rPr>
          <w:rFonts w:asciiTheme="majorBidi" w:hAnsiTheme="majorBidi" w:cstheme="majorBidi"/>
          <w:sz w:val="24"/>
          <w:szCs w:val="24"/>
        </w:rPr>
        <w:t xml:space="preserve">as government </w:t>
      </w:r>
      <w:r w:rsidR="002F45F9">
        <w:rPr>
          <w:rFonts w:asciiTheme="majorBidi" w:hAnsiTheme="majorBidi" w:cstheme="majorBidi"/>
          <w:sz w:val="24"/>
          <w:szCs w:val="24"/>
        </w:rPr>
        <w:t>reduce borrowing</w:t>
      </w:r>
      <w:r w:rsidR="00661D68">
        <w:rPr>
          <w:rFonts w:asciiTheme="majorBidi" w:hAnsiTheme="majorBidi" w:cstheme="majorBidi"/>
          <w:sz w:val="24"/>
          <w:szCs w:val="24"/>
        </w:rPr>
        <w:t xml:space="preserve">. </w:t>
      </w:r>
      <w:r w:rsidR="007E7CE8">
        <w:rPr>
          <w:rFonts w:asciiTheme="majorBidi" w:hAnsiTheme="majorBidi" w:cstheme="majorBidi"/>
          <w:sz w:val="24"/>
          <w:szCs w:val="24"/>
        </w:rPr>
        <w:t>The actual policy rate will dive and has direct impact on treasury yield</w:t>
      </w:r>
      <w:r w:rsidR="007704DB">
        <w:rPr>
          <w:rFonts w:asciiTheme="majorBidi" w:hAnsiTheme="majorBidi" w:cstheme="majorBidi"/>
          <w:sz w:val="24"/>
          <w:szCs w:val="24"/>
        </w:rPr>
        <w:t xml:space="preserve"> as well</w:t>
      </w:r>
      <w:r w:rsidR="007E7CE8">
        <w:rPr>
          <w:rFonts w:asciiTheme="majorBidi" w:hAnsiTheme="majorBidi" w:cstheme="majorBidi"/>
          <w:sz w:val="24"/>
          <w:szCs w:val="24"/>
        </w:rPr>
        <w:t xml:space="preserve">. </w:t>
      </w:r>
      <w:r w:rsidR="00A20251">
        <w:rPr>
          <w:rFonts w:asciiTheme="majorBidi" w:hAnsiTheme="majorBidi" w:cstheme="majorBidi"/>
          <w:sz w:val="24"/>
          <w:szCs w:val="24"/>
        </w:rPr>
        <w:t>From the trend of</w:t>
      </w:r>
      <w:r w:rsidR="00325FD2">
        <w:rPr>
          <w:rFonts w:asciiTheme="majorBidi" w:hAnsiTheme="majorBidi" w:cstheme="majorBidi"/>
          <w:sz w:val="24"/>
          <w:szCs w:val="24"/>
        </w:rPr>
        <w:t xml:space="preserve"> changes in</w:t>
      </w:r>
      <w:r w:rsidR="00A20251">
        <w:rPr>
          <w:rFonts w:asciiTheme="majorBidi" w:hAnsiTheme="majorBidi" w:cstheme="majorBidi"/>
          <w:sz w:val="24"/>
          <w:szCs w:val="24"/>
        </w:rPr>
        <w:t xml:space="preserve"> </w:t>
      </w:r>
      <w:r w:rsidR="005E46FF">
        <w:rPr>
          <w:rFonts w:asciiTheme="majorBidi" w:hAnsiTheme="majorBidi" w:cstheme="majorBidi"/>
          <w:sz w:val="24"/>
          <w:szCs w:val="24"/>
        </w:rPr>
        <w:t xml:space="preserve">the real </w:t>
      </w:r>
      <w:r w:rsidR="00A20251">
        <w:rPr>
          <w:rFonts w:asciiTheme="majorBidi" w:hAnsiTheme="majorBidi" w:cstheme="majorBidi"/>
          <w:sz w:val="24"/>
          <w:szCs w:val="24"/>
        </w:rPr>
        <w:t>ten-y</w:t>
      </w:r>
      <w:r w:rsidR="00AE3587">
        <w:rPr>
          <w:rFonts w:asciiTheme="majorBidi" w:hAnsiTheme="majorBidi" w:cstheme="majorBidi"/>
          <w:sz w:val="24"/>
          <w:szCs w:val="24"/>
        </w:rPr>
        <w:t xml:space="preserve">ear </w:t>
      </w:r>
      <w:r w:rsidR="005E46FF">
        <w:rPr>
          <w:rFonts w:asciiTheme="majorBidi" w:hAnsiTheme="majorBidi" w:cstheme="majorBidi"/>
          <w:sz w:val="24"/>
          <w:szCs w:val="24"/>
        </w:rPr>
        <w:t>interest rate</w:t>
      </w:r>
      <w:r w:rsidR="00AE3587">
        <w:rPr>
          <w:rFonts w:asciiTheme="majorBidi" w:hAnsiTheme="majorBidi" w:cstheme="majorBidi"/>
          <w:sz w:val="24"/>
          <w:szCs w:val="24"/>
        </w:rPr>
        <w:t>, we can see the yield rate</w:t>
      </w:r>
      <w:r w:rsidR="0096064C">
        <w:rPr>
          <w:rFonts w:asciiTheme="majorBidi" w:hAnsiTheme="majorBidi" w:cstheme="majorBidi"/>
          <w:sz w:val="24"/>
          <w:szCs w:val="24"/>
        </w:rPr>
        <w:t xml:space="preserve"> will</w:t>
      </w:r>
      <w:r w:rsidR="00AE3587">
        <w:rPr>
          <w:rFonts w:asciiTheme="majorBidi" w:hAnsiTheme="majorBidi" w:cstheme="majorBidi"/>
          <w:sz w:val="24"/>
          <w:szCs w:val="24"/>
        </w:rPr>
        <w:t xml:space="preserve"> </w:t>
      </w:r>
      <w:r w:rsidR="00325FD2">
        <w:rPr>
          <w:rFonts w:asciiTheme="majorBidi" w:hAnsiTheme="majorBidi" w:cstheme="majorBidi"/>
          <w:sz w:val="24"/>
          <w:szCs w:val="24"/>
        </w:rPr>
        <w:t>be at least ten basis points below baseline</w:t>
      </w:r>
      <w:r w:rsidR="00AE3587">
        <w:rPr>
          <w:rFonts w:asciiTheme="majorBidi" w:hAnsiTheme="majorBidi" w:cstheme="majorBidi"/>
          <w:sz w:val="24"/>
          <w:szCs w:val="24"/>
        </w:rPr>
        <w:t xml:space="preserve">. </w:t>
      </w:r>
      <w:r w:rsidR="00642536">
        <w:rPr>
          <w:rFonts w:asciiTheme="majorBidi" w:hAnsiTheme="majorBidi" w:cstheme="majorBidi"/>
          <w:sz w:val="24"/>
          <w:szCs w:val="24"/>
        </w:rPr>
        <w:t>Also, foreign central banks and intuitional investors will</w:t>
      </w:r>
      <w:r w:rsidR="00D53042">
        <w:rPr>
          <w:rFonts w:asciiTheme="majorBidi" w:hAnsiTheme="majorBidi" w:cstheme="majorBidi"/>
          <w:sz w:val="24"/>
          <w:szCs w:val="24"/>
        </w:rPr>
        <w:t xml:space="preserve"> gradually</w:t>
      </w:r>
      <w:r w:rsidR="00642536">
        <w:rPr>
          <w:rFonts w:asciiTheme="majorBidi" w:hAnsiTheme="majorBidi" w:cstheme="majorBidi"/>
          <w:sz w:val="24"/>
          <w:szCs w:val="24"/>
        </w:rPr>
        <w:t xml:space="preserve"> reduce holdings in US treasuries as yield rate goes down and bond price goes up. </w:t>
      </w:r>
      <w:r w:rsidR="007250C9">
        <w:rPr>
          <w:rFonts w:asciiTheme="majorBidi" w:hAnsiTheme="majorBidi" w:cstheme="majorBidi"/>
          <w:sz w:val="24"/>
          <w:szCs w:val="24"/>
        </w:rPr>
        <w:t>Meanwhile, the U.S. Dollar (USD) will experience large depreciation especially in the first two years.</w:t>
      </w:r>
      <w:r w:rsidR="00052CBF">
        <w:rPr>
          <w:rFonts w:asciiTheme="majorBidi" w:hAnsiTheme="majorBidi" w:cstheme="majorBidi"/>
          <w:sz w:val="24"/>
          <w:szCs w:val="24"/>
        </w:rPr>
        <w:t xml:space="preserve"> Just in 2013, USD will depreciate 2.22 percent versus the baseline. </w:t>
      </w:r>
      <w:r w:rsidR="00B45573">
        <w:rPr>
          <w:rFonts w:asciiTheme="majorBidi" w:hAnsiTheme="majorBidi" w:cstheme="majorBidi"/>
          <w:sz w:val="24"/>
          <w:szCs w:val="24"/>
        </w:rPr>
        <w:t xml:space="preserve">The permanent fiscal deficit reduction </w:t>
      </w:r>
      <w:r w:rsidR="007250C9">
        <w:rPr>
          <w:rFonts w:asciiTheme="majorBidi" w:hAnsiTheme="majorBidi" w:cstheme="majorBidi"/>
          <w:sz w:val="24"/>
          <w:szCs w:val="24"/>
        </w:rPr>
        <w:t xml:space="preserve">could </w:t>
      </w:r>
      <w:r w:rsidR="009808B1">
        <w:rPr>
          <w:rFonts w:asciiTheme="majorBidi" w:hAnsiTheme="majorBidi" w:cstheme="majorBidi"/>
          <w:sz w:val="24"/>
          <w:szCs w:val="24"/>
        </w:rPr>
        <w:t>also result in</w:t>
      </w:r>
      <w:r w:rsidR="00B45573">
        <w:rPr>
          <w:rFonts w:asciiTheme="majorBidi" w:hAnsiTheme="majorBidi" w:cstheme="majorBidi"/>
          <w:sz w:val="24"/>
          <w:szCs w:val="24"/>
        </w:rPr>
        <w:t xml:space="preserve"> negative effect on </w:t>
      </w:r>
      <w:r w:rsidR="007250C9">
        <w:rPr>
          <w:rFonts w:asciiTheme="majorBidi" w:hAnsiTheme="majorBidi" w:cstheme="majorBidi"/>
          <w:sz w:val="24"/>
          <w:szCs w:val="24"/>
        </w:rPr>
        <w:t xml:space="preserve">equity </w:t>
      </w:r>
      <w:r w:rsidR="00B45573">
        <w:rPr>
          <w:rFonts w:asciiTheme="majorBidi" w:hAnsiTheme="majorBidi" w:cstheme="majorBidi"/>
          <w:sz w:val="24"/>
          <w:szCs w:val="24"/>
        </w:rPr>
        <w:t xml:space="preserve">investment. For example, stock market value will drop nearly three percent in the first year and </w:t>
      </w:r>
      <w:r w:rsidR="007250C9">
        <w:rPr>
          <w:rFonts w:asciiTheme="majorBidi" w:hAnsiTheme="majorBidi" w:cstheme="majorBidi"/>
          <w:sz w:val="24"/>
          <w:szCs w:val="24"/>
        </w:rPr>
        <w:t xml:space="preserve">later on </w:t>
      </w:r>
      <w:r w:rsidR="00B45573">
        <w:rPr>
          <w:rFonts w:asciiTheme="majorBidi" w:hAnsiTheme="majorBidi" w:cstheme="majorBidi"/>
          <w:sz w:val="24"/>
          <w:szCs w:val="24"/>
        </w:rPr>
        <w:t>will not come back to above baseline until after 50 years.</w:t>
      </w:r>
      <w:r w:rsidR="007250C9">
        <w:rPr>
          <w:rFonts w:asciiTheme="majorBidi" w:hAnsiTheme="majorBidi" w:cstheme="majorBidi"/>
          <w:sz w:val="24"/>
          <w:szCs w:val="24"/>
        </w:rPr>
        <w:t xml:space="preserve"> However, the impact of fiscal policy on stock market value is still very minimal.</w:t>
      </w:r>
      <w:r w:rsidR="00B45573">
        <w:rPr>
          <w:rFonts w:asciiTheme="majorBidi" w:hAnsiTheme="majorBidi" w:cstheme="majorBidi"/>
          <w:sz w:val="24"/>
          <w:szCs w:val="24"/>
        </w:rPr>
        <w:t xml:space="preserve"> </w:t>
      </w:r>
      <w:r w:rsidR="007250C9">
        <w:rPr>
          <w:rFonts w:asciiTheme="majorBidi" w:hAnsiTheme="majorBidi" w:cstheme="majorBidi"/>
          <w:sz w:val="24"/>
          <w:szCs w:val="24"/>
        </w:rPr>
        <w:t xml:space="preserve">Looking at the financial market as a whole, we can also see that fiscal policy has much more impact on bond market and exchange rate market than on equity market. </w:t>
      </w:r>
      <w:r w:rsidR="003633AA">
        <w:rPr>
          <w:rFonts w:asciiTheme="majorBidi" w:hAnsiTheme="majorBidi" w:cstheme="majorBidi"/>
          <w:sz w:val="24"/>
          <w:szCs w:val="24"/>
        </w:rPr>
        <w:t>Back to macroeconomic data, d</w:t>
      </w:r>
      <w:r w:rsidR="002A529F">
        <w:rPr>
          <w:rFonts w:asciiTheme="majorBidi" w:hAnsiTheme="majorBidi" w:cstheme="majorBidi"/>
          <w:sz w:val="24"/>
          <w:szCs w:val="24"/>
        </w:rPr>
        <w:t>emand for capital goods will decline sharply in the first four years. However, household consumption wi</w:t>
      </w:r>
      <w:r w:rsidR="003633AA">
        <w:rPr>
          <w:rFonts w:asciiTheme="majorBidi" w:hAnsiTheme="majorBidi" w:cstheme="majorBidi"/>
          <w:sz w:val="24"/>
          <w:szCs w:val="24"/>
        </w:rPr>
        <w:t xml:space="preserve">ll jump despite decline in GDP and </w:t>
      </w:r>
      <w:r w:rsidR="002A529F">
        <w:rPr>
          <w:rFonts w:asciiTheme="majorBidi" w:hAnsiTheme="majorBidi" w:cstheme="majorBidi"/>
          <w:sz w:val="24"/>
          <w:szCs w:val="24"/>
        </w:rPr>
        <w:t>demand for capital goods</w:t>
      </w:r>
      <w:r w:rsidR="003633AA">
        <w:rPr>
          <w:rFonts w:asciiTheme="majorBidi" w:hAnsiTheme="majorBidi" w:cstheme="majorBidi"/>
          <w:sz w:val="24"/>
          <w:szCs w:val="24"/>
        </w:rPr>
        <w:t xml:space="preserve">. </w:t>
      </w:r>
      <w:r w:rsidR="004C7BF4">
        <w:rPr>
          <w:rFonts w:asciiTheme="majorBidi" w:hAnsiTheme="majorBidi" w:cstheme="majorBidi"/>
          <w:sz w:val="24"/>
          <w:szCs w:val="24"/>
        </w:rPr>
        <w:t xml:space="preserve">Finally, trade balance will jump as a result of sharp US dollar depreciation that makes US export much more </w:t>
      </w:r>
      <w:r w:rsidR="006648F9">
        <w:rPr>
          <w:rFonts w:asciiTheme="majorBidi" w:hAnsiTheme="majorBidi" w:cstheme="majorBidi"/>
          <w:sz w:val="24"/>
          <w:szCs w:val="24"/>
        </w:rPr>
        <w:t>competitive</w:t>
      </w:r>
      <w:r w:rsidR="004C7BF4">
        <w:rPr>
          <w:rFonts w:asciiTheme="majorBidi" w:hAnsiTheme="majorBidi" w:cstheme="majorBidi"/>
          <w:sz w:val="24"/>
          <w:szCs w:val="24"/>
        </w:rPr>
        <w:t xml:space="preserve">. </w:t>
      </w:r>
    </w:p>
    <w:p w14:paraId="1DD02D9B" w14:textId="77777777" w:rsidR="00270BB4" w:rsidRDefault="00270BB4" w:rsidP="00D0753D">
      <w:pPr>
        <w:spacing w:line="360" w:lineRule="auto"/>
        <w:jc w:val="both"/>
        <w:rPr>
          <w:rFonts w:asciiTheme="majorBidi" w:hAnsiTheme="majorBidi" w:cstheme="majorBidi"/>
          <w:sz w:val="24"/>
          <w:szCs w:val="24"/>
        </w:rPr>
      </w:pPr>
    </w:p>
    <w:p w14:paraId="567253AC" w14:textId="77777777" w:rsidR="004661D3" w:rsidRPr="005B01D2" w:rsidRDefault="00066C37" w:rsidP="007203F9">
      <w:pPr>
        <w:spacing w:line="360" w:lineRule="auto"/>
        <w:jc w:val="both"/>
        <w:rPr>
          <w:rFonts w:asciiTheme="majorBidi" w:hAnsiTheme="majorBidi" w:cstheme="majorBidi"/>
          <w:b/>
          <w:bCs/>
          <w:sz w:val="24"/>
          <w:szCs w:val="24"/>
        </w:rPr>
      </w:pPr>
      <w:r w:rsidRPr="005B01D2">
        <w:rPr>
          <w:rFonts w:asciiTheme="majorBidi" w:hAnsiTheme="majorBidi" w:cstheme="majorBidi"/>
          <w:b/>
          <w:bCs/>
          <w:sz w:val="24"/>
          <w:szCs w:val="24"/>
        </w:rPr>
        <w:t>Case</w:t>
      </w:r>
      <w:r w:rsidR="004661D3" w:rsidRPr="005B01D2">
        <w:rPr>
          <w:rFonts w:asciiTheme="majorBidi" w:hAnsiTheme="majorBidi" w:cstheme="majorBidi"/>
          <w:b/>
          <w:bCs/>
          <w:sz w:val="24"/>
          <w:szCs w:val="24"/>
        </w:rPr>
        <w:t xml:space="preserve"> II: </w:t>
      </w:r>
      <w:r w:rsidR="00D16779">
        <w:rPr>
          <w:rFonts w:asciiTheme="majorBidi" w:hAnsiTheme="majorBidi" w:cstheme="majorBidi"/>
          <w:b/>
          <w:bCs/>
          <w:sz w:val="24"/>
          <w:szCs w:val="24"/>
        </w:rPr>
        <w:t xml:space="preserve">Phase-in </w:t>
      </w:r>
      <w:r w:rsidR="007203F9">
        <w:rPr>
          <w:rFonts w:asciiTheme="majorBidi" w:hAnsiTheme="majorBidi" w:cstheme="majorBidi"/>
          <w:b/>
          <w:bCs/>
          <w:sz w:val="24"/>
          <w:szCs w:val="24"/>
        </w:rPr>
        <w:t>fiscal contraction shock</w:t>
      </w:r>
    </w:p>
    <w:p w14:paraId="7B00C872" w14:textId="77777777" w:rsidR="004661D3" w:rsidRDefault="00E1169D" w:rsidP="00D02651">
      <w:pPr>
        <w:spacing w:line="360" w:lineRule="auto"/>
        <w:jc w:val="both"/>
        <w:rPr>
          <w:rFonts w:asciiTheme="majorBidi" w:hAnsiTheme="majorBidi" w:cstheme="majorBidi"/>
          <w:sz w:val="24"/>
          <w:szCs w:val="24"/>
        </w:rPr>
      </w:pPr>
      <w:r>
        <w:rPr>
          <w:rFonts w:asciiTheme="majorBidi" w:hAnsiTheme="majorBidi" w:cstheme="majorBidi"/>
          <w:sz w:val="24"/>
          <w:szCs w:val="24"/>
        </w:rPr>
        <w:t>The second</w:t>
      </w:r>
      <w:r w:rsidR="00F041F7">
        <w:rPr>
          <w:rFonts w:asciiTheme="majorBidi" w:hAnsiTheme="majorBidi" w:cstheme="majorBidi"/>
          <w:sz w:val="24"/>
          <w:szCs w:val="24"/>
        </w:rPr>
        <w:t xml:space="preserve"> case </w:t>
      </w:r>
      <w:r w:rsidR="00D16779">
        <w:rPr>
          <w:rFonts w:asciiTheme="majorBidi" w:hAnsiTheme="majorBidi" w:cstheme="majorBidi"/>
          <w:sz w:val="24"/>
          <w:szCs w:val="24"/>
        </w:rPr>
        <w:t xml:space="preserve">simulates </w:t>
      </w:r>
      <w:r w:rsidR="00C6025D">
        <w:rPr>
          <w:rFonts w:asciiTheme="majorBidi" w:hAnsiTheme="majorBidi" w:cstheme="majorBidi"/>
          <w:sz w:val="24"/>
          <w:szCs w:val="24"/>
        </w:rPr>
        <w:t xml:space="preserve">the </w:t>
      </w:r>
      <w:r w:rsidR="00D16779">
        <w:rPr>
          <w:rFonts w:asciiTheme="majorBidi" w:hAnsiTheme="majorBidi" w:cstheme="majorBidi"/>
          <w:sz w:val="24"/>
          <w:szCs w:val="24"/>
        </w:rPr>
        <w:t xml:space="preserve">shock of fiscal </w:t>
      </w:r>
      <w:r w:rsidR="00F73381">
        <w:rPr>
          <w:rFonts w:asciiTheme="majorBidi" w:hAnsiTheme="majorBidi" w:cstheme="majorBidi"/>
          <w:sz w:val="24"/>
          <w:szCs w:val="24"/>
        </w:rPr>
        <w:t xml:space="preserve">contraction </w:t>
      </w:r>
      <w:r w:rsidR="00D16779">
        <w:rPr>
          <w:rFonts w:asciiTheme="majorBidi" w:hAnsiTheme="majorBidi" w:cstheme="majorBidi"/>
          <w:sz w:val="24"/>
          <w:szCs w:val="24"/>
        </w:rPr>
        <w:t>policy under</w:t>
      </w:r>
      <w:r w:rsidR="00F041F7">
        <w:rPr>
          <w:rFonts w:asciiTheme="majorBidi" w:hAnsiTheme="majorBidi" w:cstheme="majorBidi"/>
          <w:sz w:val="24"/>
          <w:szCs w:val="24"/>
        </w:rPr>
        <w:t xml:space="preserve"> phase</w:t>
      </w:r>
      <w:r w:rsidR="00D16779">
        <w:rPr>
          <w:rFonts w:asciiTheme="majorBidi" w:hAnsiTheme="majorBidi" w:cstheme="majorBidi"/>
          <w:sz w:val="24"/>
          <w:szCs w:val="24"/>
        </w:rPr>
        <w:t>-in approach</w:t>
      </w:r>
      <w:r w:rsidR="00F041F7">
        <w:rPr>
          <w:rFonts w:asciiTheme="majorBidi" w:hAnsiTheme="majorBidi" w:cstheme="majorBidi"/>
          <w:sz w:val="24"/>
          <w:szCs w:val="24"/>
        </w:rPr>
        <w:t xml:space="preserve">. </w:t>
      </w:r>
      <w:r w:rsidR="00EA206C">
        <w:rPr>
          <w:rFonts w:asciiTheme="majorBidi" w:hAnsiTheme="majorBidi" w:cstheme="majorBidi"/>
          <w:sz w:val="24"/>
          <w:szCs w:val="24"/>
        </w:rPr>
        <w:t xml:space="preserve">Romer (2012) points out that households will respond to tax increase by raising consumption because they expect a small tax increase today is a signal of large reduction in government spending and therefore large tax cut in the future (p. 603). </w:t>
      </w:r>
      <w:r w:rsidR="00F041F7">
        <w:rPr>
          <w:rFonts w:asciiTheme="majorBidi" w:hAnsiTheme="majorBidi" w:cstheme="majorBidi"/>
          <w:sz w:val="24"/>
          <w:szCs w:val="24"/>
        </w:rPr>
        <w:t xml:space="preserve">Unlike the </w:t>
      </w:r>
      <w:r w:rsidR="002F23BA">
        <w:rPr>
          <w:rFonts w:asciiTheme="majorBidi" w:hAnsiTheme="majorBidi" w:cstheme="majorBidi"/>
          <w:sz w:val="24"/>
          <w:szCs w:val="24"/>
        </w:rPr>
        <w:t>permanent</w:t>
      </w:r>
      <w:r w:rsidR="00A23577">
        <w:rPr>
          <w:rFonts w:asciiTheme="majorBidi" w:hAnsiTheme="majorBidi" w:cstheme="majorBidi"/>
          <w:sz w:val="24"/>
          <w:szCs w:val="24"/>
        </w:rPr>
        <w:t xml:space="preserve"> </w:t>
      </w:r>
      <w:r w:rsidR="005612ED">
        <w:rPr>
          <w:rFonts w:asciiTheme="majorBidi" w:hAnsiTheme="majorBidi" w:cstheme="majorBidi"/>
          <w:sz w:val="24"/>
          <w:szCs w:val="24"/>
        </w:rPr>
        <w:t xml:space="preserve">fiscal contractions </w:t>
      </w:r>
      <w:r w:rsidR="00F041F7">
        <w:rPr>
          <w:rFonts w:asciiTheme="majorBidi" w:hAnsiTheme="majorBidi" w:cstheme="majorBidi"/>
          <w:sz w:val="24"/>
          <w:szCs w:val="24"/>
        </w:rPr>
        <w:t xml:space="preserve">policy, GDP will jump in the first two years, then dive sharply, and eventually bounce back to the level of baseline ten years later. </w:t>
      </w:r>
      <w:r w:rsidR="00B76592">
        <w:rPr>
          <w:rFonts w:asciiTheme="majorBidi" w:hAnsiTheme="majorBidi" w:cstheme="majorBidi"/>
          <w:sz w:val="24"/>
          <w:szCs w:val="24"/>
        </w:rPr>
        <w:t xml:space="preserve">The </w:t>
      </w:r>
      <w:r w:rsidR="00B04077">
        <w:rPr>
          <w:rFonts w:asciiTheme="majorBidi" w:hAnsiTheme="majorBidi" w:cstheme="majorBidi"/>
          <w:sz w:val="24"/>
          <w:szCs w:val="24"/>
        </w:rPr>
        <w:t xml:space="preserve">trend of GDP deviation </w:t>
      </w:r>
      <w:r w:rsidR="00B76592">
        <w:rPr>
          <w:rFonts w:asciiTheme="majorBidi" w:hAnsiTheme="majorBidi" w:cstheme="majorBidi"/>
          <w:sz w:val="24"/>
          <w:szCs w:val="24"/>
        </w:rPr>
        <w:t xml:space="preserve">under phase-in policy is also </w:t>
      </w:r>
      <w:r w:rsidR="008F0C9B">
        <w:rPr>
          <w:rFonts w:asciiTheme="majorBidi" w:hAnsiTheme="majorBidi" w:cstheme="majorBidi"/>
          <w:sz w:val="24"/>
          <w:szCs w:val="24"/>
        </w:rPr>
        <w:t xml:space="preserve">more volatile than that </w:t>
      </w:r>
      <w:r w:rsidR="00B76592">
        <w:rPr>
          <w:rFonts w:asciiTheme="majorBidi" w:hAnsiTheme="majorBidi" w:cstheme="majorBidi"/>
          <w:sz w:val="24"/>
          <w:szCs w:val="24"/>
        </w:rPr>
        <w:t>under</w:t>
      </w:r>
      <w:r w:rsidR="008F0C9B">
        <w:rPr>
          <w:rFonts w:asciiTheme="majorBidi" w:hAnsiTheme="majorBidi" w:cstheme="majorBidi"/>
          <w:sz w:val="24"/>
          <w:szCs w:val="24"/>
        </w:rPr>
        <w:t xml:space="preserve"> </w:t>
      </w:r>
      <w:r w:rsidR="00142B10">
        <w:rPr>
          <w:rFonts w:asciiTheme="majorBidi" w:hAnsiTheme="majorBidi" w:cstheme="majorBidi"/>
          <w:sz w:val="24"/>
          <w:szCs w:val="24"/>
        </w:rPr>
        <w:t>permanent</w:t>
      </w:r>
      <w:r w:rsidR="008F0C9B">
        <w:rPr>
          <w:rFonts w:asciiTheme="majorBidi" w:hAnsiTheme="majorBidi" w:cstheme="majorBidi"/>
          <w:sz w:val="24"/>
          <w:szCs w:val="24"/>
        </w:rPr>
        <w:t xml:space="preserve"> policy. </w:t>
      </w:r>
      <w:r w:rsidR="00400C1F">
        <w:rPr>
          <w:rFonts w:asciiTheme="majorBidi" w:hAnsiTheme="majorBidi" w:cstheme="majorBidi"/>
          <w:sz w:val="24"/>
          <w:szCs w:val="24"/>
        </w:rPr>
        <w:t>Eventually, b</w:t>
      </w:r>
      <w:r w:rsidR="008F0C9B">
        <w:rPr>
          <w:rFonts w:asciiTheme="majorBidi" w:hAnsiTheme="majorBidi" w:cstheme="majorBidi"/>
          <w:sz w:val="24"/>
          <w:szCs w:val="24"/>
        </w:rPr>
        <w:t xml:space="preserve">oth </w:t>
      </w:r>
      <w:r w:rsidR="00B41D6D">
        <w:rPr>
          <w:rFonts w:asciiTheme="majorBidi" w:hAnsiTheme="majorBidi" w:cstheme="majorBidi"/>
          <w:sz w:val="24"/>
          <w:szCs w:val="24"/>
        </w:rPr>
        <w:t xml:space="preserve">GDP of case I and II </w:t>
      </w:r>
      <w:r w:rsidR="008F0C9B">
        <w:rPr>
          <w:rFonts w:asciiTheme="majorBidi" w:hAnsiTheme="majorBidi" w:cstheme="majorBidi"/>
          <w:sz w:val="24"/>
          <w:szCs w:val="24"/>
        </w:rPr>
        <w:t xml:space="preserve">will converge to same level at around 15 years later. </w:t>
      </w:r>
      <w:r w:rsidR="009E248B">
        <w:rPr>
          <w:rFonts w:asciiTheme="majorBidi" w:hAnsiTheme="majorBidi" w:cstheme="majorBidi"/>
          <w:sz w:val="24"/>
          <w:szCs w:val="24"/>
        </w:rPr>
        <w:t xml:space="preserve">Capital goods demanded </w:t>
      </w:r>
      <w:r w:rsidR="009E248B">
        <w:rPr>
          <w:rFonts w:asciiTheme="majorBidi" w:hAnsiTheme="majorBidi" w:cstheme="majorBidi"/>
          <w:sz w:val="24"/>
          <w:szCs w:val="24"/>
        </w:rPr>
        <w:lastRenderedPageBreak/>
        <w:t xml:space="preserve">will </w:t>
      </w:r>
      <w:r w:rsidR="0059245D">
        <w:rPr>
          <w:rFonts w:asciiTheme="majorBidi" w:hAnsiTheme="majorBidi" w:cstheme="majorBidi"/>
          <w:sz w:val="24"/>
          <w:szCs w:val="24"/>
        </w:rPr>
        <w:t xml:space="preserve">be </w:t>
      </w:r>
      <w:r w:rsidR="009E248B">
        <w:rPr>
          <w:rFonts w:asciiTheme="majorBidi" w:hAnsiTheme="majorBidi" w:cstheme="majorBidi"/>
          <w:sz w:val="24"/>
          <w:szCs w:val="24"/>
        </w:rPr>
        <w:t xml:space="preserve">reduced in the first two years and then rebounded to above baseline </w:t>
      </w:r>
      <w:r w:rsidR="0059245D">
        <w:rPr>
          <w:rFonts w:asciiTheme="majorBidi" w:hAnsiTheme="majorBidi" w:cstheme="majorBidi"/>
          <w:sz w:val="24"/>
          <w:szCs w:val="24"/>
        </w:rPr>
        <w:t>two years earlier than case I</w:t>
      </w:r>
      <w:r w:rsidR="009E248B">
        <w:rPr>
          <w:rFonts w:asciiTheme="majorBidi" w:hAnsiTheme="majorBidi" w:cstheme="majorBidi"/>
          <w:sz w:val="24"/>
          <w:szCs w:val="24"/>
        </w:rPr>
        <w:t xml:space="preserve">. </w:t>
      </w:r>
      <w:r w:rsidR="00B41D6D">
        <w:rPr>
          <w:rFonts w:asciiTheme="majorBidi" w:hAnsiTheme="majorBidi" w:cstheme="majorBidi"/>
          <w:sz w:val="24"/>
          <w:szCs w:val="24"/>
        </w:rPr>
        <w:t xml:space="preserve">However, in this </w:t>
      </w:r>
      <w:r w:rsidR="00D67232">
        <w:rPr>
          <w:rFonts w:asciiTheme="majorBidi" w:hAnsiTheme="majorBidi" w:cstheme="majorBidi"/>
          <w:sz w:val="24"/>
          <w:szCs w:val="24"/>
        </w:rPr>
        <w:t>simulation</w:t>
      </w:r>
      <w:r w:rsidR="00B41D6D">
        <w:rPr>
          <w:rFonts w:asciiTheme="majorBidi" w:hAnsiTheme="majorBidi" w:cstheme="majorBidi"/>
          <w:sz w:val="24"/>
          <w:szCs w:val="24"/>
        </w:rPr>
        <w:t xml:space="preserve">, consumption in case II will increase less than case I </w:t>
      </w:r>
      <w:r w:rsidR="00D67232">
        <w:rPr>
          <w:rFonts w:asciiTheme="majorBidi" w:hAnsiTheme="majorBidi" w:cstheme="majorBidi"/>
          <w:sz w:val="24"/>
          <w:szCs w:val="24"/>
        </w:rPr>
        <w:t>due to the fact that interest rate is effectively lower in case I.</w:t>
      </w:r>
      <w:r w:rsidR="00B10ABA">
        <w:rPr>
          <w:rFonts w:asciiTheme="majorBidi" w:hAnsiTheme="majorBidi" w:cstheme="majorBidi"/>
          <w:sz w:val="24"/>
          <w:szCs w:val="24"/>
        </w:rPr>
        <w:t xml:space="preserve"> Moreover, actual policy rate under case II will jump in the first four years</w:t>
      </w:r>
      <w:r w:rsidR="00923937">
        <w:rPr>
          <w:rFonts w:asciiTheme="majorBidi" w:hAnsiTheme="majorBidi" w:cstheme="majorBidi"/>
          <w:sz w:val="24"/>
          <w:szCs w:val="24"/>
        </w:rPr>
        <w:t xml:space="preserve">. </w:t>
      </w:r>
      <w:r w:rsidR="00D02651">
        <w:rPr>
          <w:rFonts w:asciiTheme="majorBidi" w:hAnsiTheme="majorBidi" w:cstheme="majorBidi"/>
          <w:sz w:val="24"/>
          <w:szCs w:val="24"/>
        </w:rPr>
        <w:t xml:space="preserve">Thus, household consumption will be less encouraged by phase-in fiscal reduction. </w:t>
      </w:r>
      <w:r w:rsidR="00917CE2">
        <w:rPr>
          <w:rFonts w:asciiTheme="majorBidi" w:hAnsiTheme="majorBidi" w:cstheme="majorBidi"/>
          <w:sz w:val="24"/>
          <w:szCs w:val="24"/>
        </w:rPr>
        <w:t xml:space="preserve">The actual policy rate will rise by 38 and 19 basis points in 2014 and 2015 respectively, then followed by further diminishing growth and dive. </w:t>
      </w:r>
      <w:r w:rsidR="00D02651">
        <w:rPr>
          <w:rFonts w:asciiTheme="majorBidi" w:hAnsiTheme="majorBidi" w:cstheme="majorBidi"/>
          <w:sz w:val="24"/>
          <w:szCs w:val="24"/>
        </w:rPr>
        <w:t>Also, t</w:t>
      </w:r>
      <w:r w:rsidR="006B1BBD">
        <w:rPr>
          <w:rFonts w:asciiTheme="majorBidi" w:hAnsiTheme="majorBidi" w:cstheme="majorBidi"/>
          <w:sz w:val="24"/>
          <w:szCs w:val="24"/>
        </w:rPr>
        <w:t xml:space="preserve">he volatility of actual policy rate may wreak havoc in the financial market because the long term annual change has only been around three basis points. </w:t>
      </w:r>
      <w:r w:rsidR="00923937">
        <w:rPr>
          <w:rFonts w:asciiTheme="majorBidi" w:hAnsiTheme="majorBidi" w:cstheme="majorBidi"/>
          <w:sz w:val="24"/>
          <w:szCs w:val="24"/>
        </w:rPr>
        <w:t>S</w:t>
      </w:r>
      <w:r w:rsidR="00B10ABA">
        <w:rPr>
          <w:rFonts w:asciiTheme="majorBidi" w:hAnsiTheme="majorBidi" w:cstheme="majorBidi"/>
          <w:sz w:val="24"/>
          <w:szCs w:val="24"/>
        </w:rPr>
        <w:t>tock of debt will fall initially but less than that under case I.</w:t>
      </w:r>
      <w:r w:rsidR="004E137A">
        <w:rPr>
          <w:rFonts w:asciiTheme="majorBidi" w:hAnsiTheme="majorBidi" w:cstheme="majorBidi"/>
          <w:sz w:val="24"/>
          <w:szCs w:val="24"/>
        </w:rPr>
        <w:t xml:space="preserve"> </w:t>
      </w:r>
      <w:r w:rsidR="006B1BBD">
        <w:rPr>
          <w:rFonts w:asciiTheme="majorBidi" w:hAnsiTheme="majorBidi" w:cstheme="majorBidi"/>
          <w:sz w:val="24"/>
          <w:szCs w:val="24"/>
        </w:rPr>
        <w:t xml:space="preserve">However, </w:t>
      </w:r>
      <w:r w:rsidR="00B70699">
        <w:rPr>
          <w:rFonts w:asciiTheme="majorBidi" w:hAnsiTheme="majorBidi" w:cstheme="majorBidi"/>
          <w:sz w:val="24"/>
          <w:szCs w:val="24"/>
        </w:rPr>
        <w:t xml:space="preserve">the ten-year yield will not increase with actual policy rate and </w:t>
      </w:r>
      <w:r w:rsidR="006B1BBD">
        <w:rPr>
          <w:rFonts w:asciiTheme="majorBidi" w:hAnsiTheme="majorBidi" w:cstheme="majorBidi"/>
          <w:sz w:val="24"/>
          <w:szCs w:val="24"/>
        </w:rPr>
        <w:t>t</w:t>
      </w:r>
      <w:r w:rsidR="004E137A">
        <w:rPr>
          <w:rFonts w:asciiTheme="majorBidi" w:hAnsiTheme="majorBidi" w:cstheme="majorBidi"/>
          <w:sz w:val="24"/>
          <w:szCs w:val="24"/>
        </w:rPr>
        <w:t>he decline is also much less</w:t>
      </w:r>
      <w:r w:rsidR="00B70699">
        <w:rPr>
          <w:rFonts w:asciiTheme="majorBidi" w:hAnsiTheme="majorBidi" w:cstheme="majorBidi"/>
          <w:sz w:val="24"/>
          <w:szCs w:val="24"/>
        </w:rPr>
        <w:t xml:space="preserve"> severe than that in case I</w:t>
      </w:r>
      <w:r w:rsidR="004E137A">
        <w:rPr>
          <w:rFonts w:asciiTheme="majorBidi" w:hAnsiTheme="majorBidi" w:cstheme="majorBidi"/>
          <w:sz w:val="24"/>
          <w:szCs w:val="24"/>
        </w:rPr>
        <w:t xml:space="preserve">. </w:t>
      </w:r>
      <w:r w:rsidR="008F0C9B">
        <w:rPr>
          <w:rFonts w:asciiTheme="majorBidi" w:hAnsiTheme="majorBidi" w:cstheme="majorBidi"/>
          <w:sz w:val="24"/>
          <w:szCs w:val="24"/>
        </w:rPr>
        <w:t xml:space="preserve">Although GDP appears to be more volatile in case II, the stock market value of case </w:t>
      </w:r>
      <w:r w:rsidR="00B01E2D">
        <w:rPr>
          <w:rFonts w:asciiTheme="majorBidi" w:hAnsiTheme="majorBidi" w:cstheme="majorBidi"/>
          <w:sz w:val="24"/>
          <w:szCs w:val="24"/>
        </w:rPr>
        <w:t>I</w:t>
      </w:r>
      <w:r w:rsidR="008F0C9B">
        <w:rPr>
          <w:rFonts w:asciiTheme="majorBidi" w:hAnsiTheme="majorBidi" w:cstheme="majorBidi"/>
          <w:sz w:val="24"/>
          <w:szCs w:val="24"/>
        </w:rPr>
        <w:t>I actually reacts more calmly than case I</w:t>
      </w:r>
      <w:r w:rsidR="00917CE2">
        <w:rPr>
          <w:rFonts w:asciiTheme="majorBidi" w:hAnsiTheme="majorBidi" w:cstheme="majorBidi"/>
          <w:sz w:val="24"/>
          <w:szCs w:val="24"/>
        </w:rPr>
        <w:t xml:space="preserve">. </w:t>
      </w:r>
      <w:r w:rsidR="005F2F41">
        <w:rPr>
          <w:rFonts w:asciiTheme="majorBidi" w:hAnsiTheme="majorBidi" w:cstheme="majorBidi"/>
          <w:sz w:val="24"/>
          <w:szCs w:val="24"/>
        </w:rPr>
        <w:t xml:space="preserve">Real exchange rate will also depreciate </w:t>
      </w:r>
      <w:r w:rsidR="00CB4949">
        <w:rPr>
          <w:rFonts w:asciiTheme="majorBidi" w:hAnsiTheme="majorBidi" w:cstheme="majorBidi"/>
          <w:sz w:val="24"/>
          <w:szCs w:val="24"/>
        </w:rPr>
        <w:t>but the magnitude is</w:t>
      </w:r>
      <w:r w:rsidR="005F2F41">
        <w:rPr>
          <w:rFonts w:asciiTheme="majorBidi" w:hAnsiTheme="majorBidi" w:cstheme="majorBidi"/>
          <w:sz w:val="24"/>
          <w:szCs w:val="24"/>
        </w:rPr>
        <w:t xml:space="preserve"> less than under</w:t>
      </w:r>
      <w:r w:rsidR="00CB4949">
        <w:rPr>
          <w:rFonts w:asciiTheme="majorBidi" w:hAnsiTheme="majorBidi" w:cstheme="majorBidi"/>
          <w:sz w:val="24"/>
          <w:szCs w:val="24"/>
        </w:rPr>
        <w:t xml:space="preserve"> the</w:t>
      </w:r>
      <w:r w:rsidR="005F2F41">
        <w:rPr>
          <w:rFonts w:asciiTheme="majorBidi" w:hAnsiTheme="majorBidi" w:cstheme="majorBidi"/>
          <w:sz w:val="24"/>
          <w:szCs w:val="24"/>
        </w:rPr>
        <w:t xml:space="preserve"> </w:t>
      </w:r>
      <w:r w:rsidR="00B335F3">
        <w:rPr>
          <w:rFonts w:asciiTheme="majorBidi" w:hAnsiTheme="majorBidi" w:cstheme="majorBidi"/>
          <w:sz w:val="24"/>
          <w:szCs w:val="24"/>
        </w:rPr>
        <w:t>permanent</w:t>
      </w:r>
      <w:r w:rsidR="005F2F41">
        <w:rPr>
          <w:rFonts w:asciiTheme="majorBidi" w:hAnsiTheme="majorBidi" w:cstheme="majorBidi"/>
          <w:sz w:val="24"/>
          <w:szCs w:val="24"/>
        </w:rPr>
        <w:t xml:space="preserve"> policy. Furthermore, trade balance will also increase but </w:t>
      </w:r>
      <w:r w:rsidR="0091126C">
        <w:rPr>
          <w:rFonts w:asciiTheme="majorBidi" w:hAnsiTheme="majorBidi" w:cstheme="majorBidi"/>
          <w:sz w:val="24"/>
          <w:szCs w:val="24"/>
        </w:rPr>
        <w:t>smaller</w:t>
      </w:r>
      <w:r w:rsidR="005F2F41">
        <w:rPr>
          <w:rFonts w:asciiTheme="majorBidi" w:hAnsiTheme="majorBidi" w:cstheme="majorBidi"/>
          <w:sz w:val="24"/>
          <w:szCs w:val="24"/>
        </w:rPr>
        <w:t xml:space="preserve"> than that under </w:t>
      </w:r>
      <w:r w:rsidR="00925FE3">
        <w:rPr>
          <w:rFonts w:asciiTheme="majorBidi" w:hAnsiTheme="majorBidi" w:cstheme="majorBidi"/>
          <w:sz w:val="24"/>
          <w:szCs w:val="24"/>
        </w:rPr>
        <w:t>case I</w:t>
      </w:r>
      <w:r w:rsidR="005F2F41">
        <w:rPr>
          <w:rFonts w:asciiTheme="majorBidi" w:hAnsiTheme="majorBidi" w:cstheme="majorBidi"/>
          <w:sz w:val="24"/>
          <w:szCs w:val="24"/>
        </w:rPr>
        <w:t xml:space="preserve">. </w:t>
      </w:r>
    </w:p>
    <w:p w14:paraId="6816AAE2" w14:textId="77777777" w:rsidR="00E1384D" w:rsidRPr="002D5210" w:rsidRDefault="002D5210" w:rsidP="00D61507">
      <w:pPr>
        <w:spacing w:line="360" w:lineRule="auto"/>
        <w:jc w:val="both"/>
        <w:rPr>
          <w:rFonts w:asciiTheme="majorBidi" w:hAnsiTheme="majorBidi" w:cstheme="majorBidi"/>
          <w:color w:val="0D0D0D" w:themeColor="text1" w:themeTint="F2"/>
          <w:sz w:val="24"/>
          <w:szCs w:val="24"/>
        </w:rPr>
      </w:pPr>
      <w:r>
        <w:rPr>
          <w:rFonts w:asciiTheme="majorBidi" w:hAnsiTheme="majorBidi" w:cstheme="majorBidi"/>
          <w:sz w:val="24"/>
          <w:szCs w:val="24"/>
        </w:rPr>
        <w:t>After c</w:t>
      </w:r>
      <w:r w:rsidR="00E1384D">
        <w:rPr>
          <w:rFonts w:asciiTheme="majorBidi" w:hAnsiTheme="majorBidi" w:cstheme="majorBidi"/>
          <w:sz w:val="24"/>
          <w:szCs w:val="24"/>
        </w:rPr>
        <w:t>omparing case</w:t>
      </w:r>
      <w:r w:rsidR="00AA2070">
        <w:rPr>
          <w:rFonts w:asciiTheme="majorBidi" w:hAnsiTheme="majorBidi" w:cstheme="majorBidi"/>
          <w:sz w:val="24"/>
          <w:szCs w:val="24"/>
        </w:rPr>
        <w:t>s</w:t>
      </w:r>
      <w:r w:rsidR="00E1384D">
        <w:rPr>
          <w:rFonts w:asciiTheme="majorBidi" w:hAnsiTheme="majorBidi" w:cstheme="majorBidi"/>
          <w:sz w:val="24"/>
          <w:szCs w:val="24"/>
        </w:rPr>
        <w:t xml:space="preserve"> I and II, </w:t>
      </w:r>
      <w:r>
        <w:rPr>
          <w:rFonts w:asciiTheme="majorBidi" w:hAnsiTheme="majorBidi" w:cstheme="majorBidi"/>
          <w:sz w:val="24"/>
          <w:szCs w:val="24"/>
        </w:rPr>
        <w:t xml:space="preserve">we can see that </w:t>
      </w:r>
      <w:r w:rsidRPr="002D5210">
        <w:rPr>
          <w:rFonts w:asciiTheme="majorBidi" w:hAnsiTheme="majorBidi" w:cstheme="majorBidi"/>
          <w:color w:val="0D0D0D" w:themeColor="text1" w:themeTint="F2"/>
          <w:sz w:val="24"/>
          <w:szCs w:val="24"/>
        </w:rPr>
        <w:t xml:space="preserve">phase-in policy has higher GDP than that in permanent policy in the first two years. </w:t>
      </w:r>
      <w:r w:rsidR="00E1384D" w:rsidRPr="002D5210">
        <w:rPr>
          <w:rFonts w:asciiTheme="majorBidi" w:hAnsiTheme="majorBidi" w:cstheme="majorBidi"/>
          <w:color w:val="0D0D0D" w:themeColor="text1" w:themeTint="F2"/>
          <w:sz w:val="24"/>
          <w:szCs w:val="24"/>
        </w:rPr>
        <w:t xml:space="preserve">McKibbin and Vines (2000) </w:t>
      </w:r>
      <w:r w:rsidRPr="002D5210">
        <w:rPr>
          <w:rFonts w:asciiTheme="majorBidi" w:hAnsiTheme="majorBidi" w:cstheme="majorBidi"/>
          <w:color w:val="0D0D0D" w:themeColor="text1" w:themeTint="F2"/>
          <w:sz w:val="24"/>
          <w:szCs w:val="24"/>
        </w:rPr>
        <w:t xml:space="preserve">also </w:t>
      </w:r>
      <w:r w:rsidR="00E1384D" w:rsidRPr="002D5210">
        <w:rPr>
          <w:rFonts w:asciiTheme="majorBidi" w:hAnsiTheme="majorBidi" w:cstheme="majorBidi"/>
          <w:color w:val="0D0D0D" w:themeColor="text1" w:themeTint="F2"/>
          <w:sz w:val="24"/>
          <w:szCs w:val="24"/>
        </w:rPr>
        <w:t xml:space="preserve">point out that permanent reduction is </w:t>
      </w:r>
      <w:r w:rsidR="002D3D4C" w:rsidRPr="002D5210">
        <w:rPr>
          <w:rFonts w:asciiTheme="majorBidi" w:hAnsiTheme="majorBidi" w:cstheme="majorBidi"/>
          <w:color w:val="0D0D0D" w:themeColor="text1" w:themeTint="F2"/>
          <w:sz w:val="24"/>
          <w:szCs w:val="24"/>
        </w:rPr>
        <w:t>more contractionary than phased-</w:t>
      </w:r>
      <w:r w:rsidR="00E1384D" w:rsidRPr="002D5210">
        <w:rPr>
          <w:rFonts w:asciiTheme="majorBidi" w:hAnsiTheme="majorBidi" w:cstheme="majorBidi"/>
          <w:color w:val="0D0D0D" w:themeColor="text1" w:themeTint="F2"/>
          <w:sz w:val="24"/>
          <w:szCs w:val="24"/>
        </w:rPr>
        <w:t>in fiscal contraction</w:t>
      </w:r>
      <w:r w:rsidRPr="002D5210">
        <w:rPr>
          <w:rFonts w:asciiTheme="majorBidi" w:hAnsiTheme="majorBidi" w:cstheme="majorBidi"/>
          <w:color w:val="0D0D0D" w:themeColor="text1" w:themeTint="F2"/>
          <w:sz w:val="24"/>
          <w:szCs w:val="24"/>
        </w:rPr>
        <w:t xml:space="preserve"> </w:t>
      </w:r>
      <w:r w:rsidR="00044D5C">
        <w:rPr>
          <w:rFonts w:asciiTheme="majorBidi" w:hAnsiTheme="majorBidi" w:cstheme="majorBidi"/>
          <w:color w:val="0D0D0D" w:themeColor="text1" w:themeTint="F2"/>
          <w:sz w:val="24"/>
          <w:szCs w:val="24"/>
        </w:rPr>
        <w:t>because by the</w:t>
      </w:r>
      <w:r w:rsidRPr="002D5210">
        <w:rPr>
          <w:rFonts w:asciiTheme="majorBidi" w:hAnsiTheme="majorBidi" w:cstheme="majorBidi"/>
          <w:color w:val="0D0D0D" w:themeColor="text1" w:themeTint="F2"/>
          <w:sz w:val="24"/>
          <w:szCs w:val="24"/>
        </w:rPr>
        <w:t xml:space="preserve"> time the gradual increase in spending cuts actually happens</w:t>
      </w:r>
      <w:r w:rsidR="00044D5C">
        <w:rPr>
          <w:rFonts w:asciiTheme="majorBidi" w:hAnsiTheme="majorBidi" w:cstheme="majorBidi"/>
          <w:color w:val="0D0D0D" w:themeColor="text1" w:themeTint="F2"/>
          <w:sz w:val="24"/>
          <w:szCs w:val="24"/>
        </w:rPr>
        <w:t xml:space="preserve"> in case II</w:t>
      </w:r>
      <w:r w:rsidRPr="002D5210">
        <w:rPr>
          <w:rFonts w:asciiTheme="majorBidi" w:hAnsiTheme="majorBidi" w:cstheme="majorBidi"/>
          <w:color w:val="0D0D0D" w:themeColor="text1" w:themeTint="F2"/>
          <w:sz w:val="24"/>
          <w:szCs w:val="24"/>
        </w:rPr>
        <w:t>, there will be enough stimulus induced by the forward looking an</w:t>
      </w:r>
      <w:r w:rsidR="00044D5C">
        <w:rPr>
          <w:rFonts w:asciiTheme="majorBidi" w:hAnsiTheme="majorBidi" w:cstheme="majorBidi"/>
          <w:color w:val="0D0D0D" w:themeColor="text1" w:themeTint="F2"/>
          <w:sz w:val="24"/>
          <w:szCs w:val="24"/>
        </w:rPr>
        <w:t>d</w:t>
      </w:r>
      <w:r w:rsidRPr="002D5210">
        <w:rPr>
          <w:rFonts w:asciiTheme="majorBidi" w:hAnsiTheme="majorBidi" w:cstheme="majorBidi"/>
          <w:color w:val="0D0D0D" w:themeColor="text1" w:themeTint="F2"/>
          <w:sz w:val="24"/>
          <w:szCs w:val="24"/>
        </w:rPr>
        <w:t xml:space="preserve"> inter-temporal budget constraints that the adjustment </w:t>
      </w:r>
      <w:r w:rsidR="00C838EE">
        <w:rPr>
          <w:rFonts w:asciiTheme="majorBidi" w:hAnsiTheme="majorBidi" w:cstheme="majorBidi"/>
          <w:color w:val="0D0D0D" w:themeColor="text1" w:themeTint="F2"/>
          <w:sz w:val="24"/>
          <w:szCs w:val="24"/>
        </w:rPr>
        <w:t xml:space="preserve">costs </w:t>
      </w:r>
      <w:r w:rsidRPr="002D5210">
        <w:rPr>
          <w:rFonts w:asciiTheme="majorBidi" w:hAnsiTheme="majorBidi" w:cstheme="majorBidi"/>
          <w:color w:val="0D0D0D" w:themeColor="text1" w:themeTint="F2"/>
          <w:sz w:val="24"/>
          <w:szCs w:val="24"/>
        </w:rPr>
        <w:t>and wage stickiness do not cause GDP slowdown</w:t>
      </w:r>
      <w:r w:rsidR="00F26C39">
        <w:rPr>
          <w:rFonts w:asciiTheme="majorBidi" w:hAnsiTheme="majorBidi" w:cstheme="majorBidi"/>
          <w:color w:val="0D0D0D" w:themeColor="text1" w:themeTint="F2"/>
          <w:sz w:val="24"/>
          <w:szCs w:val="24"/>
        </w:rPr>
        <w:t xml:space="preserve"> in case II</w:t>
      </w:r>
      <w:r w:rsidR="004C11B7">
        <w:rPr>
          <w:rFonts w:asciiTheme="majorBidi" w:hAnsiTheme="majorBidi" w:cstheme="majorBidi"/>
          <w:color w:val="0D0D0D" w:themeColor="text1" w:themeTint="F2"/>
          <w:sz w:val="24"/>
          <w:szCs w:val="24"/>
        </w:rPr>
        <w:t xml:space="preserve"> simulated by G-Cubed</w:t>
      </w:r>
      <w:r w:rsidRPr="002D5210">
        <w:rPr>
          <w:rFonts w:asciiTheme="majorBidi" w:hAnsiTheme="majorBidi" w:cstheme="majorBidi"/>
          <w:color w:val="0D0D0D" w:themeColor="text1" w:themeTint="F2"/>
          <w:sz w:val="24"/>
          <w:szCs w:val="24"/>
        </w:rPr>
        <w:t xml:space="preserve"> </w:t>
      </w:r>
      <w:r w:rsidR="00E1562A">
        <w:rPr>
          <w:rFonts w:asciiTheme="majorBidi" w:hAnsiTheme="majorBidi" w:cstheme="majorBidi"/>
          <w:color w:val="0D0D0D" w:themeColor="text1" w:themeTint="F2"/>
          <w:sz w:val="24"/>
          <w:szCs w:val="24"/>
        </w:rPr>
        <w:t xml:space="preserve">model </w:t>
      </w:r>
      <w:r w:rsidRPr="002D5210">
        <w:rPr>
          <w:rFonts w:asciiTheme="majorBidi" w:hAnsiTheme="majorBidi" w:cstheme="majorBidi"/>
          <w:color w:val="0D0D0D" w:themeColor="text1" w:themeTint="F2"/>
          <w:sz w:val="24"/>
          <w:szCs w:val="24"/>
        </w:rPr>
        <w:t>(p. 115).</w:t>
      </w:r>
      <w:r w:rsidR="000A2F07">
        <w:rPr>
          <w:rFonts w:asciiTheme="majorBidi" w:hAnsiTheme="majorBidi" w:cstheme="majorBidi"/>
          <w:color w:val="0D0D0D" w:themeColor="text1" w:themeTint="F2"/>
          <w:sz w:val="24"/>
          <w:szCs w:val="24"/>
        </w:rPr>
        <w:t xml:space="preserve"> </w:t>
      </w:r>
    </w:p>
    <w:p w14:paraId="48A6887A" w14:textId="77777777" w:rsidR="00E1384D" w:rsidRDefault="00E1384D" w:rsidP="00D0753D">
      <w:pPr>
        <w:spacing w:line="360" w:lineRule="auto"/>
        <w:jc w:val="both"/>
        <w:rPr>
          <w:rFonts w:asciiTheme="majorBidi" w:hAnsiTheme="majorBidi" w:cstheme="majorBidi"/>
          <w:sz w:val="24"/>
          <w:szCs w:val="24"/>
        </w:rPr>
      </w:pPr>
    </w:p>
    <w:p w14:paraId="37CE8B22" w14:textId="77777777" w:rsidR="00CC3CCE" w:rsidRPr="006648F9" w:rsidRDefault="00066C37" w:rsidP="00A938E5">
      <w:pPr>
        <w:spacing w:line="360" w:lineRule="auto"/>
        <w:jc w:val="both"/>
        <w:rPr>
          <w:rFonts w:asciiTheme="majorBidi" w:hAnsiTheme="majorBidi" w:cstheme="majorBidi"/>
          <w:b/>
          <w:bCs/>
          <w:sz w:val="24"/>
          <w:szCs w:val="24"/>
        </w:rPr>
      </w:pPr>
      <w:r w:rsidRPr="006648F9">
        <w:rPr>
          <w:rFonts w:asciiTheme="majorBidi" w:hAnsiTheme="majorBidi" w:cstheme="majorBidi"/>
          <w:b/>
          <w:bCs/>
          <w:sz w:val="24"/>
          <w:szCs w:val="24"/>
        </w:rPr>
        <w:t>Case</w:t>
      </w:r>
      <w:r w:rsidR="00CC3CCE" w:rsidRPr="006648F9">
        <w:rPr>
          <w:rFonts w:asciiTheme="majorBidi" w:hAnsiTheme="majorBidi" w:cstheme="majorBidi"/>
          <w:b/>
          <w:bCs/>
          <w:sz w:val="24"/>
          <w:szCs w:val="24"/>
        </w:rPr>
        <w:t xml:space="preserve"> III:</w:t>
      </w:r>
      <w:r w:rsidR="00D85A98" w:rsidRPr="006648F9">
        <w:rPr>
          <w:rFonts w:asciiTheme="majorBidi" w:hAnsiTheme="majorBidi" w:cstheme="majorBidi"/>
          <w:b/>
          <w:bCs/>
          <w:sz w:val="24"/>
          <w:szCs w:val="24"/>
        </w:rPr>
        <w:t xml:space="preserve"> </w:t>
      </w:r>
      <w:r w:rsidR="00A938E5">
        <w:rPr>
          <w:rFonts w:asciiTheme="majorBidi" w:hAnsiTheme="majorBidi" w:cstheme="majorBidi"/>
          <w:b/>
          <w:bCs/>
          <w:sz w:val="24"/>
          <w:szCs w:val="24"/>
        </w:rPr>
        <w:t>P</w:t>
      </w:r>
      <w:r w:rsidR="00EF1BDB">
        <w:rPr>
          <w:rFonts w:asciiTheme="majorBidi" w:hAnsiTheme="majorBidi" w:cstheme="majorBidi"/>
          <w:b/>
          <w:bCs/>
          <w:sz w:val="24"/>
          <w:szCs w:val="24"/>
        </w:rPr>
        <w:t xml:space="preserve">ermanent </w:t>
      </w:r>
      <w:r w:rsidR="00154FBD">
        <w:rPr>
          <w:rFonts w:asciiTheme="majorBidi" w:hAnsiTheme="majorBidi" w:cstheme="majorBidi"/>
          <w:b/>
          <w:bCs/>
          <w:sz w:val="24"/>
          <w:szCs w:val="24"/>
        </w:rPr>
        <w:t xml:space="preserve">reduction </w:t>
      </w:r>
      <w:r w:rsidR="00A938E5">
        <w:rPr>
          <w:rFonts w:asciiTheme="majorBidi" w:hAnsiTheme="majorBidi" w:cstheme="majorBidi"/>
          <w:b/>
          <w:bCs/>
          <w:sz w:val="24"/>
          <w:szCs w:val="24"/>
        </w:rPr>
        <w:t>shock from both the US and the ROW</w:t>
      </w:r>
    </w:p>
    <w:p w14:paraId="09BC76E4" w14:textId="77777777" w:rsidR="0072665D" w:rsidRDefault="002058D8" w:rsidP="005732EC">
      <w:pPr>
        <w:spacing w:line="360" w:lineRule="auto"/>
        <w:jc w:val="both"/>
        <w:rPr>
          <w:rFonts w:asciiTheme="majorBidi" w:hAnsiTheme="majorBidi" w:cstheme="majorBidi"/>
          <w:sz w:val="24"/>
          <w:szCs w:val="24"/>
        </w:rPr>
      </w:pPr>
      <w:r>
        <w:rPr>
          <w:rFonts w:asciiTheme="majorBidi" w:eastAsia="新細明體" w:hAnsiTheme="majorBidi" w:cstheme="majorBidi"/>
          <w:sz w:val="24"/>
          <w:szCs w:val="24"/>
          <w:lang w:eastAsia="zh-TW"/>
        </w:rPr>
        <w:t>If both</w:t>
      </w:r>
      <w:r w:rsidR="00066C37">
        <w:rPr>
          <w:rFonts w:asciiTheme="majorBidi" w:eastAsia="新細明體" w:hAnsiTheme="majorBidi" w:cstheme="majorBidi"/>
          <w:sz w:val="24"/>
          <w:szCs w:val="24"/>
          <w:lang w:eastAsia="zh-TW"/>
        </w:rPr>
        <w:t xml:space="preserve"> the</w:t>
      </w:r>
      <w:r>
        <w:rPr>
          <w:rFonts w:asciiTheme="majorBidi" w:eastAsia="新細明體" w:hAnsiTheme="majorBidi" w:cstheme="majorBidi"/>
          <w:sz w:val="24"/>
          <w:szCs w:val="24"/>
          <w:lang w:eastAsia="zh-TW"/>
        </w:rPr>
        <w:t xml:space="preserve"> </w:t>
      </w:r>
      <w:r w:rsidR="00D85A98">
        <w:rPr>
          <w:rFonts w:asciiTheme="majorBidi" w:eastAsia="新細明體" w:hAnsiTheme="majorBidi" w:cstheme="majorBidi"/>
          <w:sz w:val="24"/>
          <w:szCs w:val="24"/>
          <w:lang w:eastAsia="zh-TW"/>
        </w:rPr>
        <w:t>US</w:t>
      </w:r>
      <w:r>
        <w:rPr>
          <w:rFonts w:asciiTheme="majorBidi" w:eastAsia="新細明體" w:hAnsiTheme="majorBidi" w:cstheme="majorBidi"/>
          <w:sz w:val="24"/>
          <w:szCs w:val="24"/>
          <w:lang w:eastAsia="zh-TW"/>
        </w:rPr>
        <w:t xml:space="preserve"> and the </w:t>
      </w:r>
      <w:r w:rsidR="00D85A98">
        <w:rPr>
          <w:rFonts w:asciiTheme="majorBidi" w:eastAsia="新細明體" w:hAnsiTheme="majorBidi" w:cstheme="majorBidi"/>
          <w:sz w:val="24"/>
          <w:szCs w:val="24"/>
          <w:lang w:eastAsia="zh-TW"/>
        </w:rPr>
        <w:t xml:space="preserve">ROW </w:t>
      </w:r>
      <w:r>
        <w:rPr>
          <w:rFonts w:asciiTheme="majorBidi" w:eastAsia="新細明體" w:hAnsiTheme="majorBidi" w:cstheme="majorBidi"/>
          <w:sz w:val="24"/>
          <w:szCs w:val="24"/>
          <w:lang w:eastAsia="zh-TW"/>
        </w:rPr>
        <w:t xml:space="preserve">cut deficit reduction of </w:t>
      </w:r>
      <w:r w:rsidR="00066C37">
        <w:rPr>
          <w:rFonts w:asciiTheme="majorBidi" w:eastAsia="新細明體" w:hAnsiTheme="majorBidi" w:cstheme="majorBidi"/>
          <w:sz w:val="24"/>
          <w:szCs w:val="24"/>
          <w:lang w:eastAsia="zh-TW"/>
        </w:rPr>
        <w:t>one</w:t>
      </w:r>
      <w:r>
        <w:rPr>
          <w:rFonts w:asciiTheme="majorBidi" w:eastAsia="新細明體" w:hAnsiTheme="majorBidi" w:cstheme="majorBidi"/>
          <w:sz w:val="24"/>
          <w:szCs w:val="24"/>
          <w:lang w:eastAsia="zh-TW"/>
        </w:rPr>
        <w:t xml:space="preserve"> percent of their GDP</w:t>
      </w:r>
      <w:r w:rsidR="00461279">
        <w:rPr>
          <w:rFonts w:asciiTheme="majorBidi" w:eastAsia="新細明體" w:hAnsiTheme="majorBidi" w:cstheme="majorBidi"/>
          <w:sz w:val="24"/>
          <w:szCs w:val="24"/>
          <w:lang w:eastAsia="zh-TW"/>
        </w:rPr>
        <w:t>s</w:t>
      </w:r>
      <w:r w:rsidR="009403DB">
        <w:rPr>
          <w:rFonts w:asciiTheme="majorBidi" w:eastAsia="新細明體" w:hAnsiTheme="majorBidi" w:cstheme="majorBidi"/>
          <w:sz w:val="24"/>
          <w:szCs w:val="24"/>
          <w:lang w:eastAsia="zh-TW"/>
        </w:rPr>
        <w:t xml:space="preserve"> every year</w:t>
      </w:r>
      <w:r>
        <w:rPr>
          <w:rFonts w:asciiTheme="majorBidi" w:eastAsia="新細明體" w:hAnsiTheme="majorBidi" w:cstheme="majorBidi"/>
          <w:sz w:val="24"/>
          <w:szCs w:val="24"/>
          <w:lang w:eastAsia="zh-TW"/>
        </w:rPr>
        <w:t xml:space="preserve">, </w:t>
      </w:r>
      <w:r w:rsidR="00F20715">
        <w:rPr>
          <w:rFonts w:asciiTheme="majorBidi" w:eastAsia="新細明體" w:hAnsiTheme="majorBidi" w:cstheme="majorBidi"/>
          <w:sz w:val="24"/>
          <w:szCs w:val="24"/>
          <w:lang w:eastAsia="zh-TW"/>
        </w:rPr>
        <w:t xml:space="preserve">both </w:t>
      </w:r>
      <w:r w:rsidR="006A742D">
        <w:rPr>
          <w:rFonts w:asciiTheme="majorBidi" w:eastAsia="新細明體" w:hAnsiTheme="majorBidi" w:cstheme="majorBidi"/>
          <w:sz w:val="24"/>
          <w:szCs w:val="24"/>
          <w:lang w:eastAsia="zh-TW"/>
        </w:rPr>
        <w:t>GDP</w:t>
      </w:r>
      <w:r w:rsidR="00F20715">
        <w:rPr>
          <w:rFonts w:asciiTheme="majorBidi" w:eastAsia="新細明體" w:hAnsiTheme="majorBidi" w:cstheme="majorBidi"/>
          <w:sz w:val="24"/>
          <w:szCs w:val="24"/>
          <w:lang w:eastAsia="zh-TW"/>
        </w:rPr>
        <w:t>s</w:t>
      </w:r>
      <w:r w:rsidR="006A742D">
        <w:rPr>
          <w:rFonts w:asciiTheme="majorBidi" w:eastAsia="新細明體" w:hAnsiTheme="majorBidi" w:cstheme="majorBidi"/>
          <w:sz w:val="24"/>
          <w:szCs w:val="24"/>
          <w:lang w:eastAsia="zh-TW"/>
        </w:rPr>
        <w:t xml:space="preserve"> will still fall but less steeper than if US cut</w:t>
      </w:r>
      <w:r w:rsidR="00F20715">
        <w:rPr>
          <w:rFonts w:asciiTheme="majorBidi" w:eastAsia="新細明體" w:hAnsiTheme="majorBidi" w:cstheme="majorBidi"/>
          <w:sz w:val="24"/>
          <w:szCs w:val="24"/>
          <w:lang w:eastAsia="zh-TW"/>
        </w:rPr>
        <w:t>s</w:t>
      </w:r>
      <w:r w:rsidR="006A742D">
        <w:rPr>
          <w:rFonts w:asciiTheme="majorBidi" w:eastAsia="新細明體" w:hAnsiTheme="majorBidi" w:cstheme="majorBidi"/>
          <w:sz w:val="24"/>
          <w:szCs w:val="24"/>
          <w:lang w:eastAsia="zh-TW"/>
        </w:rPr>
        <w:t xml:space="preserve"> deficit alone in case I during the first two years. </w:t>
      </w:r>
      <w:r w:rsidR="00F20715">
        <w:rPr>
          <w:rFonts w:asciiTheme="majorBidi" w:eastAsia="新細明體" w:hAnsiTheme="majorBidi" w:cstheme="majorBidi"/>
          <w:sz w:val="24"/>
          <w:szCs w:val="24"/>
          <w:lang w:eastAsia="zh-TW"/>
        </w:rPr>
        <w:t xml:space="preserve">Looking at the </w:t>
      </w:r>
      <w:r w:rsidR="006F76CC">
        <w:rPr>
          <w:rFonts w:asciiTheme="majorBidi" w:eastAsia="新細明體" w:hAnsiTheme="majorBidi" w:cstheme="majorBidi"/>
          <w:sz w:val="24"/>
          <w:szCs w:val="24"/>
          <w:lang w:eastAsia="zh-TW"/>
        </w:rPr>
        <w:t xml:space="preserve">US </w:t>
      </w:r>
      <w:r>
        <w:rPr>
          <w:rFonts w:asciiTheme="majorBidi" w:eastAsia="新細明體" w:hAnsiTheme="majorBidi" w:cstheme="majorBidi"/>
          <w:sz w:val="24"/>
          <w:szCs w:val="24"/>
          <w:lang w:eastAsia="zh-TW"/>
        </w:rPr>
        <w:t>GDP</w:t>
      </w:r>
      <w:r w:rsidR="00F20715">
        <w:rPr>
          <w:rFonts w:asciiTheme="majorBidi" w:eastAsia="新細明體" w:hAnsiTheme="majorBidi" w:cstheme="majorBidi"/>
          <w:sz w:val="24"/>
          <w:szCs w:val="24"/>
          <w:lang w:eastAsia="zh-TW"/>
        </w:rPr>
        <w:t xml:space="preserve"> only</w:t>
      </w:r>
      <w:r>
        <w:rPr>
          <w:rFonts w:asciiTheme="majorBidi" w:eastAsia="新細明體" w:hAnsiTheme="majorBidi" w:cstheme="majorBidi"/>
          <w:sz w:val="24"/>
          <w:szCs w:val="24"/>
          <w:lang w:eastAsia="zh-TW"/>
        </w:rPr>
        <w:t>,</w:t>
      </w:r>
      <w:r w:rsidR="00EE581F">
        <w:rPr>
          <w:rFonts w:asciiTheme="majorBidi" w:eastAsia="新細明體" w:hAnsiTheme="majorBidi" w:cstheme="majorBidi"/>
          <w:sz w:val="24"/>
          <w:szCs w:val="24"/>
          <w:lang w:eastAsia="zh-TW"/>
        </w:rPr>
        <w:t xml:space="preserve"> although previously,</w:t>
      </w:r>
      <w:r>
        <w:rPr>
          <w:rFonts w:asciiTheme="majorBidi" w:eastAsia="新細明體" w:hAnsiTheme="majorBidi" w:cstheme="majorBidi"/>
          <w:sz w:val="24"/>
          <w:szCs w:val="24"/>
          <w:lang w:eastAsia="zh-TW"/>
        </w:rPr>
        <w:t xml:space="preserve"> both</w:t>
      </w:r>
      <w:r w:rsidR="006F76CC">
        <w:rPr>
          <w:rFonts w:asciiTheme="majorBidi" w:eastAsia="新細明體" w:hAnsiTheme="majorBidi" w:cstheme="majorBidi"/>
          <w:sz w:val="24"/>
          <w:szCs w:val="24"/>
          <w:lang w:eastAsia="zh-TW"/>
        </w:rPr>
        <w:t xml:space="preserve"> case I and case III</w:t>
      </w:r>
      <w:r>
        <w:rPr>
          <w:rFonts w:asciiTheme="majorBidi" w:eastAsia="新細明體" w:hAnsiTheme="majorBidi" w:cstheme="majorBidi"/>
          <w:sz w:val="24"/>
          <w:szCs w:val="24"/>
          <w:lang w:eastAsia="zh-TW"/>
        </w:rPr>
        <w:t xml:space="preserve"> will go down in the first two years, but </w:t>
      </w:r>
      <w:r w:rsidR="00EE581F">
        <w:rPr>
          <w:rFonts w:asciiTheme="majorBidi" w:eastAsia="新細明體" w:hAnsiTheme="majorBidi" w:cstheme="majorBidi"/>
          <w:sz w:val="24"/>
          <w:szCs w:val="24"/>
          <w:lang w:eastAsia="zh-TW"/>
        </w:rPr>
        <w:t xml:space="preserve">in </w:t>
      </w:r>
      <w:r w:rsidR="00B7264C">
        <w:rPr>
          <w:rFonts w:asciiTheme="majorBidi" w:eastAsia="新細明體" w:hAnsiTheme="majorBidi" w:cstheme="majorBidi"/>
          <w:sz w:val="24"/>
          <w:szCs w:val="24"/>
          <w:lang w:eastAsia="zh-TW"/>
        </w:rPr>
        <w:t>case III</w:t>
      </w:r>
      <w:r w:rsidR="00EE581F">
        <w:rPr>
          <w:rFonts w:asciiTheme="majorBidi" w:eastAsia="新細明體" w:hAnsiTheme="majorBidi" w:cstheme="majorBidi"/>
          <w:sz w:val="24"/>
          <w:szCs w:val="24"/>
          <w:lang w:eastAsia="zh-TW"/>
        </w:rPr>
        <w:t>, the US GDP</w:t>
      </w:r>
      <w:r>
        <w:rPr>
          <w:rFonts w:asciiTheme="majorBidi" w:eastAsia="新細明體" w:hAnsiTheme="majorBidi" w:cstheme="majorBidi"/>
          <w:sz w:val="24"/>
          <w:szCs w:val="24"/>
          <w:lang w:eastAsia="zh-TW"/>
        </w:rPr>
        <w:t xml:space="preserve"> </w:t>
      </w:r>
      <w:r w:rsidR="006F76CC">
        <w:rPr>
          <w:rFonts w:asciiTheme="majorBidi" w:eastAsia="新細明體" w:hAnsiTheme="majorBidi" w:cstheme="majorBidi"/>
          <w:sz w:val="24"/>
          <w:szCs w:val="24"/>
          <w:lang w:eastAsia="zh-TW"/>
        </w:rPr>
        <w:t>will bounce back to baseline one year earlier.</w:t>
      </w:r>
      <w:r w:rsidR="002D330C">
        <w:rPr>
          <w:rFonts w:asciiTheme="majorBidi" w:eastAsia="新細明體" w:hAnsiTheme="majorBidi" w:cstheme="majorBidi"/>
          <w:sz w:val="24"/>
          <w:szCs w:val="24"/>
          <w:lang w:eastAsia="zh-TW"/>
        </w:rPr>
        <w:t xml:space="preserve"> </w:t>
      </w:r>
      <w:r w:rsidR="001C384B">
        <w:rPr>
          <w:rFonts w:asciiTheme="majorBidi" w:eastAsia="新細明體" w:hAnsiTheme="majorBidi" w:cstheme="majorBidi"/>
          <w:sz w:val="24"/>
          <w:szCs w:val="24"/>
          <w:lang w:eastAsia="zh-TW"/>
        </w:rPr>
        <w:t>For ROW’s GDP, the change is almost identical to the change in US GDP.</w:t>
      </w:r>
      <w:r w:rsidR="001C384B">
        <w:rPr>
          <w:rFonts w:asciiTheme="majorBidi" w:eastAsia="新細明體" w:hAnsiTheme="majorBidi" w:cstheme="majorBidi" w:hint="eastAsia"/>
          <w:sz w:val="24"/>
          <w:szCs w:val="24"/>
          <w:lang w:eastAsia="zh-TW"/>
        </w:rPr>
        <w:t xml:space="preserve"> Moreover, s</w:t>
      </w:r>
      <w:r w:rsidR="00BE08BB">
        <w:rPr>
          <w:rFonts w:asciiTheme="majorBidi" w:eastAsia="新細明體" w:hAnsiTheme="majorBidi" w:cstheme="majorBidi"/>
          <w:sz w:val="24"/>
          <w:szCs w:val="24"/>
          <w:lang w:eastAsia="zh-TW"/>
        </w:rPr>
        <w:t>tock of debt will decline and has</w:t>
      </w:r>
      <w:r w:rsidR="00CF53F2">
        <w:rPr>
          <w:rFonts w:asciiTheme="majorBidi" w:eastAsia="新細明體" w:hAnsiTheme="majorBidi" w:cstheme="majorBidi"/>
          <w:sz w:val="24"/>
          <w:szCs w:val="24"/>
          <w:lang w:eastAsia="zh-TW"/>
        </w:rPr>
        <w:t xml:space="preserve"> about</w:t>
      </w:r>
      <w:r w:rsidR="00BE08BB">
        <w:rPr>
          <w:rFonts w:asciiTheme="majorBidi" w:eastAsia="新細明體" w:hAnsiTheme="majorBidi" w:cstheme="majorBidi"/>
          <w:sz w:val="24"/>
          <w:szCs w:val="24"/>
          <w:lang w:eastAsia="zh-TW"/>
        </w:rPr>
        <w:t xml:space="preserve"> the same magnitude as case I. </w:t>
      </w:r>
      <w:r w:rsidR="00A866F9">
        <w:rPr>
          <w:rFonts w:asciiTheme="majorBidi" w:eastAsia="新細明體" w:hAnsiTheme="majorBidi" w:cstheme="majorBidi"/>
          <w:sz w:val="24"/>
          <w:szCs w:val="24"/>
          <w:lang w:eastAsia="zh-TW"/>
        </w:rPr>
        <w:t xml:space="preserve">However, surprisingly, the slopes of </w:t>
      </w:r>
      <w:r w:rsidR="005D389A">
        <w:rPr>
          <w:rFonts w:asciiTheme="majorBidi" w:eastAsia="新細明體" w:hAnsiTheme="majorBidi" w:cstheme="majorBidi"/>
          <w:sz w:val="24"/>
          <w:szCs w:val="24"/>
          <w:lang w:eastAsia="zh-TW"/>
        </w:rPr>
        <w:t>ten-y</w:t>
      </w:r>
      <w:r w:rsidR="00A866F9">
        <w:rPr>
          <w:rFonts w:asciiTheme="majorBidi" w:eastAsia="新細明體" w:hAnsiTheme="majorBidi" w:cstheme="majorBidi"/>
          <w:sz w:val="24"/>
          <w:szCs w:val="24"/>
          <w:lang w:eastAsia="zh-TW"/>
        </w:rPr>
        <w:t xml:space="preserve">ear yield decline in both ROW and the US </w:t>
      </w:r>
      <w:r w:rsidR="00EE581F">
        <w:rPr>
          <w:rFonts w:asciiTheme="majorBidi" w:eastAsia="新細明體" w:hAnsiTheme="majorBidi" w:cstheme="majorBidi"/>
          <w:sz w:val="24"/>
          <w:szCs w:val="24"/>
          <w:lang w:eastAsia="zh-TW"/>
        </w:rPr>
        <w:t xml:space="preserve">are much steeper than those in </w:t>
      </w:r>
      <w:r w:rsidR="005F2F3F">
        <w:rPr>
          <w:rFonts w:asciiTheme="majorBidi" w:eastAsia="新細明體" w:hAnsiTheme="majorBidi" w:cstheme="majorBidi"/>
          <w:sz w:val="24"/>
          <w:szCs w:val="24"/>
          <w:lang w:eastAsia="zh-TW"/>
        </w:rPr>
        <w:t>previous cases</w:t>
      </w:r>
      <w:r w:rsidR="00A866F9">
        <w:rPr>
          <w:rFonts w:asciiTheme="majorBidi" w:eastAsia="新細明體" w:hAnsiTheme="majorBidi" w:cstheme="majorBidi"/>
          <w:sz w:val="24"/>
          <w:szCs w:val="24"/>
          <w:lang w:eastAsia="zh-TW"/>
        </w:rPr>
        <w:t xml:space="preserve">. </w:t>
      </w:r>
      <w:r w:rsidR="00066C37">
        <w:rPr>
          <w:rFonts w:asciiTheme="majorBidi" w:eastAsia="新細明體" w:hAnsiTheme="majorBidi" w:cstheme="majorBidi"/>
          <w:sz w:val="24"/>
          <w:szCs w:val="24"/>
          <w:lang w:eastAsia="zh-TW"/>
        </w:rPr>
        <w:t xml:space="preserve">As for </w:t>
      </w:r>
      <w:r w:rsidR="00A742DE">
        <w:rPr>
          <w:rFonts w:asciiTheme="majorBidi" w:eastAsia="新細明體" w:hAnsiTheme="majorBidi" w:cstheme="majorBidi"/>
          <w:sz w:val="24"/>
          <w:szCs w:val="24"/>
          <w:lang w:eastAsia="zh-TW"/>
        </w:rPr>
        <w:t xml:space="preserve">actual policy </w:t>
      </w:r>
      <w:r w:rsidR="00066C37">
        <w:rPr>
          <w:rFonts w:asciiTheme="majorBidi" w:eastAsia="新細明體" w:hAnsiTheme="majorBidi" w:cstheme="majorBidi"/>
          <w:sz w:val="24"/>
          <w:szCs w:val="24"/>
          <w:lang w:eastAsia="zh-TW"/>
        </w:rPr>
        <w:t>rate of both the ROW and the US,</w:t>
      </w:r>
      <w:r w:rsidR="006F76CC">
        <w:rPr>
          <w:rFonts w:asciiTheme="majorBidi" w:eastAsia="新細明體" w:hAnsiTheme="majorBidi" w:cstheme="majorBidi"/>
          <w:sz w:val="24"/>
          <w:szCs w:val="24"/>
          <w:lang w:eastAsia="zh-TW"/>
        </w:rPr>
        <w:t xml:space="preserve"> </w:t>
      </w:r>
      <w:r w:rsidR="002D330C">
        <w:rPr>
          <w:rFonts w:asciiTheme="majorBidi" w:eastAsia="新細明體" w:hAnsiTheme="majorBidi" w:cstheme="majorBidi"/>
          <w:sz w:val="24"/>
          <w:szCs w:val="24"/>
          <w:lang w:eastAsia="zh-TW"/>
        </w:rPr>
        <w:t>case III has the largest decline</w:t>
      </w:r>
      <w:r w:rsidR="00066C37">
        <w:rPr>
          <w:rFonts w:asciiTheme="majorBidi" w:eastAsia="新細明體" w:hAnsiTheme="majorBidi" w:cstheme="majorBidi"/>
          <w:sz w:val="24"/>
          <w:szCs w:val="24"/>
          <w:lang w:eastAsia="zh-TW"/>
        </w:rPr>
        <w:t xml:space="preserve">. </w:t>
      </w:r>
      <w:proofErr w:type="spellStart"/>
      <w:r w:rsidR="007814B0" w:rsidRPr="00991F2D">
        <w:rPr>
          <w:rFonts w:asciiTheme="majorBidi" w:eastAsia="新細明體" w:hAnsiTheme="majorBidi" w:cstheme="majorBidi"/>
          <w:sz w:val="24"/>
          <w:szCs w:val="24"/>
          <w:lang w:eastAsia="zh-TW"/>
        </w:rPr>
        <w:t>Botman</w:t>
      </w:r>
      <w:proofErr w:type="spellEnd"/>
      <w:r w:rsidR="007814B0" w:rsidRPr="00991F2D">
        <w:rPr>
          <w:rFonts w:asciiTheme="majorBidi" w:eastAsia="新細明體" w:hAnsiTheme="majorBidi" w:cstheme="majorBidi"/>
          <w:sz w:val="24"/>
          <w:szCs w:val="24"/>
          <w:lang w:eastAsia="zh-TW"/>
        </w:rPr>
        <w:t xml:space="preserve">, et al (2006) </w:t>
      </w:r>
      <w:r w:rsidR="007814B0">
        <w:rPr>
          <w:rFonts w:asciiTheme="majorBidi" w:eastAsia="新細明體" w:hAnsiTheme="majorBidi" w:cstheme="majorBidi"/>
          <w:sz w:val="24"/>
          <w:szCs w:val="24"/>
          <w:lang w:eastAsia="zh-TW"/>
        </w:rPr>
        <w:t xml:space="preserve">also </w:t>
      </w:r>
      <w:r w:rsidR="007814B0" w:rsidRPr="00991F2D">
        <w:rPr>
          <w:rFonts w:asciiTheme="majorBidi" w:eastAsia="新細明體" w:hAnsiTheme="majorBidi" w:cstheme="majorBidi"/>
          <w:sz w:val="24"/>
          <w:szCs w:val="24"/>
          <w:lang w:eastAsia="zh-TW"/>
        </w:rPr>
        <w:t xml:space="preserve">conclude that </w:t>
      </w:r>
      <w:r w:rsidR="007814B0">
        <w:rPr>
          <w:rFonts w:asciiTheme="majorBidi" w:eastAsia="新細明體" w:hAnsiTheme="majorBidi" w:cstheme="majorBidi" w:hint="eastAsia"/>
          <w:sz w:val="24"/>
          <w:szCs w:val="24"/>
          <w:lang w:eastAsia="zh-TW"/>
        </w:rPr>
        <w:t>decrease</w:t>
      </w:r>
      <w:r w:rsidR="007814B0">
        <w:rPr>
          <w:rFonts w:asciiTheme="majorBidi" w:eastAsia="新細明體" w:hAnsiTheme="majorBidi" w:cstheme="majorBidi"/>
          <w:sz w:val="24"/>
          <w:szCs w:val="24"/>
          <w:lang w:eastAsia="zh-TW"/>
        </w:rPr>
        <w:t xml:space="preserve"> (</w:t>
      </w:r>
      <w:r w:rsidR="007814B0">
        <w:rPr>
          <w:rFonts w:asciiTheme="majorBidi" w:eastAsia="新細明體" w:hAnsiTheme="majorBidi" w:cstheme="majorBidi" w:hint="eastAsia"/>
          <w:sz w:val="24"/>
          <w:szCs w:val="24"/>
          <w:lang w:eastAsia="zh-TW"/>
        </w:rPr>
        <w:t>in</w:t>
      </w:r>
      <w:r w:rsidR="007814B0" w:rsidRPr="00991F2D">
        <w:rPr>
          <w:rFonts w:asciiTheme="majorBidi" w:eastAsia="新細明體" w:hAnsiTheme="majorBidi" w:cstheme="majorBidi"/>
          <w:sz w:val="24"/>
          <w:szCs w:val="24"/>
          <w:lang w:eastAsia="zh-TW"/>
        </w:rPr>
        <w:t xml:space="preserve">crease) in government debt under </w:t>
      </w:r>
      <w:r w:rsidR="007814B0" w:rsidRPr="00991F2D">
        <w:rPr>
          <w:rFonts w:asciiTheme="majorBidi" w:eastAsia="新細明體" w:hAnsiTheme="majorBidi" w:cstheme="majorBidi"/>
          <w:sz w:val="24"/>
          <w:szCs w:val="24"/>
          <w:lang w:eastAsia="zh-TW"/>
        </w:rPr>
        <w:lastRenderedPageBreak/>
        <w:t xml:space="preserve">larger open economy will </w:t>
      </w:r>
      <w:r w:rsidR="007814B0">
        <w:rPr>
          <w:rFonts w:asciiTheme="majorBidi" w:eastAsia="新細明體" w:hAnsiTheme="majorBidi" w:cstheme="majorBidi" w:hint="eastAsia"/>
          <w:sz w:val="24"/>
          <w:szCs w:val="24"/>
          <w:lang w:eastAsia="zh-TW"/>
        </w:rPr>
        <w:t>lower</w:t>
      </w:r>
      <w:r w:rsidR="007814B0">
        <w:rPr>
          <w:rFonts w:asciiTheme="majorBidi" w:eastAsia="新細明體" w:hAnsiTheme="majorBidi" w:cstheme="majorBidi"/>
          <w:sz w:val="24"/>
          <w:szCs w:val="24"/>
          <w:lang w:eastAsia="zh-TW"/>
        </w:rPr>
        <w:t xml:space="preserve"> (</w:t>
      </w:r>
      <w:r w:rsidR="007814B0">
        <w:rPr>
          <w:rFonts w:asciiTheme="majorBidi" w:eastAsia="新細明體" w:hAnsiTheme="majorBidi" w:cstheme="majorBidi" w:hint="eastAsia"/>
          <w:sz w:val="24"/>
          <w:szCs w:val="24"/>
          <w:lang w:eastAsia="zh-TW"/>
        </w:rPr>
        <w:t>raise</w:t>
      </w:r>
      <w:r w:rsidR="007814B0" w:rsidRPr="00991F2D">
        <w:rPr>
          <w:rFonts w:asciiTheme="majorBidi" w:eastAsia="新細明體" w:hAnsiTheme="majorBidi" w:cstheme="majorBidi"/>
          <w:sz w:val="24"/>
          <w:szCs w:val="24"/>
          <w:lang w:eastAsia="zh-TW"/>
        </w:rPr>
        <w:t>) the world interest rate (p. 23).</w:t>
      </w:r>
      <w:r w:rsidR="00533075">
        <w:rPr>
          <w:rFonts w:asciiTheme="majorBidi" w:eastAsia="新細明體" w:hAnsiTheme="majorBidi" w:cstheme="majorBidi"/>
          <w:sz w:val="24"/>
          <w:szCs w:val="24"/>
          <w:lang w:eastAsia="zh-TW"/>
        </w:rPr>
        <w:t xml:space="preserve"> </w:t>
      </w:r>
      <w:r w:rsidR="0072665D">
        <w:rPr>
          <w:rFonts w:asciiTheme="majorBidi" w:hAnsiTheme="majorBidi" w:cstheme="majorBidi"/>
          <w:sz w:val="24"/>
          <w:szCs w:val="24"/>
        </w:rPr>
        <w:t xml:space="preserve">The consumption will increase much more than </w:t>
      </w:r>
      <w:r w:rsidR="0079107E">
        <w:rPr>
          <w:rFonts w:asciiTheme="majorBidi" w:hAnsiTheme="majorBidi" w:cstheme="majorBidi"/>
          <w:sz w:val="24"/>
          <w:szCs w:val="24"/>
        </w:rPr>
        <w:t>that in previous cases</w:t>
      </w:r>
      <w:r w:rsidR="0072665D">
        <w:rPr>
          <w:rFonts w:asciiTheme="majorBidi" w:hAnsiTheme="majorBidi" w:cstheme="majorBidi"/>
          <w:sz w:val="24"/>
          <w:szCs w:val="24"/>
        </w:rPr>
        <w:t xml:space="preserve"> owing to largest decline in expected interest rate. </w:t>
      </w:r>
      <w:r w:rsidR="001C384B">
        <w:rPr>
          <w:rFonts w:asciiTheme="majorBidi" w:eastAsia="新細明體" w:hAnsiTheme="majorBidi" w:cstheme="majorBidi"/>
          <w:sz w:val="24"/>
          <w:szCs w:val="24"/>
          <w:lang w:eastAsia="zh-TW"/>
        </w:rPr>
        <w:t>In demand for capital goods, both the US and the ROW will enjoy high growth and then peaked in the seventh year.</w:t>
      </w:r>
      <w:r w:rsidR="001C384B">
        <w:rPr>
          <w:rFonts w:asciiTheme="majorBidi" w:eastAsia="新細明體" w:hAnsiTheme="majorBidi" w:cstheme="majorBidi" w:hint="eastAsia"/>
          <w:sz w:val="24"/>
          <w:szCs w:val="24"/>
          <w:lang w:eastAsia="zh-TW"/>
        </w:rPr>
        <w:t xml:space="preserve"> </w:t>
      </w:r>
      <w:r w:rsidR="00995121">
        <w:rPr>
          <w:rFonts w:asciiTheme="majorBidi" w:eastAsia="新細明體" w:hAnsiTheme="majorBidi" w:cstheme="majorBidi"/>
          <w:sz w:val="24"/>
          <w:szCs w:val="24"/>
          <w:lang w:eastAsia="zh-TW"/>
        </w:rPr>
        <w:t>Besides, c</w:t>
      </w:r>
      <w:r w:rsidR="001C384B">
        <w:rPr>
          <w:rFonts w:asciiTheme="majorBidi" w:eastAsia="新細明體" w:hAnsiTheme="majorBidi" w:cstheme="majorBidi" w:hint="eastAsia"/>
          <w:sz w:val="24"/>
          <w:szCs w:val="24"/>
          <w:lang w:eastAsia="zh-TW"/>
        </w:rPr>
        <w:t xml:space="preserve">ase III also has the highest </w:t>
      </w:r>
      <w:r w:rsidR="001C384B">
        <w:rPr>
          <w:rFonts w:asciiTheme="majorBidi" w:eastAsia="新細明體" w:hAnsiTheme="majorBidi" w:cstheme="majorBidi"/>
          <w:sz w:val="24"/>
          <w:szCs w:val="24"/>
          <w:lang w:eastAsia="zh-TW"/>
        </w:rPr>
        <w:t>demand for capital goods</w:t>
      </w:r>
      <w:r w:rsidR="001C384B">
        <w:rPr>
          <w:rFonts w:asciiTheme="majorBidi" w:eastAsia="新細明體" w:hAnsiTheme="majorBidi" w:cstheme="majorBidi" w:hint="eastAsia"/>
          <w:sz w:val="24"/>
          <w:szCs w:val="24"/>
          <w:lang w:eastAsia="zh-TW"/>
        </w:rPr>
        <w:t xml:space="preserve"> among all cases</w:t>
      </w:r>
      <w:r w:rsidR="001C384B">
        <w:rPr>
          <w:rFonts w:asciiTheme="majorBidi" w:eastAsia="新細明體" w:hAnsiTheme="majorBidi" w:cstheme="majorBidi"/>
          <w:sz w:val="24"/>
          <w:szCs w:val="24"/>
          <w:lang w:eastAsia="zh-TW"/>
        </w:rPr>
        <w:t>.</w:t>
      </w:r>
      <w:r w:rsidR="001C384B">
        <w:rPr>
          <w:rFonts w:asciiTheme="majorBidi" w:eastAsia="新細明體" w:hAnsiTheme="majorBidi" w:cstheme="majorBidi" w:hint="eastAsia"/>
          <w:sz w:val="24"/>
          <w:szCs w:val="24"/>
          <w:lang w:eastAsia="zh-TW"/>
        </w:rPr>
        <w:t xml:space="preserve"> Although capital goods in case I falls, the interest rate in case III is </w:t>
      </w:r>
      <w:r w:rsidR="00E0260B">
        <w:rPr>
          <w:rFonts w:asciiTheme="majorBidi" w:eastAsia="新細明體" w:hAnsiTheme="majorBidi" w:cstheme="majorBidi" w:hint="eastAsia"/>
          <w:sz w:val="24"/>
          <w:szCs w:val="24"/>
          <w:lang w:eastAsia="zh-TW"/>
        </w:rPr>
        <w:t xml:space="preserve">very </w:t>
      </w:r>
      <w:r w:rsidR="001C384B">
        <w:rPr>
          <w:rFonts w:asciiTheme="majorBidi" w:eastAsia="新細明體" w:hAnsiTheme="majorBidi" w:cstheme="majorBidi" w:hint="eastAsia"/>
          <w:sz w:val="24"/>
          <w:szCs w:val="24"/>
          <w:lang w:eastAsia="zh-TW"/>
        </w:rPr>
        <w:t>l</w:t>
      </w:r>
      <w:r w:rsidR="00533075">
        <w:rPr>
          <w:rFonts w:asciiTheme="majorBidi" w:eastAsia="新細明體" w:hAnsiTheme="majorBidi" w:cstheme="majorBidi" w:hint="eastAsia"/>
          <w:sz w:val="24"/>
          <w:szCs w:val="24"/>
          <w:lang w:eastAsia="zh-TW"/>
        </w:rPr>
        <w:t xml:space="preserve">ow enough to </w:t>
      </w:r>
      <w:r w:rsidR="005732EC">
        <w:rPr>
          <w:rFonts w:asciiTheme="majorBidi" w:eastAsia="新細明體" w:hAnsiTheme="majorBidi" w:cstheme="majorBidi"/>
          <w:sz w:val="24"/>
          <w:szCs w:val="24"/>
          <w:lang w:eastAsia="zh-TW"/>
        </w:rPr>
        <w:t xml:space="preserve">trigger </w:t>
      </w:r>
      <w:r w:rsidR="00533075">
        <w:rPr>
          <w:rFonts w:asciiTheme="majorBidi" w:eastAsia="新細明體" w:hAnsiTheme="majorBidi" w:cstheme="majorBidi"/>
          <w:sz w:val="24"/>
          <w:szCs w:val="24"/>
          <w:lang w:eastAsia="zh-TW"/>
        </w:rPr>
        <w:t>investment</w:t>
      </w:r>
      <w:r w:rsidR="00784B65">
        <w:rPr>
          <w:rFonts w:asciiTheme="majorBidi" w:eastAsia="新細明體" w:hAnsiTheme="majorBidi" w:cstheme="majorBidi"/>
          <w:sz w:val="24"/>
          <w:szCs w:val="24"/>
          <w:lang w:eastAsia="zh-TW"/>
        </w:rPr>
        <w:t xml:space="preserve"> and borrowing</w:t>
      </w:r>
      <w:r w:rsidR="008B2964">
        <w:rPr>
          <w:rFonts w:asciiTheme="majorBidi" w:eastAsia="新細明體" w:hAnsiTheme="majorBidi" w:cstheme="majorBidi" w:hint="eastAsia"/>
          <w:sz w:val="24"/>
          <w:szCs w:val="24"/>
          <w:lang w:eastAsia="zh-TW"/>
        </w:rPr>
        <w:t>.</w:t>
      </w:r>
      <w:r w:rsidR="008B2964">
        <w:rPr>
          <w:rFonts w:asciiTheme="majorBidi" w:eastAsia="新細明體" w:hAnsiTheme="majorBidi" w:cstheme="majorBidi"/>
          <w:sz w:val="24"/>
          <w:szCs w:val="24"/>
          <w:lang w:eastAsia="zh-TW"/>
        </w:rPr>
        <w:t xml:space="preserve"> </w:t>
      </w:r>
      <w:r w:rsidR="00724E4F">
        <w:rPr>
          <w:rFonts w:asciiTheme="majorBidi" w:eastAsia="新細明體" w:hAnsiTheme="majorBidi" w:cstheme="majorBidi"/>
          <w:sz w:val="24"/>
          <w:szCs w:val="24"/>
          <w:lang w:eastAsia="zh-TW"/>
        </w:rPr>
        <w:t>However, trade balance and real exchange rate will remain nearly constant as both the ROW and the US cut deficit together. Having said that</w:t>
      </w:r>
      <w:r w:rsidR="008B2964">
        <w:rPr>
          <w:rFonts w:asciiTheme="majorBidi" w:eastAsia="新細明體" w:hAnsiTheme="majorBidi" w:cstheme="majorBidi"/>
          <w:sz w:val="24"/>
          <w:szCs w:val="24"/>
          <w:lang w:eastAsia="zh-TW"/>
        </w:rPr>
        <w:t>, t</w:t>
      </w:r>
      <w:r w:rsidR="00A12762">
        <w:rPr>
          <w:rFonts w:asciiTheme="majorBidi" w:eastAsia="新細明體" w:hAnsiTheme="majorBidi" w:cstheme="majorBidi"/>
          <w:sz w:val="24"/>
          <w:szCs w:val="24"/>
          <w:lang w:eastAsia="zh-TW"/>
        </w:rPr>
        <w:t xml:space="preserve">he US will </w:t>
      </w:r>
      <w:r w:rsidR="00724E4F">
        <w:rPr>
          <w:rFonts w:asciiTheme="majorBidi" w:eastAsia="新細明體" w:hAnsiTheme="majorBidi" w:cstheme="majorBidi"/>
          <w:sz w:val="24"/>
          <w:szCs w:val="24"/>
          <w:lang w:eastAsia="zh-TW"/>
        </w:rPr>
        <w:t xml:space="preserve">still </w:t>
      </w:r>
      <w:r w:rsidR="00A12762">
        <w:rPr>
          <w:rFonts w:asciiTheme="majorBidi" w:eastAsia="新細明體" w:hAnsiTheme="majorBidi" w:cstheme="majorBidi"/>
          <w:sz w:val="24"/>
          <w:szCs w:val="24"/>
          <w:lang w:eastAsia="zh-TW"/>
        </w:rPr>
        <w:t xml:space="preserve">enjoy </w:t>
      </w:r>
      <w:r w:rsidR="00F10347">
        <w:rPr>
          <w:rFonts w:asciiTheme="majorBidi" w:eastAsia="新細明體" w:hAnsiTheme="majorBidi" w:cstheme="majorBidi"/>
          <w:sz w:val="24"/>
          <w:szCs w:val="24"/>
          <w:lang w:eastAsia="zh-TW"/>
        </w:rPr>
        <w:t xml:space="preserve">slightly </w:t>
      </w:r>
      <w:r w:rsidR="00A12762">
        <w:rPr>
          <w:rFonts w:asciiTheme="majorBidi" w:eastAsia="新細明體" w:hAnsiTheme="majorBidi" w:cstheme="majorBidi"/>
          <w:sz w:val="24"/>
          <w:szCs w:val="24"/>
          <w:lang w:eastAsia="zh-TW"/>
        </w:rPr>
        <w:t>more increase in trade balance and curren</w:t>
      </w:r>
      <w:r w:rsidR="00CB5898">
        <w:rPr>
          <w:rFonts w:asciiTheme="majorBidi" w:eastAsia="新細明體" w:hAnsiTheme="majorBidi" w:cstheme="majorBidi"/>
          <w:sz w:val="24"/>
          <w:szCs w:val="24"/>
          <w:lang w:eastAsia="zh-TW"/>
        </w:rPr>
        <w:t xml:space="preserve">t account than those in the ROW because </w:t>
      </w:r>
      <w:r w:rsidR="00A742DE">
        <w:rPr>
          <w:rFonts w:asciiTheme="majorBidi" w:eastAsia="新細明體" w:hAnsiTheme="majorBidi" w:cstheme="majorBidi"/>
          <w:sz w:val="24"/>
          <w:szCs w:val="24"/>
          <w:lang w:eastAsia="zh-TW"/>
        </w:rPr>
        <w:t xml:space="preserve">USD </w:t>
      </w:r>
      <w:r w:rsidR="00724E4F">
        <w:rPr>
          <w:rFonts w:asciiTheme="majorBidi" w:eastAsia="新細明體" w:hAnsiTheme="majorBidi" w:cstheme="majorBidi"/>
          <w:sz w:val="24"/>
          <w:szCs w:val="24"/>
          <w:lang w:eastAsia="zh-TW"/>
        </w:rPr>
        <w:t>will depreciate</w:t>
      </w:r>
      <w:r w:rsidR="00A742DE">
        <w:rPr>
          <w:rFonts w:asciiTheme="majorBidi" w:eastAsia="新細明體" w:hAnsiTheme="majorBidi" w:cstheme="majorBidi"/>
          <w:sz w:val="24"/>
          <w:szCs w:val="24"/>
          <w:lang w:eastAsia="zh-TW"/>
        </w:rPr>
        <w:t xml:space="preserve"> while ROW currency </w:t>
      </w:r>
      <w:r w:rsidR="00724E4F">
        <w:rPr>
          <w:rFonts w:asciiTheme="majorBidi" w:eastAsia="新細明體" w:hAnsiTheme="majorBidi" w:cstheme="majorBidi"/>
          <w:sz w:val="24"/>
          <w:szCs w:val="24"/>
          <w:lang w:eastAsia="zh-TW"/>
        </w:rPr>
        <w:t>will appreciate</w:t>
      </w:r>
      <w:r w:rsidR="0072665D">
        <w:rPr>
          <w:rFonts w:asciiTheme="majorBidi" w:eastAsia="新細明體" w:hAnsiTheme="majorBidi" w:cstheme="majorBidi"/>
          <w:sz w:val="24"/>
          <w:szCs w:val="24"/>
          <w:lang w:eastAsia="zh-TW"/>
        </w:rPr>
        <w:t>.</w:t>
      </w:r>
      <w:r w:rsidR="00A742DE">
        <w:rPr>
          <w:rFonts w:asciiTheme="majorBidi" w:eastAsia="新細明體" w:hAnsiTheme="majorBidi" w:cstheme="majorBidi"/>
          <w:sz w:val="24"/>
          <w:szCs w:val="24"/>
          <w:lang w:eastAsia="zh-TW"/>
        </w:rPr>
        <w:t xml:space="preserve"> </w:t>
      </w:r>
    </w:p>
    <w:p w14:paraId="1E29ACA5" w14:textId="77777777" w:rsidR="009C1813" w:rsidRPr="00991F2D" w:rsidRDefault="009C1813" w:rsidP="00D0753D">
      <w:pPr>
        <w:spacing w:line="360" w:lineRule="auto"/>
        <w:jc w:val="both"/>
        <w:rPr>
          <w:rFonts w:asciiTheme="majorBidi" w:eastAsia="新細明體" w:hAnsiTheme="majorBidi" w:cstheme="majorBidi"/>
          <w:sz w:val="24"/>
          <w:szCs w:val="24"/>
          <w:lang w:eastAsia="zh-TW"/>
        </w:rPr>
      </w:pPr>
    </w:p>
    <w:p w14:paraId="3FD1090A" w14:textId="77777777" w:rsidR="009C1813" w:rsidRDefault="002025C1" w:rsidP="00D0753D">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Summary and </w:t>
      </w:r>
      <w:r w:rsidR="009C1813" w:rsidRPr="009C1813">
        <w:rPr>
          <w:rFonts w:asciiTheme="majorBidi" w:hAnsiTheme="majorBidi" w:cstheme="majorBidi"/>
          <w:b/>
          <w:bCs/>
          <w:sz w:val="24"/>
          <w:szCs w:val="24"/>
        </w:rPr>
        <w:t>Conclusion</w:t>
      </w:r>
    </w:p>
    <w:p w14:paraId="515488F7" w14:textId="77777777" w:rsidR="00551D67" w:rsidRDefault="001E240A" w:rsidP="00604453">
      <w:pPr>
        <w:spacing w:line="360" w:lineRule="auto"/>
        <w:jc w:val="both"/>
        <w:rPr>
          <w:rFonts w:asciiTheme="majorBidi" w:hAnsiTheme="majorBidi" w:cstheme="majorBidi"/>
          <w:sz w:val="24"/>
          <w:szCs w:val="24"/>
        </w:rPr>
      </w:pPr>
      <w:r>
        <w:rPr>
          <w:rFonts w:asciiTheme="majorBidi" w:hAnsiTheme="majorBidi" w:cstheme="majorBidi"/>
          <w:sz w:val="24"/>
          <w:szCs w:val="24"/>
        </w:rPr>
        <w:t>Im</w:t>
      </w:r>
      <w:r w:rsidR="0057241A">
        <w:rPr>
          <w:rFonts w:asciiTheme="majorBidi" w:hAnsiTheme="majorBidi" w:cstheme="majorBidi"/>
          <w:sz w:val="24"/>
          <w:szCs w:val="24"/>
        </w:rPr>
        <w:t>mediately following the shock of</w:t>
      </w:r>
      <w:r>
        <w:rPr>
          <w:rFonts w:asciiTheme="majorBidi" w:hAnsiTheme="majorBidi" w:cstheme="majorBidi"/>
          <w:sz w:val="24"/>
          <w:szCs w:val="24"/>
        </w:rPr>
        <w:t xml:space="preserve"> fiscal contraction</w:t>
      </w:r>
      <w:r w:rsidR="00B61C71">
        <w:rPr>
          <w:rFonts w:asciiTheme="majorBidi" w:hAnsiTheme="majorBidi" w:cstheme="majorBidi"/>
          <w:sz w:val="24"/>
          <w:szCs w:val="24"/>
        </w:rPr>
        <w:t xml:space="preserve">, GDP </w:t>
      </w:r>
      <w:r w:rsidR="003C1254">
        <w:rPr>
          <w:rFonts w:asciiTheme="majorBidi" w:hAnsiTheme="majorBidi" w:cstheme="majorBidi"/>
          <w:sz w:val="24"/>
          <w:szCs w:val="24"/>
        </w:rPr>
        <w:t xml:space="preserve">will jump the </w:t>
      </w:r>
      <w:r w:rsidR="00837829">
        <w:rPr>
          <w:rFonts w:asciiTheme="majorBidi" w:hAnsiTheme="majorBidi" w:cstheme="majorBidi"/>
          <w:sz w:val="24"/>
          <w:szCs w:val="24"/>
        </w:rPr>
        <w:t>highest in c</w:t>
      </w:r>
      <w:r w:rsidR="00B61C71">
        <w:rPr>
          <w:rFonts w:asciiTheme="majorBidi" w:hAnsiTheme="majorBidi" w:cstheme="majorBidi"/>
          <w:sz w:val="24"/>
          <w:szCs w:val="24"/>
        </w:rPr>
        <w:t xml:space="preserve">ase II, followed by </w:t>
      </w:r>
      <w:r w:rsidR="00837829">
        <w:rPr>
          <w:rFonts w:asciiTheme="majorBidi" w:hAnsiTheme="majorBidi" w:cstheme="majorBidi"/>
          <w:sz w:val="24"/>
          <w:szCs w:val="24"/>
        </w:rPr>
        <w:t>c</w:t>
      </w:r>
      <w:r w:rsidR="00B61C71">
        <w:rPr>
          <w:rFonts w:asciiTheme="majorBidi" w:hAnsiTheme="majorBidi" w:cstheme="majorBidi"/>
          <w:sz w:val="24"/>
          <w:szCs w:val="24"/>
        </w:rPr>
        <w:t>ase</w:t>
      </w:r>
      <w:r>
        <w:rPr>
          <w:rFonts w:asciiTheme="majorBidi" w:hAnsiTheme="majorBidi" w:cstheme="majorBidi"/>
          <w:sz w:val="24"/>
          <w:szCs w:val="24"/>
        </w:rPr>
        <w:t>s</w:t>
      </w:r>
      <w:r w:rsidR="00014F5B">
        <w:rPr>
          <w:rFonts w:asciiTheme="majorBidi" w:hAnsiTheme="majorBidi" w:cstheme="majorBidi"/>
          <w:sz w:val="24"/>
          <w:szCs w:val="24"/>
        </w:rPr>
        <w:t xml:space="preserve"> I </w:t>
      </w:r>
      <w:r w:rsidR="00B61C71">
        <w:rPr>
          <w:rFonts w:asciiTheme="majorBidi" w:hAnsiTheme="majorBidi" w:cstheme="majorBidi"/>
          <w:sz w:val="24"/>
          <w:szCs w:val="24"/>
        </w:rPr>
        <w:t xml:space="preserve">and III. </w:t>
      </w:r>
      <w:r w:rsidR="002025C1">
        <w:rPr>
          <w:rFonts w:asciiTheme="majorBidi" w:hAnsiTheme="majorBidi" w:cstheme="majorBidi"/>
          <w:sz w:val="24"/>
          <w:szCs w:val="24"/>
        </w:rPr>
        <w:t xml:space="preserve">However, consumption and capital goods demanded will jump the most in </w:t>
      </w:r>
      <w:r w:rsidR="00837829">
        <w:rPr>
          <w:rFonts w:asciiTheme="majorBidi" w:hAnsiTheme="majorBidi" w:cstheme="majorBidi"/>
          <w:sz w:val="24"/>
          <w:szCs w:val="24"/>
        </w:rPr>
        <w:t>c</w:t>
      </w:r>
      <w:r w:rsidR="002025C1">
        <w:rPr>
          <w:rFonts w:asciiTheme="majorBidi" w:hAnsiTheme="majorBidi" w:cstheme="majorBidi"/>
          <w:sz w:val="24"/>
          <w:szCs w:val="24"/>
        </w:rPr>
        <w:t>ase III</w:t>
      </w:r>
      <w:r w:rsidR="00C340D7">
        <w:rPr>
          <w:rFonts w:asciiTheme="majorBidi" w:hAnsiTheme="majorBidi" w:cstheme="majorBidi"/>
          <w:sz w:val="24"/>
          <w:szCs w:val="24"/>
        </w:rPr>
        <w:t>. Furthermore, a</w:t>
      </w:r>
      <w:r w:rsidR="00B61C71">
        <w:rPr>
          <w:rFonts w:asciiTheme="majorBidi" w:hAnsiTheme="majorBidi" w:cstheme="majorBidi"/>
          <w:sz w:val="24"/>
          <w:szCs w:val="24"/>
        </w:rPr>
        <w:t xml:space="preserve">ctual policy rate will jump in </w:t>
      </w:r>
      <w:r w:rsidR="00837829">
        <w:rPr>
          <w:rFonts w:asciiTheme="majorBidi" w:hAnsiTheme="majorBidi" w:cstheme="majorBidi"/>
          <w:sz w:val="24"/>
          <w:szCs w:val="24"/>
        </w:rPr>
        <w:t>c</w:t>
      </w:r>
      <w:r w:rsidR="00B61C71">
        <w:rPr>
          <w:rFonts w:asciiTheme="majorBidi" w:hAnsiTheme="majorBidi" w:cstheme="majorBidi"/>
          <w:sz w:val="24"/>
          <w:szCs w:val="24"/>
        </w:rPr>
        <w:t xml:space="preserve">ase II but only in the first four years, while the actual policy rate under </w:t>
      </w:r>
      <w:r w:rsidR="00837829">
        <w:rPr>
          <w:rFonts w:asciiTheme="majorBidi" w:hAnsiTheme="majorBidi" w:cstheme="majorBidi"/>
          <w:sz w:val="24"/>
          <w:szCs w:val="24"/>
        </w:rPr>
        <w:t>c</w:t>
      </w:r>
      <w:r w:rsidR="00B61C71">
        <w:rPr>
          <w:rFonts w:asciiTheme="majorBidi" w:hAnsiTheme="majorBidi" w:cstheme="majorBidi"/>
          <w:sz w:val="24"/>
          <w:szCs w:val="24"/>
        </w:rPr>
        <w:t>ase</w:t>
      </w:r>
      <w:r>
        <w:rPr>
          <w:rFonts w:asciiTheme="majorBidi" w:hAnsiTheme="majorBidi" w:cstheme="majorBidi"/>
          <w:sz w:val="24"/>
          <w:szCs w:val="24"/>
        </w:rPr>
        <w:t>s</w:t>
      </w:r>
      <w:r w:rsidR="00B61C71">
        <w:rPr>
          <w:rFonts w:asciiTheme="majorBidi" w:hAnsiTheme="majorBidi" w:cstheme="majorBidi"/>
          <w:sz w:val="24"/>
          <w:szCs w:val="24"/>
        </w:rPr>
        <w:t xml:space="preserve"> III and I will dive immediately. </w:t>
      </w:r>
      <w:r w:rsidR="00E81F1B">
        <w:rPr>
          <w:rFonts w:asciiTheme="majorBidi" w:hAnsiTheme="majorBidi" w:cstheme="majorBidi"/>
          <w:sz w:val="24"/>
          <w:szCs w:val="24"/>
        </w:rPr>
        <w:t>Trade surplus</w:t>
      </w:r>
      <w:r w:rsidR="00EE56B4">
        <w:rPr>
          <w:rFonts w:asciiTheme="majorBidi" w:hAnsiTheme="majorBidi" w:cstheme="majorBidi"/>
          <w:sz w:val="24"/>
          <w:szCs w:val="24"/>
        </w:rPr>
        <w:t xml:space="preserve"> and current account jump</w:t>
      </w:r>
      <w:r w:rsidR="00E81F1B">
        <w:rPr>
          <w:rFonts w:asciiTheme="majorBidi" w:hAnsiTheme="majorBidi" w:cstheme="majorBidi"/>
          <w:sz w:val="24"/>
          <w:szCs w:val="24"/>
        </w:rPr>
        <w:t xml:space="preserve"> the most in </w:t>
      </w:r>
      <w:r w:rsidR="00C172E7">
        <w:rPr>
          <w:rFonts w:asciiTheme="majorBidi" w:hAnsiTheme="majorBidi" w:cstheme="majorBidi"/>
          <w:sz w:val="24"/>
          <w:szCs w:val="24"/>
        </w:rPr>
        <w:t>c</w:t>
      </w:r>
      <w:r w:rsidR="00E81F1B">
        <w:rPr>
          <w:rFonts w:asciiTheme="majorBidi" w:hAnsiTheme="majorBidi" w:cstheme="majorBidi"/>
          <w:sz w:val="24"/>
          <w:szCs w:val="24"/>
        </w:rPr>
        <w:t xml:space="preserve">ase I followed by </w:t>
      </w:r>
      <w:r w:rsidR="00C172E7">
        <w:rPr>
          <w:rFonts w:asciiTheme="majorBidi" w:hAnsiTheme="majorBidi" w:cstheme="majorBidi"/>
          <w:sz w:val="24"/>
          <w:szCs w:val="24"/>
        </w:rPr>
        <w:t>c</w:t>
      </w:r>
      <w:r w:rsidR="00E81F1B">
        <w:rPr>
          <w:rFonts w:asciiTheme="majorBidi" w:hAnsiTheme="majorBidi" w:cstheme="majorBidi"/>
          <w:sz w:val="24"/>
          <w:szCs w:val="24"/>
        </w:rPr>
        <w:t>ase II, while the increase in trade surplus</w:t>
      </w:r>
      <w:r w:rsidR="00EE56B4">
        <w:rPr>
          <w:rFonts w:asciiTheme="majorBidi" w:hAnsiTheme="majorBidi" w:cstheme="majorBidi"/>
          <w:sz w:val="24"/>
          <w:szCs w:val="24"/>
        </w:rPr>
        <w:t xml:space="preserve"> and current account</w:t>
      </w:r>
      <w:r w:rsidR="00E81F1B">
        <w:rPr>
          <w:rFonts w:asciiTheme="majorBidi" w:hAnsiTheme="majorBidi" w:cstheme="majorBidi"/>
          <w:sz w:val="24"/>
          <w:szCs w:val="24"/>
        </w:rPr>
        <w:t xml:space="preserve"> in </w:t>
      </w:r>
      <w:r w:rsidR="00837829">
        <w:rPr>
          <w:rFonts w:asciiTheme="majorBidi" w:hAnsiTheme="majorBidi" w:cstheme="majorBidi"/>
          <w:sz w:val="24"/>
          <w:szCs w:val="24"/>
        </w:rPr>
        <w:t>c</w:t>
      </w:r>
      <w:r w:rsidR="00E81F1B">
        <w:rPr>
          <w:rFonts w:asciiTheme="majorBidi" w:hAnsiTheme="majorBidi" w:cstheme="majorBidi"/>
          <w:sz w:val="24"/>
          <w:szCs w:val="24"/>
        </w:rPr>
        <w:t xml:space="preserve">ase III will be </w:t>
      </w:r>
      <w:r w:rsidR="0005108C">
        <w:rPr>
          <w:rFonts w:asciiTheme="majorBidi" w:hAnsiTheme="majorBidi" w:cstheme="majorBidi"/>
          <w:sz w:val="24"/>
          <w:szCs w:val="24"/>
        </w:rPr>
        <w:t xml:space="preserve">the </w:t>
      </w:r>
      <w:r w:rsidR="00E81F1B">
        <w:rPr>
          <w:rFonts w:asciiTheme="majorBidi" w:hAnsiTheme="majorBidi" w:cstheme="majorBidi"/>
          <w:sz w:val="24"/>
          <w:szCs w:val="24"/>
        </w:rPr>
        <w:t>small</w:t>
      </w:r>
      <w:r w:rsidR="0005108C">
        <w:rPr>
          <w:rFonts w:asciiTheme="majorBidi" w:hAnsiTheme="majorBidi" w:cstheme="majorBidi"/>
          <w:sz w:val="24"/>
          <w:szCs w:val="24"/>
        </w:rPr>
        <w:t>est</w:t>
      </w:r>
      <w:r w:rsidR="00E81F1B">
        <w:rPr>
          <w:rFonts w:asciiTheme="majorBidi" w:hAnsiTheme="majorBidi" w:cstheme="majorBidi"/>
          <w:sz w:val="24"/>
          <w:szCs w:val="24"/>
        </w:rPr>
        <w:t xml:space="preserve">. </w:t>
      </w:r>
      <w:r w:rsidR="00856EEE">
        <w:rPr>
          <w:rFonts w:asciiTheme="majorBidi" w:hAnsiTheme="majorBidi" w:cstheme="majorBidi"/>
          <w:sz w:val="24"/>
          <w:szCs w:val="24"/>
        </w:rPr>
        <w:t xml:space="preserve">Thus, fiscal contractions is only </w:t>
      </w:r>
      <w:r w:rsidR="002C5838">
        <w:rPr>
          <w:rFonts w:asciiTheme="majorBidi" w:hAnsiTheme="majorBidi" w:cstheme="majorBidi"/>
          <w:sz w:val="24"/>
          <w:szCs w:val="24"/>
        </w:rPr>
        <w:t xml:space="preserve">significantly </w:t>
      </w:r>
      <w:r w:rsidR="00856EEE">
        <w:rPr>
          <w:rFonts w:asciiTheme="majorBidi" w:hAnsiTheme="majorBidi" w:cstheme="majorBidi"/>
          <w:sz w:val="24"/>
          <w:szCs w:val="24"/>
        </w:rPr>
        <w:t xml:space="preserve">effective in driving up trade surplus only when the US applies it alone. </w:t>
      </w:r>
      <w:r w:rsidR="00876324">
        <w:rPr>
          <w:rFonts w:asciiTheme="majorBidi" w:hAnsiTheme="majorBidi" w:cstheme="majorBidi"/>
          <w:sz w:val="24"/>
          <w:szCs w:val="24"/>
        </w:rPr>
        <w:t xml:space="preserve">For fixed income market, </w:t>
      </w:r>
      <w:r w:rsidR="00A61DC8">
        <w:rPr>
          <w:rFonts w:asciiTheme="majorBidi" w:hAnsiTheme="majorBidi" w:cstheme="majorBidi"/>
          <w:sz w:val="24"/>
          <w:szCs w:val="24"/>
        </w:rPr>
        <w:t>the</w:t>
      </w:r>
      <w:r w:rsidR="00AE404E">
        <w:rPr>
          <w:rFonts w:asciiTheme="majorBidi" w:hAnsiTheme="majorBidi" w:cstheme="majorBidi"/>
          <w:sz w:val="24"/>
          <w:szCs w:val="24"/>
        </w:rPr>
        <w:t xml:space="preserve"> ten-y</w:t>
      </w:r>
      <w:r w:rsidR="00384BAE">
        <w:rPr>
          <w:rFonts w:asciiTheme="majorBidi" w:hAnsiTheme="majorBidi" w:cstheme="majorBidi"/>
          <w:sz w:val="24"/>
          <w:szCs w:val="24"/>
        </w:rPr>
        <w:t>ear</w:t>
      </w:r>
      <w:r w:rsidR="00B96843">
        <w:rPr>
          <w:rFonts w:asciiTheme="majorBidi" w:hAnsiTheme="majorBidi" w:cstheme="majorBidi"/>
          <w:sz w:val="24"/>
          <w:szCs w:val="24"/>
        </w:rPr>
        <w:t xml:space="preserve"> bond yield</w:t>
      </w:r>
      <w:r w:rsidR="00876324">
        <w:rPr>
          <w:rFonts w:asciiTheme="majorBidi" w:hAnsiTheme="majorBidi" w:cstheme="majorBidi"/>
          <w:sz w:val="24"/>
          <w:szCs w:val="24"/>
        </w:rPr>
        <w:t xml:space="preserve"> will have the steepest decline in </w:t>
      </w:r>
      <w:r w:rsidR="00837829">
        <w:rPr>
          <w:rFonts w:asciiTheme="majorBidi" w:hAnsiTheme="majorBidi" w:cstheme="majorBidi"/>
          <w:sz w:val="24"/>
          <w:szCs w:val="24"/>
        </w:rPr>
        <w:t>c</w:t>
      </w:r>
      <w:r w:rsidR="00876324">
        <w:rPr>
          <w:rFonts w:asciiTheme="majorBidi" w:hAnsiTheme="majorBidi" w:cstheme="majorBidi"/>
          <w:sz w:val="24"/>
          <w:szCs w:val="24"/>
        </w:rPr>
        <w:t>ase III</w:t>
      </w:r>
      <w:r w:rsidR="00B96843">
        <w:rPr>
          <w:rFonts w:asciiTheme="majorBidi" w:hAnsiTheme="majorBidi" w:cstheme="majorBidi"/>
          <w:sz w:val="24"/>
          <w:szCs w:val="24"/>
        </w:rPr>
        <w:t xml:space="preserve">, followed by </w:t>
      </w:r>
      <w:r w:rsidR="00837829">
        <w:rPr>
          <w:rFonts w:asciiTheme="majorBidi" w:hAnsiTheme="majorBidi" w:cstheme="majorBidi"/>
          <w:sz w:val="24"/>
          <w:szCs w:val="24"/>
        </w:rPr>
        <w:t>c</w:t>
      </w:r>
      <w:r w:rsidR="00B96843">
        <w:rPr>
          <w:rFonts w:asciiTheme="majorBidi" w:hAnsiTheme="majorBidi" w:cstheme="majorBidi"/>
          <w:sz w:val="24"/>
          <w:szCs w:val="24"/>
        </w:rPr>
        <w:t>ase</w:t>
      </w:r>
      <w:r>
        <w:rPr>
          <w:rFonts w:asciiTheme="majorBidi" w:hAnsiTheme="majorBidi" w:cstheme="majorBidi"/>
          <w:sz w:val="24"/>
          <w:szCs w:val="24"/>
        </w:rPr>
        <w:t>s</w:t>
      </w:r>
      <w:r w:rsidR="00B96843">
        <w:rPr>
          <w:rFonts w:asciiTheme="majorBidi" w:hAnsiTheme="majorBidi" w:cstheme="majorBidi"/>
          <w:sz w:val="24"/>
          <w:szCs w:val="24"/>
        </w:rPr>
        <w:t xml:space="preserve"> I and II. </w:t>
      </w:r>
      <w:r w:rsidR="00876324">
        <w:rPr>
          <w:rFonts w:asciiTheme="majorBidi" w:hAnsiTheme="majorBidi" w:cstheme="majorBidi"/>
          <w:sz w:val="24"/>
          <w:szCs w:val="24"/>
        </w:rPr>
        <w:t xml:space="preserve">For equity market, stock market value will retreat the least in </w:t>
      </w:r>
      <w:r w:rsidR="00837829">
        <w:rPr>
          <w:rFonts w:asciiTheme="majorBidi" w:hAnsiTheme="majorBidi" w:cstheme="majorBidi"/>
          <w:sz w:val="24"/>
          <w:szCs w:val="24"/>
        </w:rPr>
        <w:t>c</w:t>
      </w:r>
      <w:r w:rsidR="00876324">
        <w:rPr>
          <w:rFonts w:asciiTheme="majorBidi" w:hAnsiTheme="majorBidi" w:cstheme="majorBidi"/>
          <w:sz w:val="24"/>
          <w:szCs w:val="24"/>
        </w:rPr>
        <w:t xml:space="preserve">ase III, followed by </w:t>
      </w:r>
      <w:r w:rsidR="00837829">
        <w:rPr>
          <w:rFonts w:asciiTheme="majorBidi" w:hAnsiTheme="majorBidi" w:cstheme="majorBidi"/>
          <w:sz w:val="24"/>
          <w:szCs w:val="24"/>
        </w:rPr>
        <w:t>c</w:t>
      </w:r>
      <w:r w:rsidR="00876324">
        <w:rPr>
          <w:rFonts w:asciiTheme="majorBidi" w:hAnsiTheme="majorBidi" w:cstheme="majorBidi"/>
          <w:sz w:val="24"/>
          <w:szCs w:val="24"/>
        </w:rPr>
        <w:t>ase</w:t>
      </w:r>
      <w:r>
        <w:rPr>
          <w:rFonts w:asciiTheme="majorBidi" w:hAnsiTheme="majorBidi" w:cstheme="majorBidi"/>
          <w:sz w:val="24"/>
          <w:szCs w:val="24"/>
        </w:rPr>
        <w:t>s</w:t>
      </w:r>
      <w:r w:rsidR="00876324">
        <w:rPr>
          <w:rFonts w:asciiTheme="majorBidi" w:hAnsiTheme="majorBidi" w:cstheme="majorBidi"/>
          <w:sz w:val="24"/>
          <w:szCs w:val="24"/>
        </w:rPr>
        <w:t xml:space="preserve"> II and I. For exchange rate market, US</w:t>
      </w:r>
      <w:r w:rsidR="00935795">
        <w:rPr>
          <w:rFonts w:asciiTheme="majorBidi" w:hAnsiTheme="majorBidi" w:cstheme="majorBidi"/>
          <w:sz w:val="24"/>
          <w:szCs w:val="24"/>
        </w:rPr>
        <w:t>D</w:t>
      </w:r>
      <w:r w:rsidR="00876324">
        <w:rPr>
          <w:rFonts w:asciiTheme="majorBidi" w:hAnsiTheme="majorBidi" w:cstheme="majorBidi"/>
          <w:sz w:val="24"/>
          <w:szCs w:val="24"/>
        </w:rPr>
        <w:t xml:space="preserve"> will depreciate the least in </w:t>
      </w:r>
      <w:r w:rsidR="00837829">
        <w:rPr>
          <w:rFonts w:asciiTheme="majorBidi" w:hAnsiTheme="majorBidi" w:cstheme="majorBidi"/>
          <w:sz w:val="24"/>
          <w:szCs w:val="24"/>
        </w:rPr>
        <w:t>c</w:t>
      </w:r>
      <w:r w:rsidR="00876324">
        <w:rPr>
          <w:rFonts w:asciiTheme="majorBidi" w:hAnsiTheme="majorBidi" w:cstheme="majorBidi"/>
          <w:sz w:val="24"/>
          <w:szCs w:val="24"/>
        </w:rPr>
        <w:t xml:space="preserve">ase III, followed by </w:t>
      </w:r>
      <w:r w:rsidR="00837829">
        <w:rPr>
          <w:rFonts w:asciiTheme="majorBidi" w:hAnsiTheme="majorBidi" w:cstheme="majorBidi"/>
          <w:sz w:val="24"/>
          <w:szCs w:val="24"/>
        </w:rPr>
        <w:t>c</w:t>
      </w:r>
      <w:r>
        <w:rPr>
          <w:rFonts w:asciiTheme="majorBidi" w:hAnsiTheme="majorBidi" w:cstheme="majorBidi"/>
          <w:sz w:val="24"/>
          <w:szCs w:val="24"/>
        </w:rPr>
        <w:t>ases</w:t>
      </w:r>
      <w:r w:rsidR="00876324">
        <w:rPr>
          <w:rFonts w:asciiTheme="majorBidi" w:hAnsiTheme="majorBidi" w:cstheme="majorBidi"/>
          <w:sz w:val="24"/>
          <w:szCs w:val="24"/>
        </w:rPr>
        <w:t xml:space="preserve"> II and I. </w:t>
      </w:r>
    </w:p>
    <w:p w14:paraId="33175EBF" w14:textId="77777777" w:rsidR="00FE025B" w:rsidRDefault="00D55E91" w:rsidP="00954E29">
      <w:pPr>
        <w:spacing w:line="360" w:lineRule="auto"/>
        <w:jc w:val="both"/>
        <w:rPr>
          <w:rFonts w:asciiTheme="majorBidi" w:hAnsiTheme="majorBidi" w:cstheme="majorBidi"/>
          <w:sz w:val="24"/>
          <w:szCs w:val="24"/>
        </w:rPr>
      </w:pPr>
      <w:r>
        <w:rPr>
          <w:rFonts w:asciiTheme="majorBidi" w:hAnsiTheme="majorBidi" w:cstheme="majorBidi"/>
          <w:sz w:val="24"/>
          <w:szCs w:val="24"/>
        </w:rPr>
        <w:t>To conclude</w:t>
      </w:r>
      <w:r w:rsidR="003B600A">
        <w:rPr>
          <w:rFonts w:asciiTheme="majorBidi" w:hAnsiTheme="majorBidi" w:cstheme="majorBidi"/>
          <w:sz w:val="24"/>
          <w:szCs w:val="24"/>
        </w:rPr>
        <w:t xml:space="preserve">, </w:t>
      </w:r>
      <w:r w:rsidR="004A2183">
        <w:rPr>
          <w:rFonts w:asciiTheme="majorBidi" w:hAnsiTheme="majorBidi" w:cstheme="majorBidi"/>
          <w:sz w:val="24"/>
          <w:szCs w:val="24"/>
        </w:rPr>
        <w:t xml:space="preserve">from the simulation of G-Cubed model, </w:t>
      </w:r>
      <w:r w:rsidR="00AA3B43">
        <w:rPr>
          <w:rFonts w:asciiTheme="majorBidi" w:hAnsiTheme="majorBidi" w:cstheme="majorBidi"/>
          <w:sz w:val="24"/>
          <w:szCs w:val="24"/>
        </w:rPr>
        <w:t xml:space="preserve">permanent reduction of fiscal contraction </w:t>
      </w:r>
      <w:r w:rsidR="001A2EE4">
        <w:rPr>
          <w:rFonts w:asciiTheme="majorBidi" w:hAnsiTheme="majorBidi" w:cstheme="majorBidi"/>
          <w:sz w:val="24"/>
          <w:szCs w:val="24"/>
        </w:rPr>
        <w:t xml:space="preserve">benefits the most </w:t>
      </w:r>
      <w:r w:rsidR="00E5305C">
        <w:rPr>
          <w:rFonts w:asciiTheme="majorBidi" w:hAnsiTheme="majorBidi" w:cstheme="majorBidi"/>
          <w:sz w:val="24"/>
          <w:szCs w:val="24"/>
        </w:rPr>
        <w:t>on export because of the sharpest depreci</w:t>
      </w:r>
      <w:r w:rsidR="005C69C7">
        <w:rPr>
          <w:rFonts w:asciiTheme="majorBidi" w:hAnsiTheme="majorBidi" w:cstheme="majorBidi"/>
          <w:sz w:val="24"/>
          <w:szCs w:val="24"/>
        </w:rPr>
        <w:t xml:space="preserve">ation in </w:t>
      </w:r>
      <w:r w:rsidR="00F0138A">
        <w:rPr>
          <w:rFonts w:asciiTheme="majorBidi" w:hAnsiTheme="majorBidi" w:cstheme="majorBidi"/>
          <w:sz w:val="24"/>
          <w:szCs w:val="24"/>
        </w:rPr>
        <w:t>USD</w:t>
      </w:r>
      <w:r w:rsidR="00593E33">
        <w:rPr>
          <w:rFonts w:asciiTheme="majorBidi" w:hAnsiTheme="majorBidi" w:cstheme="majorBidi"/>
          <w:sz w:val="24"/>
          <w:szCs w:val="24"/>
        </w:rPr>
        <w:t xml:space="preserve">. </w:t>
      </w:r>
      <w:r w:rsidR="00D347E3">
        <w:rPr>
          <w:rFonts w:asciiTheme="majorBidi" w:hAnsiTheme="majorBidi" w:cstheme="majorBidi"/>
          <w:sz w:val="24"/>
          <w:szCs w:val="24"/>
        </w:rPr>
        <w:t xml:space="preserve">However, </w:t>
      </w:r>
      <w:r w:rsidR="00600710">
        <w:rPr>
          <w:rFonts w:asciiTheme="majorBidi" w:hAnsiTheme="majorBidi" w:cstheme="majorBidi"/>
          <w:sz w:val="24"/>
          <w:szCs w:val="24"/>
        </w:rPr>
        <w:t xml:space="preserve">US is not an export led economy because export only </w:t>
      </w:r>
      <w:r w:rsidR="00E56CFA">
        <w:rPr>
          <w:rFonts w:asciiTheme="majorBidi" w:hAnsiTheme="majorBidi" w:cstheme="majorBidi"/>
          <w:sz w:val="24"/>
          <w:szCs w:val="24"/>
        </w:rPr>
        <w:t>represents</w:t>
      </w:r>
      <w:r w:rsidR="00600710">
        <w:rPr>
          <w:rFonts w:asciiTheme="majorBidi" w:hAnsiTheme="majorBidi" w:cstheme="majorBidi"/>
          <w:sz w:val="24"/>
          <w:szCs w:val="24"/>
        </w:rPr>
        <w:t xml:space="preserve"> 13 percent of GDP and US is</w:t>
      </w:r>
      <w:r w:rsidR="00907490">
        <w:rPr>
          <w:rFonts w:asciiTheme="majorBidi" w:hAnsiTheme="majorBidi" w:cstheme="majorBidi"/>
          <w:sz w:val="24"/>
          <w:szCs w:val="24"/>
        </w:rPr>
        <w:t xml:space="preserve"> known for running the largest </w:t>
      </w:r>
      <w:r w:rsidR="00600710">
        <w:rPr>
          <w:rFonts w:asciiTheme="majorBidi" w:hAnsiTheme="majorBidi" w:cstheme="majorBidi"/>
          <w:sz w:val="24"/>
          <w:szCs w:val="24"/>
        </w:rPr>
        <w:t>current account deficit</w:t>
      </w:r>
      <w:r w:rsidR="00907490">
        <w:rPr>
          <w:rFonts w:asciiTheme="majorBidi" w:hAnsiTheme="majorBidi" w:cstheme="majorBidi"/>
          <w:sz w:val="24"/>
          <w:szCs w:val="24"/>
        </w:rPr>
        <w:t xml:space="preserve"> in the world</w:t>
      </w:r>
      <w:r w:rsidR="00600710">
        <w:rPr>
          <w:rFonts w:asciiTheme="majorBidi" w:hAnsiTheme="majorBidi" w:cstheme="majorBidi"/>
          <w:sz w:val="24"/>
          <w:szCs w:val="24"/>
        </w:rPr>
        <w:t>.</w:t>
      </w:r>
      <w:r w:rsidR="00D347E3">
        <w:rPr>
          <w:rFonts w:asciiTheme="majorBidi" w:hAnsiTheme="majorBidi" w:cstheme="majorBidi"/>
          <w:sz w:val="24"/>
          <w:szCs w:val="24"/>
        </w:rPr>
        <w:t xml:space="preserve"> </w:t>
      </w:r>
      <w:r w:rsidR="00E520ED">
        <w:rPr>
          <w:rFonts w:asciiTheme="majorBidi" w:hAnsiTheme="majorBidi" w:cstheme="majorBidi"/>
          <w:sz w:val="24"/>
          <w:szCs w:val="24"/>
        </w:rPr>
        <w:t>Thus, t</w:t>
      </w:r>
      <w:r w:rsidR="00D347E3">
        <w:rPr>
          <w:rFonts w:asciiTheme="majorBidi" w:hAnsiTheme="majorBidi" w:cstheme="majorBidi"/>
          <w:sz w:val="24"/>
          <w:szCs w:val="24"/>
        </w:rPr>
        <w:t>he</w:t>
      </w:r>
      <w:r w:rsidR="00E520ED">
        <w:rPr>
          <w:rFonts w:asciiTheme="majorBidi" w:hAnsiTheme="majorBidi" w:cstheme="majorBidi"/>
          <w:sz w:val="24"/>
          <w:szCs w:val="24"/>
        </w:rPr>
        <w:t xml:space="preserve"> strongest </w:t>
      </w:r>
      <w:r w:rsidR="00D347E3">
        <w:rPr>
          <w:rFonts w:asciiTheme="majorBidi" w:hAnsiTheme="majorBidi" w:cstheme="majorBidi"/>
          <w:sz w:val="24"/>
          <w:szCs w:val="24"/>
        </w:rPr>
        <w:t xml:space="preserve">jump in export </w:t>
      </w:r>
      <w:r w:rsidR="00600710">
        <w:rPr>
          <w:rFonts w:asciiTheme="majorBidi" w:hAnsiTheme="majorBidi" w:cstheme="majorBidi"/>
          <w:sz w:val="24"/>
          <w:szCs w:val="24"/>
        </w:rPr>
        <w:t>does not</w:t>
      </w:r>
      <w:r w:rsidR="00D347E3">
        <w:rPr>
          <w:rFonts w:asciiTheme="majorBidi" w:hAnsiTheme="majorBidi" w:cstheme="majorBidi"/>
          <w:sz w:val="24"/>
          <w:szCs w:val="24"/>
        </w:rPr>
        <w:t xml:space="preserve"> help</w:t>
      </w:r>
      <w:r w:rsidR="00A1379F">
        <w:rPr>
          <w:rFonts w:asciiTheme="majorBidi" w:hAnsiTheme="majorBidi" w:cstheme="majorBidi"/>
          <w:sz w:val="24"/>
          <w:szCs w:val="24"/>
        </w:rPr>
        <w:t xml:space="preserve"> the</w:t>
      </w:r>
      <w:r w:rsidR="00D347E3">
        <w:rPr>
          <w:rFonts w:asciiTheme="majorBidi" w:hAnsiTheme="majorBidi" w:cstheme="majorBidi"/>
          <w:sz w:val="24"/>
          <w:szCs w:val="24"/>
        </w:rPr>
        <w:t xml:space="preserve"> US GDP much</w:t>
      </w:r>
      <w:r w:rsidR="00600710">
        <w:rPr>
          <w:rFonts w:asciiTheme="majorBidi" w:hAnsiTheme="majorBidi" w:cstheme="majorBidi"/>
          <w:sz w:val="24"/>
          <w:szCs w:val="24"/>
        </w:rPr>
        <w:t xml:space="preserve"> in case I</w:t>
      </w:r>
      <w:r w:rsidR="00D347E3">
        <w:rPr>
          <w:rFonts w:asciiTheme="majorBidi" w:hAnsiTheme="majorBidi" w:cstheme="majorBidi"/>
          <w:sz w:val="24"/>
          <w:szCs w:val="24"/>
        </w:rPr>
        <w:t xml:space="preserve">. </w:t>
      </w:r>
      <w:r w:rsidR="00A27D3A">
        <w:rPr>
          <w:rFonts w:asciiTheme="majorBidi" w:hAnsiTheme="majorBidi" w:cstheme="majorBidi"/>
          <w:sz w:val="24"/>
          <w:szCs w:val="24"/>
        </w:rPr>
        <w:t>On the other hand</w:t>
      </w:r>
      <w:r w:rsidR="005A3F99">
        <w:rPr>
          <w:rFonts w:asciiTheme="majorBidi" w:hAnsiTheme="majorBidi" w:cstheme="majorBidi"/>
          <w:sz w:val="24"/>
          <w:szCs w:val="24"/>
        </w:rPr>
        <w:t xml:space="preserve">, </w:t>
      </w:r>
      <w:r w:rsidR="00A27D3A">
        <w:rPr>
          <w:rFonts w:asciiTheme="majorBidi" w:hAnsiTheme="majorBidi" w:cstheme="majorBidi"/>
          <w:sz w:val="24"/>
          <w:szCs w:val="24"/>
        </w:rPr>
        <w:t xml:space="preserve">GDP in </w:t>
      </w:r>
      <w:r w:rsidR="005A3F99">
        <w:rPr>
          <w:rFonts w:asciiTheme="majorBidi" w:hAnsiTheme="majorBidi" w:cstheme="majorBidi"/>
          <w:sz w:val="24"/>
          <w:szCs w:val="24"/>
        </w:rPr>
        <w:t>p</w:t>
      </w:r>
      <w:r w:rsidR="00F0138A">
        <w:rPr>
          <w:rFonts w:asciiTheme="majorBidi" w:hAnsiTheme="majorBidi" w:cstheme="majorBidi"/>
          <w:sz w:val="24"/>
          <w:szCs w:val="24"/>
        </w:rPr>
        <w:t>hase</w:t>
      </w:r>
      <w:r w:rsidR="00362522">
        <w:rPr>
          <w:rFonts w:asciiTheme="majorBidi" w:hAnsiTheme="majorBidi" w:cstheme="majorBidi"/>
          <w:sz w:val="24"/>
          <w:szCs w:val="24"/>
        </w:rPr>
        <w:t>-in</w:t>
      </w:r>
      <w:r w:rsidR="00F0138A">
        <w:rPr>
          <w:rFonts w:asciiTheme="majorBidi" w:hAnsiTheme="majorBidi" w:cstheme="majorBidi"/>
          <w:sz w:val="24"/>
          <w:szCs w:val="24"/>
        </w:rPr>
        <w:t xml:space="preserve"> </w:t>
      </w:r>
      <w:r w:rsidR="00AA3B43">
        <w:rPr>
          <w:rFonts w:asciiTheme="majorBidi" w:hAnsiTheme="majorBidi" w:cstheme="majorBidi"/>
          <w:sz w:val="24"/>
          <w:szCs w:val="24"/>
        </w:rPr>
        <w:t>approach</w:t>
      </w:r>
      <w:r w:rsidR="0000708A">
        <w:rPr>
          <w:rFonts w:asciiTheme="majorBidi" w:hAnsiTheme="majorBidi" w:cstheme="majorBidi"/>
          <w:sz w:val="24"/>
          <w:szCs w:val="24"/>
        </w:rPr>
        <w:t xml:space="preserve"> </w:t>
      </w:r>
      <w:r w:rsidR="00457E56">
        <w:rPr>
          <w:rFonts w:asciiTheme="majorBidi" w:hAnsiTheme="majorBidi" w:cstheme="majorBidi"/>
          <w:sz w:val="24"/>
          <w:szCs w:val="24"/>
        </w:rPr>
        <w:t>will jump</w:t>
      </w:r>
      <w:r w:rsidR="0000708A">
        <w:rPr>
          <w:rFonts w:asciiTheme="majorBidi" w:hAnsiTheme="majorBidi" w:cstheme="majorBidi"/>
          <w:sz w:val="24"/>
          <w:szCs w:val="24"/>
        </w:rPr>
        <w:t xml:space="preserve"> </w:t>
      </w:r>
      <w:r w:rsidR="00EE30D0">
        <w:rPr>
          <w:rFonts w:asciiTheme="majorBidi" w:hAnsiTheme="majorBidi" w:cstheme="majorBidi"/>
          <w:sz w:val="24"/>
          <w:szCs w:val="24"/>
        </w:rPr>
        <w:t xml:space="preserve">among </w:t>
      </w:r>
      <w:r w:rsidR="0000708A">
        <w:rPr>
          <w:rFonts w:asciiTheme="majorBidi" w:hAnsiTheme="majorBidi" w:cstheme="majorBidi"/>
          <w:sz w:val="24"/>
          <w:szCs w:val="24"/>
        </w:rPr>
        <w:t xml:space="preserve">the highest </w:t>
      </w:r>
      <w:r w:rsidR="00593E33">
        <w:rPr>
          <w:rFonts w:asciiTheme="majorBidi" w:hAnsiTheme="majorBidi" w:cstheme="majorBidi"/>
          <w:sz w:val="24"/>
          <w:szCs w:val="24"/>
        </w:rPr>
        <w:t>in the first two years</w:t>
      </w:r>
      <w:r w:rsidR="00A27D3A">
        <w:rPr>
          <w:rFonts w:asciiTheme="majorBidi" w:hAnsiTheme="majorBidi" w:cstheme="majorBidi"/>
          <w:sz w:val="24"/>
          <w:szCs w:val="24"/>
        </w:rPr>
        <w:t xml:space="preserve"> </w:t>
      </w:r>
      <w:r w:rsidR="00420E8F">
        <w:rPr>
          <w:rFonts w:asciiTheme="majorBidi" w:hAnsiTheme="majorBidi" w:cstheme="majorBidi"/>
          <w:sz w:val="24"/>
          <w:szCs w:val="24"/>
        </w:rPr>
        <w:t>despite the fact that its long-term financing is the same as in permanent approach</w:t>
      </w:r>
      <w:r w:rsidR="0000708A">
        <w:rPr>
          <w:rFonts w:asciiTheme="majorBidi" w:hAnsiTheme="majorBidi" w:cstheme="majorBidi"/>
          <w:sz w:val="24"/>
          <w:szCs w:val="24"/>
        </w:rPr>
        <w:t>.</w:t>
      </w:r>
      <w:r w:rsidR="0062518B">
        <w:rPr>
          <w:rFonts w:asciiTheme="majorBidi" w:hAnsiTheme="majorBidi" w:cstheme="majorBidi"/>
          <w:sz w:val="24"/>
          <w:szCs w:val="24"/>
        </w:rPr>
        <w:t xml:space="preserve"> </w:t>
      </w:r>
      <w:r w:rsidR="00CE7C3A">
        <w:rPr>
          <w:rFonts w:asciiTheme="majorBidi" w:hAnsiTheme="majorBidi" w:cstheme="majorBidi"/>
          <w:sz w:val="24"/>
          <w:szCs w:val="24"/>
        </w:rPr>
        <w:t>Finally</w:t>
      </w:r>
      <w:r w:rsidR="00F01AD3">
        <w:rPr>
          <w:rFonts w:asciiTheme="majorBidi" w:hAnsiTheme="majorBidi" w:cstheme="majorBidi"/>
          <w:sz w:val="24"/>
          <w:szCs w:val="24"/>
        </w:rPr>
        <w:t xml:space="preserve">, </w:t>
      </w:r>
      <w:r w:rsidR="00E44326">
        <w:rPr>
          <w:rFonts w:asciiTheme="majorBidi" w:hAnsiTheme="majorBidi" w:cstheme="majorBidi"/>
          <w:sz w:val="24"/>
          <w:szCs w:val="24"/>
        </w:rPr>
        <w:t xml:space="preserve">if </w:t>
      </w:r>
      <w:r w:rsidR="00ED52F4">
        <w:rPr>
          <w:rFonts w:asciiTheme="majorBidi" w:hAnsiTheme="majorBidi" w:cstheme="majorBidi"/>
          <w:sz w:val="24"/>
          <w:szCs w:val="24"/>
        </w:rPr>
        <w:t xml:space="preserve">both the ROW and the US apply </w:t>
      </w:r>
      <w:r w:rsidR="001609C2">
        <w:rPr>
          <w:rFonts w:asciiTheme="majorBidi" w:hAnsiTheme="majorBidi" w:cstheme="majorBidi"/>
          <w:sz w:val="24"/>
          <w:szCs w:val="24"/>
        </w:rPr>
        <w:t xml:space="preserve">the same </w:t>
      </w:r>
      <w:r w:rsidR="00E56CFA">
        <w:rPr>
          <w:rFonts w:asciiTheme="majorBidi" w:hAnsiTheme="majorBidi" w:cstheme="majorBidi"/>
          <w:sz w:val="24"/>
          <w:szCs w:val="24"/>
        </w:rPr>
        <w:t xml:space="preserve">percentage </w:t>
      </w:r>
      <w:r w:rsidR="00F01AD3">
        <w:rPr>
          <w:rFonts w:asciiTheme="majorBidi" w:hAnsiTheme="majorBidi" w:cstheme="majorBidi"/>
          <w:sz w:val="24"/>
          <w:szCs w:val="24"/>
        </w:rPr>
        <w:t>of fiscal deficit reduction</w:t>
      </w:r>
      <w:r w:rsidR="00C20AA5">
        <w:rPr>
          <w:rFonts w:asciiTheme="majorBidi" w:hAnsiTheme="majorBidi" w:cstheme="majorBidi"/>
          <w:sz w:val="24"/>
          <w:szCs w:val="24"/>
        </w:rPr>
        <w:t>, the trend of GDP is similar to permanent policy done by US alone but will recover faster</w:t>
      </w:r>
      <w:r w:rsidR="00285E1F">
        <w:rPr>
          <w:rFonts w:asciiTheme="majorBidi" w:hAnsiTheme="majorBidi" w:cstheme="majorBidi"/>
          <w:sz w:val="24"/>
          <w:szCs w:val="24"/>
        </w:rPr>
        <w:t xml:space="preserve"> due to sharpest decline in interest rate and highest jump in consumption</w:t>
      </w:r>
      <w:r w:rsidR="00952EB5">
        <w:rPr>
          <w:rFonts w:asciiTheme="majorBidi" w:hAnsiTheme="majorBidi" w:cstheme="majorBidi"/>
          <w:sz w:val="24"/>
          <w:szCs w:val="24"/>
        </w:rPr>
        <w:t xml:space="preserve">. </w:t>
      </w:r>
      <w:r w:rsidR="00E56CFA">
        <w:rPr>
          <w:rFonts w:asciiTheme="majorBidi" w:hAnsiTheme="majorBidi" w:cstheme="majorBidi"/>
          <w:sz w:val="24"/>
          <w:szCs w:val="24"/>
        </w:rPr>
        <w:t>We can also see that</w:t>
      </w:r>
      <w:r w:rsidR="007C4153">
        <w:rPr>
          <w:rFonts w:asciiTheme="majorBidi" w:hAnsiTheme="majorBidi" w:cstheme="majorBidi"/>
          <w:sz w:val="24"/>
          <w:szCs w:val="24"/>
        </w:rPr>
        <w:t xml:space="preserve"> </w:t>
      </w:r>
      <w:r w:rsidR="00E56CFA">
        <w:rPr>
          <w:rFonts w:asciiTheme="majorBidi" w:hAnsiTheme="majorBidi" w:cstheme="majorBidi"/>
          <w:sz w:val="24"/>
          <w:szCs w:val="24"/>
        </w:rPr>
        <w:t>regardless</w:t>
      </w:r>
      <w:r w:rsidR="00DF5737">
        <w:rPr>
          <w:rFonts w:asciiTheme="majorBidi" w:hAnsiTheme="majorBidi" w:cstheme="majorBidi"/>
          <w:sz w:val="24"/>
          <w:szCs w:val="24"/>
        </w:rPr>
        <w:t xml:space="preserve"> </w:t>
      </w:r>
      <w:r w:rsidR="00E56CFA">
        <w:rPr>
          <w:rFonts w:asciiTheme="majorBidi" w:hAnsiTheme="majorBidi" w:cstheme="majorBidi"/>
          <w:sz w:val="24"/>
          <w:szCs w:val="24"/>
        </w:rPr>
        <w:t xml:space="preserve">of which </w:t>
      </w:r>
      <w:r w:rsidR="00DF5737">
        <w:rPr>
          <w:rFonts w:asciiTheme="majorBidi" w:hAnsiTheme="majorBidi" w:cstheme="majorBidi"/>
          <w:sz w:val="24"/>
          <w:szCs w:val="24"/>
        </w:rPr>
        <w:t xml:space="preserve">fiscal </w:t>
      </w:r>
      <w:r w:rsidR="00DF5737">
        <w:rPr>
          <w:rFonts w:asciiTheme="majorBidi" w:hAnsiTheme="majorBidi" w:cstheme="majorBidi"/>
          <w:sz w:val="24"/>
          <w:szCs w:val="24"/>
        </w:rPr>
        <w:lastRenderedPageBreak/>
        <w:t>contraction</w:t>
      </w:r>
      <w:r w:rsidR="00E56CFA">
        <w:rPr>
          <w:rFonts w:asciiTheme="majorBidi" w:hAnsiTheme="majorBidi" w:cstheme="majorBidi"/>
          <w:sz w:val="24"/>
          <w:szCs w:val="24"/>
        </w:rPr>
        <w:t xml:space="preserve"> scheme</w:t>
      </w:r>
      <w:r w:rsidR="00DF5737">
        <w:rPr>
          <w:rFonts w:asciiTheme="majorBidi" w:hAnsiTheme="majorBidi" w:cstheme="majorBidi"/>
          <w:sz w:val="24"/>
          <w:szCs w:val="24"/>
        </w:rPr>
        <w:t xml:space="preserve">, consumption will be encouraged </w:t>
      </w:r>
      <w:r w:rsidR="00611A9F">
        <w:rPr>
          <w:rFonts w:asciiTheme="majorBidi" w:hAnsiTheme="majorBidi" w:cstheme="majorBidi"/>
          <w:sz w:val="24"/>
          <w:szCs w:val="24"/>
        </w:rPr>
        <w:t>by</w:t>
      </w:r>
      <w:r w:rsidR="0061315C">
        <w:rPr>
          <w:rFonts w:asciiTheme="majorBidi" w:hAnsiTheme="majorBidi" w:cstheme="majorBidi"/>
          <w:sz w:val="24"/>
          <w:szCs w:val="24"/>
        </w:rPr>
        <w:t xml:space="preserve"> decrease in </w:t>
      </w:r>
      <w:r w:rsidR="00DF5737">
        <w:rPr>
          <w:rFonts w:asciiTheme="majorBidi" w:hAnsiTheme="majorBidi" w:cstheme="majorBidi"/>
          <w:sz w:val="24"/>
          <w:szCs w:val="24"/>
        </w:rPr>
        <w:t>interest rate and lower tax</w:t>
      </w:r>
      <w:r w:rsidR="00611A9F">
        <w:rPr>
          <w:rFonts w:asciiTheme="majorBidi" w:hAnsiTheme="majorBidi" w:cstheme="majorBidi"/>
          <w:sz w:val="24"/>
          <w:szCs w:val="24"/>
        </w:rPr>
        <w:t xml:space="preserve"> expectation</w:t>
      </w:r>
      <w:r w:rsidR="00DF5737">
        <w:rPr>
          <w:rFonts w:asciiTheme="majorBidi" w:hAnsiTheme="majorBidi" w:cstheme="majorBidi"/>
          <w:sz w:val="24"/>
          <w:szCs w:val="24"/>
        </w:rPr>
        <w:t xml:space="preserve">. </w:t>
      </w:r>
      <w:r w:rsidR="007C1974">
        <w:rPr>
          <w:rFonts w:asciiTheme="majorBidi" w:hAnsiTheme="majorBidi" w:cstheme="majorBidi"/>
          <w:sz w:val="24"/>
          <w:szCs w:val="24"/>
        </w:rPr>
        <w:t xml:space="preserve">Mankiw and </w:t>
      </w:r>
      <w:proofErr w:type="spellStart"/>
      <w:r w:rsidR="007C1974">
        <w:rPr>
          <w:rFonts w:asciiTheme="majorBidi" w:hAnsiTheme="majorBidi" w:cstheme="majorBidi"/>
          <w:sz w:val="24"/>
          <w:szCs w:val="24"/>
        </w:rPr>
        <w:t>W</w:t>
      </w:r>
      <w:r w:rsidR="007C1974" w:rsidRPr="007B17BF">
        <w:rPr>
          <w:rFonts w:asciiTheme="majorBidi" w:hAnsiTheme="majorBidi" w:cstheme="majorBidi"/>
          <w:sz w:val="24"/>
          <w:szCs w:val="24"/>
        </w:rPr>
        <w:t>einzierl</w:t>
      </w:r>
      <w:proofErr w:type="spellEnd"/>
      <w:r w:rsidR="007C1974">
        <w:rPr>
          <w:rFonts w:asciiTheme="majorBidi" w:hAnsiTheme="majorBidi" w:cstheme="majorBidi"/>
          <w:sz w:val="24"/>
          <w:szCs w:val="24"/>
        </w:rPr>
        <w:t xml:space="preserve"> (2011) suggest that </w:t>
      </w:r>
      <w:r w:rsidR="007C1974" w:rsidRPr="007B17BF">
        <w:rPr>
          <w:rFonts w:asciiTheme="majorBidi" w:hAnsiTheme="majorBidi" w:cstheme="majorBidi"/>
          <w:sz w:val="24"/>
          <w:szCs w:val="24"/>
        </w:rPr>
        <w:t xml:space="preserve">fiscal policy should aim at incentivizing interest-sensitive components of spending, such as investment (p. 246). </w:t>
      </w:r>
      <w:proofErr w:type="spellStart"/>
      <w:r w:rsidR="00161183">
        <w:rPr>
          <w:rFonts w:asciiTheme="majorBidi" w:hAnsiTheme="majorBidi" w:cstheme="majorBidi"/>
          <w:sz w:val="24"/>
          <w:szCs w:val="24"/>
        </w:rPr>
        <w:t>Perotti</w:t>
      </w:r>
      <w:proofErr w:type="spellEnd"/>
      <w:r w:rsidR="00161183">
        <w:rPr>
          <w:rFonts w:asciiTheme="majorBidi" w:hAnsiTheme="majorBidi" w:cstheme="majorBidi"/>
          <w:sz w:val="24"/>
          <w:szCs w:val="24"/>
        </w:rPr>
        <w:t xml:space="preserve"> (1999) had also concluded that </w:t>
      </w:r>
      <w:r w:rsidR="00DC5F65">
        <w:rPr>
          <w:rFonts w:asciiTheme="majorBidi" w:hAnsiTheme="majorBidi" w:cstheme="majorBidi"/>
          <w:sz w:val="24"/>
          <w:szCs w:val="24"/>
        </w:rPr>
        <w:t>i</w:t>
      </w:r>
      <w:r w:rsidR="00161183" w:rsidRPr="00161183">
        <w:rPr>
          <w:rFonts w:asciiTheme="majorBidi" w:hAnsiTheme="majorBidi" w:cstheme="majorBidi"/>
          <w:sz w:val="24"/>
          <w:szCs w:val="24"/>
        </w:rPr>
        <w:t xml:space="preserve">f a fiscal policy shock causes a temporary fall in interest rates, consumers would try to take advantage of the temporarily low intertemporal price of consumption (p. 1432). </w:t>
      </w:r>
      <w:r w:rsidR="005D6908">
        <w:rPr>
          <w:rFonts w:asciiTheme="majorBidi" w:hAnsiTheme="majorBidi" w:cstheme="majorBidi"/>
          <w:sz w:val="24"/>
          <w:szCs w:val="24"/>
        </w:rPr>
        <w:t xml:space="preserve">However, GDP </w:t>
      </w:r>
      <w:r w:rsidR="00E216A6">
        <w:rPr>
          <w:rFonts w:asciiTheme="majorBidi" w:hAnsiTheme="majorBidi" w:cstheme="majorBidi"/>
          <w:sz w:val="24"/>
          <w:szCs w:val="24"/>
        </w:rPr>
        <w:t xml:space="preserve">under permanent approach </w:t>
      </w:r>
      <w:r w:rsidR="005D6908">
        <w:rPr>
          <w:rFonts w:asciiTheme="majorBidi" w:hAnsiTheme="majorBidi" w:cstheme="majorBidi"/>
          <w:sz w:val="24"/>
          <w:szCs w:val="24"/>
        </w:rPr>
        <w:t>will</w:t>
      </w:r>
      <w:r w:rsidR="00E216A6">
        <w:rPr>
          <w:rFonts w:asciiTheme="majorBidi" w:hAnsiTheme="majorBidi" w:cstheme="majorBidi"/>
          <w:sz w:val="24"/>
          <w:szCs w:val="24"/>
        </w:rPr>
        <w:t xml:space="preserve"> still</w:t>
      </w:r>
      <w:r w:rsidR="005D6908">
        <w:rPr>
          <w:rFonts w:asciiTheme="majorBidi" w:hAnsiTheme="majorBidi" w:cstheme="majorBidi"/>
          <w:sz w:val="24"/>
          <w:szCs w:val="24"/>
        </w:rPr>
        <w:t xml:space="preserve"> be </w:t>
      </w:r>
      <w:r w:rsidR="00430E53">
        <w:rPr>
          <w:rFonts w:asciiTheme="majorBidi" w:hAnsiTheme="majorBidi" w:cstheme="majorBidi"/>
          <w:sz w:val="24"/>
          <w:szCs w:val="24"/>
        </w:rPr>
        <w:t>mainly affected</w:t>
      </w:r>
      <w:r w:rsidR="005D6908">
        <w:rPr>
          <w:rFonts w:asciiTheme="majorBidi" w:hAnsiTheme="majorBidi" w:cstheme="majorBidi"/>
          <w:sz w:val="24"/>
          <w:szCs w:val="24"/>
        </w:rPr>
        <w:t xml:space="preserve"> by the </w:t>
      </w:r>
      <w:r w:rsidR="00FE3FF3">
        <w:rPr>
          <w:rFonts w:asciiTheme="majorBidi" w:hAnsiTheme="majorBidi" w:cstheme="majorBidi"/>
          <w:sz w:val="24"/>
          <w:szCs w:val="24"/>
        </w:rPr>
        <w:t xml:space="preserve">fall in </w:t>
      </w:r>
      <w:r w:rsidR="005D6908">
        <w:rPr>
          <w:rFonts w:asciiTheme="majorBidi" w:hAnsiTheme="majorBidi" w:cstheme="majorBidi"/>
          <w:sz w:val="24"/>
          <w:szCs w:val="24"/>
        </w:rPr>
        <w:t>demand for capital goods</w:t>
      </w:r>
      <w:r w:rsidR="00FE3FF3">
        <w:rPr>
          <w:rFonts w:asciiTheme="majorBidi" w:hAnsiTheme="majorBidi" w:cstheme="majorBidi"/>
          <w:sz w:val="24"/>
          <w:szCs w:val="24"/>
        </w:rPr>
        <w:t xml:space="preserve"> </w:t>
      </w:r>
      <w:r w:rsidR="005D6908">
        <w:rPr>
          <w:rFonts w:asciiTheme="majorBidi" w:hAnsiTheme="majorBidi" w:cstheme="majorBidi"/>
          <w:sz w:val="24"/>
          <w:szCs w:val="24"/>
        </w:rPr>
        <w:t>and investment as result</w:t>
      </w:r>
      <w:r w:rsidR="00C829C8">
        <w:rPr>
          <w:rFonts w:asciiTheme="majorBidi" w:hAnsiTheme="majorBidi" w:cstheme="majorBidi"/>
          <w:sz w:val="24"/>
          <w:szCs w:val="24"/>
        </w:rPr>
        <w:t>s</w:t>
      </w:r>
      <w:r w:rsidR="005D6908">
        <w:rPr>
          <w:rFonts w:asciiTheme="majorBidi" w:hAnsiTheme="majorBidi" w:cstheme="majorBidi"/>
          <w:sz w:val="24"/>
          <w:szCs w:val="24"/>
        </w:rPr>
        <w:t xml:space="preserve"> of spending reduction. </w:t>
      </w:r>
      <w:r w:rsidR="00BF59D5">
        <w:rPr>
          <w:rFonts w:asciiTheme="majorBidi" w:hAnsiTheme="majorBidi" w:cstheme="majorBidi"/>
          <w:sz w:val="24"/>
          <w:szCs w:val="24"/>
        </w:rPr>
        <w:t xml:space="preserve">Although in the US, private consumption explains </w:t>
      </w:r>
      <w:r w:rsidR="00473F64">
        <w:rPr>
          <w:rFonts w:asciiTheme="majorBidi" w:hAnsiTheme="majorBidi" w:cstheme="majorBidi"/>
          <w:sz w:val="24"/>
          <w:szCs w:val="24"/>
        </w:rPr>
        <w:t>nearly 70 percent of the US GDP,</w:t>
      </w:r>
      <w:r w:rsidR="00BF59D5">
        <w:rPr>
          <w:rFonts w:asciiTheme="majorBidi" w:hAnsiTheme="majorBidi" w:cstheme="majorBidi"/>
          <w:sz w:val="24"/>
          <w:szCs w:val="24"/>
        </w:rPr>
        <w:t xml:space="preserve"> </w:t>
      </w:r>
      <w:r w:rsidR="00524E7F">
        <w:rPr>
          <w:rFonts w:asciiTheme="majorBidi" w:hAnsiTheme="majorBidi" w:cstheme="majorBidi"/>
          <w:sz w:val="24"/>
          <w:szCs w:val="24"/>
        </w:rPr>
        <w:t>the total value of positive response of consumption to</w:t>
      </w:r>
      <w:r w:rsidR="00BF59D5">
        <w:rPr>
          <w:rFonts w:asciiTheme="majorBidi" w:hAnsiTheme="majorBidi" w:cstheme="majorBidi"/>
          <w:sz w:val="24"/>
          <w:szCs w:val="24"/>
        </w:rPr>
        <w:t xml:space="preserve"> fiscal deficit reduction </w:t>
      </w:r>
      <w:r w:rsidR="00524E7F">
        <w:rPr>
          <w:rFonts w:asciiTheme="majorBidi" w:hAnsiTheme="majorBidi" w:cstheme="majorBidi"/>
          <w:sz w:val="24"/>
          <w:szCs w:val="24"/>
        </w:rPr>
        <w:t xml:space="preserve">will </w:t>
      </w:r>
      <w:r w:rsidR="00D73F1B">
        <w:rPr>
          <w:rFonts w:asciiTheme="majorBidi" w:hAnsiTheme="majorBidi" w:cstheme="majorBidi"/>
          <w:sz w:val="24"/>
          <w:szCs w:val="24"/>
        </w:rPr>
        <w:t>still be</w:t>
      </w:r>
      <w:r w:rsidR="00524E7F">
        <w:rPr>
          <w:rFonts w:asciiTheme="majorBidi" w:hAnsiTheme="majorBidi" w:cstheme="majorBidi"/>
          <w:sz w:val="24"/>
          <w:szCs w:val="24"/>
        </w:rPr>
        <w:t xml:space="preserve"> less than </w:t>
      </w:r>
      <w:r w:rsidR="00D73F1B">
        <w:rPr>
          <w:rFonts w:asciiTheme="majorBidi" w:hAnsiTheme="majorBidi" w:cstheme="majorBidi"/>
          <w:sz w:val="24"/>
          <w:szCs w:val="24"/>
        </w:rPr>
        <w:t>the fall in</w:t>
      </w:r>
      <w:r w:rsidR="00BF59D5">
        <w:rPr>
          <w:rFonts w:asciiTheme="majorBidi" w:hAnsiTheme="majorBidi" w:cstheme="majorBidi"/>
          <w:sz w:val="24"/>
          <w:szCs w:val="24"/>
        </w:rPr>
        <w:t xml:space="preserve"> government spending which explains about 20 percent of the US GDP.</w:t>
      </w:r>
      <w:r w:rsidR="0086301A">
        <w:rPr>
          <w:rFonts w:asciiTheme="majorBidi" w:hAnsiTheme="majorBidi" w:cstheme="majorBidi"/>
          <w:sz w:val="24"/>
          <w:szCs w:val="24"/>
        </w:rPr>
        <w:t xml:space="preserve"> </w:t>
      </w:r>
      <w:r w:rsidR="00954E29">
        <w:rPr>
          <w:rFonts w:ascii="Times New Roman" w:hAnsi="Times New Roman" w:cs="Times New Roman"/>
          <w:sz w:val="24"/>
          <w:szCs w:val="24"/>
        </w:rPr>
        <w:t>On the other hand</w:t>
      </w:r>
      <w:r w:rsidR="00D36181">
        <w:rPr>
          <w:rFonts w:ascii="Times New Roman" w:hAnsi="Times New Roman" w:cs="Times New Roman"/>
          <w:sz w:val="24"/>
          <w:szCs w:val="24"/>
        </w:rPr>
        <w:t xml:space="preserve">, nominal rigidity under </w:t>
      </w:r>
      <w:r w:rsidR="00954E29">
        <w:rPr>
          <w:rFonts w:ascii="Times New Roman" w:hAnsi="Times New Roman" w:cs="Times New Roman"/>
          <w:sz w:val="24"/>
          <w:szCs w:val="24"/>
        </w:rPr>
        <w:t>phase-in policy</w:t>
      </w:r>
      <w:r w:rsidR="00D36181">
        <w:rPr>
          <w:rFonts w:ascii="Times New Roman" w:hAnsi="Times New Roman" w:cs="Times New Roman"/>
          <w:sz w:val="24"/>
          <w:szCs w:val="24"/>
        </w:rPr>
        <w:t xml:space="preserve"> </w:t>
      </w:r>
      <w:r w:rsidR="003C6CE3">
        <w:rPr>
          <w:rFonts w:ascii="Times New Roman" w:hAnsi="Times New Roman" w:cs="Times New Roman"/>
          <w:sz w:val="24"/>
          <w:szCs w:val="24"/>
        </w:rPr>
        <w:t>helps</w:t>
      </w:r>
      <w:r w:rsidR="00D36181">
        <w:rPr>
          <w:rFonts w:ascii="Times New Roman" w:hAnsi="Times New Roman" w:cs="Times New Roman"/>
          <w:sz w:val="24"/>
          <w:szCs w:val="24"/>
        </w:rPr>
        <w:t xml:space="preserve"> prevent GDP from falling. </w:t>
      </w:r>
      <w:r w:rsidR="001F33DC">
        <w:rPr>
          <w:rFonts w:asciiTheme="majorBidi" w:hAnsiTheme="majorBidi" w:cstheme="majorBidi"/>
          <w:sz w:val="24"/>
          <w:szCs w:val="24"/>
        </w:rPr>
        <w:t xml:space="preserve">Therefore, </w:t>
      </w:r>
      <w:r w:rsidR="00FB54BB">
        <w:rPr>
          <w:rFonts w:asciiTheme="majorBidi" w:hAnsiTheme="majorBidi" w:cstheme="majorBidi"/>
          <w:sz w:val="24"/>
          <w:szCs w:val="24"/>
        </w:rPr>
        <w:t>in the early stage following the</w:t>
      </w:r>
      <w:r w:rsidR="00DE5F4A">
        <w:rPr>
          <w:rFonts w:asciiTheme="majorBidi" w:hAnsiTheme="majorBidi" w:cstheme="majorBidi"/>
          <w:sz w:val="24"/>
          <w:szCs w:val="24"/>
        </w:rPr>
        <w:t xml:space="preserve"> fiscal</w:t>
      </w:r>
      <w:r w:rsidR="00FB54BB">
        <w:rPr>
          <w:rFonts w:asciiTheme="majorBidi" w:hAnsiTheme="majorBidi" w:cstheme="majorBidi"/>
          <w:sz w:val="24"/>
          <w:szCs w:val="24"/>
        </w:rPr>
        <w:t xml:space="preserve"> reduction shock, </w:t>
      </w:r>
      <w:r w:rsidR="008E6718">
        <w:rPr>
          <w:rFonts w:asciiTheme="majorBidi" w:hAnsiTheme="majorBidi" w:cstheme="majorBidi"/>
          <w:sz w:val="24"/>
          <w:szCs w:val="24"/>
        </w:rPr>
        <w:t xml:space="preserve">GDP under </w:t>
      </w:r>
      <w:r w:rsidR="00E56CFA">
        <w:rPr>
          <w:rFonts w:asciiTheme="majorBidi" w:hAnsiTheme="majorBidi" w:cstheme="majorBidi"/>
          <w:sz w:val="24"/>
          <w:szCs w:val="24"/>
        </w:rPr>
        <w:t>ph</w:t>
      </w:r>
      <w:r w:rsidR="008E6718">
        <w:rPr>
          <w:rFonts w:asciiTheme="majorBidi" w:hAnsiTheme="majorBidi" w:cstheme="majorBidi"/>
          <w:sz w:val="24"/>
          <w:szCs w:val="24"/>
        </w:rPr>
        <w:t xml:space="preserve">ase-in policy </w:t>
      </w:r>
      <w:r w:rsidR="00D36181">
        <w:rPr>
          <w:rFonts w:asciiTheme="majorBidi" w:hAnsiTheme="majorBidi" w:cstheme="majorBidi"/>
          <w:sz w:val="24"/>
          <w:szCs w:val="24"/>
        </w:rPr>
        <w:t xml:space="preserve">is </w:t>
      </w:r>
      <w:r w:rsidR="008E6718">
        <w:rPr>
          <w:rFonts w:asciiTheme="majorBidi" w:hAnsiTheme="majorBidi" w:cstheme="majorBidi"/>
          <w:sz w:val="24"/>
          <w:szCs w:val="24"/>
        </w:rPr>
        <w:t xml:space="preserve">expansionary while the other two under permanent policies are contractionary. </w:t>
      </w:r>
      <w:r w:rsidR="0033731E">
        <w:rPr>
          <w:rFonts w:asciiTheme="majorBidi" w:hAnsiTheme="majorBidi" w:cstheme="majorBidi"/>
          <w:sz w:val="24"/>
          <w:szCs w:val="24"/>
        </w:rPr>
        <w:t>Overall,</w:t>
      </w:r>
      <w:r w:rsidR="00551D67">
        <w:rPr>
          <w:rFonts w:asciiTheme="majorBidi" w:hAnsiTheme="majorBidi" w:cstheme="majorBidi"/>
          <w:sz w:val="24"/>
          <w:szCs w:val="24"/>
        </w:rPr>
        <w:t xml:space="preserve"> fiscal contractions </w:t>
      </w:r>
      <w:r w:rsidR="00572B61">
        <w:rPr>
          <w:rFonts w:asciiTheme="majorBidi" w:hAnsiTheme="majorBidi" w:cstheme="majorBidi"/>
          <w:sz w:val="24"/>
          <w:szCs w:val="24"/>
        </w:rPr>
        <w:t>is highly</w:t>
      </w:r>
      <w:r w:rsidR="002611A3">
        <w:rPr>
          <w:rFonts w:asciiTheme="majorBidi" w:hAnsiTheme="majorBidi" w:cstheme="majorBidi"/>
          <w:sz w:val="24"/>
          <w:szCs w:val="24"/>
        </w:rPr>
        <w:t xml:space="preserve"> </w:t>
      </w:r>
      <w:r w:rsidR="0033731E">
        <w:rPr>
          <w:rFonts w:asciiTheme="majorBidi" w:hAnsiTheme="majorBidi" w:cstheme="majorBidi"/>
          <w:sz w:val="24"/>
          <w:szCs w:val="24"/>
        </w:rPr>
        <w:t>effective in</w:t>
      </w:r>
      <w:r w:rsidR="000704AD">
        <w:rPr>
          <w:rFonts w:asciiTheme="majorBidi" w:hAnsiTheme="majorBidi" w:cstheme="majorBidi"/>
          <w:sz w:val="24"/>
          <w:szCs w:val="24"/>
        </w:rPr>
        <w:t xml:space="preserve"> raising private consumption </w:t>
      </w:r>
      <w:r w:rsidR="002611A3">
        <w:rPr>
          <w:rFonts w:asciiTheme="majorBidi" w:hAnsiTheme="majorBidi" w:cstheme="majorBidi"/>
          <w:sz w:val="24"/>
          <w:szCs w:val="24"/>
        </w:rPr>
        <w:t>and export</w:t>
      </w:r>
      <w:r w:rsidR="00313544">
        <w:rPr>
          <w:rFonts w:asciiTheme="majorBidi" w:hAnsiTheme="majorBidi" w:cstheme="majorBidi"/>
          <w:sz w:val="24"/>
          <w:szCs w:val="24"/>
        </w:rPr>
        <w:t xml:space="preserve"> in the US</w:t>
      </w:r>
      <w:r w:rsidR="002611A3">
        <w:rPr>
          <w:rFonts w:asciiTheme="majorBidi" w:hAnsiTheme="majorBidi" w:cstheme="majorBidi"/>
          <w:sz w:val="24"/>
          <w:szCs w:val="24"/>
        </w:rPr>
        <w:t>.</w:t>
      </w:r>
      <w:r w:rsidR="00313544">
        <w:rPr>
          <w:rFonts w:asciiTheme="majorBidi" w:hAnsiTheme="majorBidi" w:cstheme="majorBidi"/>
          <w:sz w:val="24"/>
          <w:szCs w:val="24"/>
        </w:rPr>
        <w:t xml:space="preserve"> Export will increase as</w:t>
      </w:r>
      <w:r w:rsidR="0073715F">
        <w:rPr>
          <w:rFonts w:asciiTheme="majorBidi" w:hAnsiTheme="majorBidi" w:cstheme="majorBidi"/>
          <w:sz w:val="24"/>
          <w:szCs w:val="24"/>
        </w:rPr>
        <w:t xml:space="preserve"> a</w:t>
      </w:r>
      <w:r w:rsidR="00313544">
        <w:rPr>
          <w:rFonts w:asciiTheme="majorBidi" w:hAnsiTheme="majorBidi" w:cstheme="majorBidi"/>
          <w:sz w:val="24"/>
          <w:szCs w:val="24"/>
        </w:rPr>
        <w:t xml:space="preserve"> result of depreciation in USD. Consumption will be encouraged by lower interest rate and higher future income. </w:t>
      </w:r>
    </w:p>
    <w:p w14:paraId="229A9842" w14:textId="77777777" w:rsidR="00BF59D5" w:rsidRDefault="00BF59D5" w:rsidP="005C69C7">
      <w:pPr>
        <w:jc w:val="both"/>
        <w:rPr>
          <w:rFonts w:asciiTheme="majorBidi" w:hAnsiTheme="majorBidi" w:cstheme="majorBidi"/>
          <w:sz w:val="24"/>
          <w:szCs w:val="24"/>
        </w:rPr>
      </w:pPr>
    </w:p>
    <w:p w14:paraId="1FCFF1C6" w14:textId="77777777" w:rsidR="00FE025B" w:rsidRDefault="00FE025B" w:rsidP="00117251">
      <w:pPr>
        <w:rPr>
          <w:rFonts w:asciiTheme="majorBidi" w:hAnsiTheme="majorBidi" w:cstheme="majorBidi"/>
          <w:sz w:val="24"/>
          <w:szCs w:val="24"/>
        </w:rPr>
      </w:pPr>
    </w:p>
    <w:p w14:paraId="077AEB96" w14:textId="77777777" w:rsidR="00FE025B" w:rsidRDefault="00FE025B" w:rsidP="00117251">
      <w:pPr>
        <w:rPr>
          <w:rFonts w:asciiTheme="majorBidi" w:hAnsiTheme="majorBidi" w:cstheme="majorBidi"/>
          <w:sz w:val="24"/>
          <w:szCs w:val="24"/>
        </w:rPr>
      </w:pPr>
    </w:p>
    <w:p w14:paraId="11AC84E1" w14:textId="77777777" w:rsidR="00FE025B" w:rsidRDefault="00FE025B" w:rsidP="00117251">
      <w:pPr>
        <w:rPr>
          <w:rFonts w:asciiTheme="majorBidi" w:hAnsiTheme="majorBidi" w:cstheme="majorBidi"/>
          <w:sz w:val="24"/>
          <w:szCs w:val="24"/>
        </w:rPr>
      </w:pPr>
    </w:p>
    <w:p w14:paraId="227265BC" w14:textId="77777777" w:rsidR="00FE025B" w:rsidRDefault="00FE025B" w:rsidP="00117251">
      <w:pPr>
        <w:rPr>
          <w:rFonts w:asciiTheme="majorBidi" w:hAnsiTheme="majorBidi" w:cstheme="majorBidi"/>
          <w:sz w:val="24"/>
          <w:szCs w:val="24"/>
        </w:rPr>
      </w:pPr>
    </w:p>
    <w:p w14:paraId="19B5A767" w14:textId="77777777" w:rsidR="00FE025B" w:rsidRDefault="00FE025B" w:rsidP="00117251">
      <w:pPr>
        <w:rPr>
          <w:rFonts w:asciiTheme="majorBidi" w:hAnsiTheme="majorBidi" w:cstheme="majorBidi"/>
          <w:sz w:val="24"/>
          <w:szCs w:val="24"/>
        </w:rPr>
      </w:pPr>
    </w:p>
    <w:p w14:paraId="68E3E68B" w14:textId="77777777" w:rsidR="00FE025B" w:rsidRDefault="00FE025B" w:rsidP="00117251">
      <w:pPr>
        <w:rPr>
          <w:rFonts w:asciiTheme="majorBidi" w:hAnsiTheme="majorBidi" w:cstheme="majorBidi"/>
          <w:sz w:val="24"/>
          <w:szCs w:val="24"/>
        </w:rPr>
      </w:pPr>
    </w:p>
    <w:p w14:paraId="0A105152" w14:textId="77777777" w:rsidR="00EA7BC3" w:rsidRDefault="00EA7BC3" w:rsidP="00117251">
      <w:pPr>
        <w:rPr>
          <w:rFonts w:asciiTheme="majorBidi" w:hAnsiTheme="majorBidi" w:cstheme="majorBidi"/>
          <w:b/>
          <w:bCs/>
          <w:sz w:val="24"/>
          <w:szCs w:val="24"/>
        </w:rPr>
      </w:pPr>
    </w:p>
    <w:p w14:paraId="2F0C5CB4" w14:textId="77777777" w:rsidR="00EA7BC3" w:rsidRDefault="00EA7BC3" w:rsidP="00117251">
      <w:pPr>
        <w:rPr>
          <w:rFonts w:asciiTheme="majorBidi" w:hAnsiTheme="majorBidi" w:cstheme="majorBidi"/>
          <w:b/>
          <w:bCs/>
          <w:sz w:val="24"/>
          <w:szCs w:val="24"/>
        </w:rPr>
      </w:pPr>
    </w:p>
    <w:p w14:paraId="084D3BC9" w14:textId="77777777" w:rsidR="00EA7BC3" w:rsidRDefault="00EA7BC3" w:rsidP="00117251">
      <w:pPr>
        <w:rPr>
          <w:rFonts w:asciiTheme="majorBidi" w:hAnsiTheme="majorBidi" w:cstheme="majorBidi"/>
          <w:b/>
          <w:bCs/>
          <w:sz w:val="24"/>
          <w:szCs w:val="24"/>
        </w:rPr>
      </w:pPr>
    </w:p>
    <w:p w14:paraId="15FB520F" w14:textId="77777777" w:rsidR="00EA7BC3" w:rsidRDefault="00EA7BC3" w:rsidP="00117251">
      <w:pPr>
        <w:rPr>
          <w:rFonts w:asciiTheme="majorBidi" w:hAnsiTheme="majorBidi" w:cstheme="majorBidi"/>
          <w:b/>
          <w:bCs/>
          <w:sz w:val="24"/>
          <w:szCs w:val="24"/>
        </w:rPr>
      </w:pPr>
    </w:p>
    <w:p w14:paraId="6587BA3A" w14:textId="77777777" w:rsidR="00EA7BC3" w:rsidRDefault="00EA7BC3" w:rsidP="00117251">
      <w:pPr>
        <w:rPr>
          <w:rFonts w:asciiTheme="majorBidi" w:hAnsiTheme="majorBidi" w:cstheme="majorBidi"/>
          <w:b/>
          <w:bCs/>
          <w:sz w:val="24"/>
          <w:szCs w:val="24"/>
        </w:rPr>
      </w:pPr>
    </w:p>
    <w:p w14:paraId="2300266D" w14:textId="77777777" w:rsidR="009170F8" w:rsidRDefault="009170F8" w:rsidP="00117251">
      <w:pPr>
        <w:rPr>
          <w:rFonts w:asciiTheme="majorBidi" w:hAnsiTheme="majorBidi" w:cstheme="majorBidi"/>
          <w:b/>
          <w:bCs/>
          <w:sz w:val="24"/>
          <w:szCs w:val="24"/>
        </w:rPr>
      </w:pPr>
    </w:p>
    <w:p w14:paraId="57CEF7E4" w14:textId="77777777" w:rsidR="009170F8" w:rsidRDefault="009170F8" w:rsidP="00117251">
      <w:pPr>
        <w:rPr>
          <w:rFonts w:asciiTheme="majorBidi" w:hAnsiTheme="majorBidi" w:cstheme="majorBidi"/>
          <w:b/>
          <w:bCs/>
          <w:sz w:val="24"/>
          <w:szCs w:val="24"/>
        </w:rPr>
      </w:pPr>
    </w:p>
    <w:p w14:paraId="3A08CCEE" w14:textId="77777777" w:rsidR="00F804FD" w:rsidRDefault="00F804FD" w:rsidP="00117251">
      <w:pPr>
        <w:rPr>
          <w:rFonts w:asciiTheme="majorBidi" w:hAnsiTheme="majorBidi" w:cstheme="majorBidi"/>
          <w:b/>
          <w:bCs/>
          <w:sz w:val="24"/>
          <w:szCs w:val="24"/>
        </w:rPr>
      </w:pPr>
    </w:p>
    <w:p w14:paraId="7EAA9DE6" w14:textId="77777777" w:rsidR="00FE025B" w:rsidRPr="00FE025B" w:rsidRDefault="00FE025B" w:rsidP="00117251">
      <w:pPr>
        <w:rPr>
          <w:rFonts w:asciiTheme="majorBidi" w:hAnsiTheme="majorBidi" w:cstheme="majorBidi"/>
          <w:b/>
          <w:bCs/>
          <w:sz w:val="24"/>
          <w:szCs w:val="24"/>
        </w:rPr>
      </w:pPr>
      <w:r>
        <w:rPr>
          <w:rFonts w:asciiTheme="majorBidi" w:hAnsiTheme="majorBidi" w:cstheme="majorBidi"/>
          <w:b/>
          <w:bCs/>
          <w:sz w:val="24"/>
          <w:szCs w:val="24"/>
        </w:rPr>
        <w:lastRenderedPageBreak/>
        <w:t>Figure I: t</w:t>
      </w:r>
      <w:r w:rsidRPr="00FE025B">
        <w:rPr>
          <w:rFonts w:asciiTheme="majorBidi" w:hAnsiTheme="majorBidi" w:cstheme="majorBidi"/>
          <w:b/>
          <w:bCs/>
          <w:sz w:val="24"/>
          <w:szCs w:val="24"/>
        </w:rPr>
        <w:t xml:space="preserve">his section shows all three cases </w:t>
      </w:r>
      <w:r w:rsidR="00271292">
        <w:rPr>
          <w:rFonts w:asciiTheme="majorBidi" w:hAnsiTheme="majorBidi" w:cstheme="majorBidi"/>
          <w:b/>
          <w:bCs/>
          <w:sz w:val="24"/>
          <w:szCs w:val="24"/>
        </w:rPr>
        <w:t xml:space="preserve">but </w:t>
      </w:r>
      <w:r w:rsidRPr="00FE025B">
        <w:rPr>
          <w:rFonts w:asciiTheme="majorBidi" w:hAnsiTheme="majorBidi" w:cstheme="majorBidi"/>
          <w:b/>
          <w:bCs/>
          <w:sz w:val="24"/>
          <w:szCs w:val="24"/>
        </w:rPr>
        <w:t xml:space="preserve">on US </w:t>
      </w:r>
      <w:r w:rsidR="004D1FD0">
        <w:rPr>
          <w:rFonts w:asciiTheme="majorBidi" w:hAnsiTheme="majorBidi" w:cstheme="majorBidi"/>
          <w:b/>
          <w:bCs/>
          <w:sz w:val="24"/>
          <w:szCs w:val="24"/>
        </w:rPr>
        <w:t xml:space="preserve">data </w:t>
      </w:r>
      <w:r w:rsidRPr="00FE025B">
        <w:rPr>
          <w:rFonts w:asciiTheme="majorBidi" w:hAnsiTheme="majorBidi" w:cstheme="majorBidi"/>
          <w:b/>
          <w:bCs/>
          <w:sz w:val="24"/>
          <w:szCs w:val="24"/>
        </w:rPr>
        <w:t xml:space="preserve">only: </w:t>
      </w:r>
    </w:p>
    <w:p w14:paraId="72787FC8" w14:textId="77777777" w:rsidR="00FE025B" w:rsidRDefault="00E27859" w:rsidP="00117251">
      <w:pPr>
        <w:rPr>
          <w:rFonts w:asciiTheme="majorBidi" w:hAnsiTheme="majorBidi" w:cstheme="majorBidi"/>
          <w:sz w:val="24"/>
          <w:szCs w:val="24"/>
        </w:rPr>
      </w:pPr>
      <w:r>
        <w:rPr>
          <w:noProof/>
        </w:rPr>
        <w:drawing>
          <wp:inline distT="0" distB="0" distL="0" distR="0" wp14:anchorId="20138FE4" wp14:editId="2983DF18">
            <wp:extent cx="5731510" cy="241109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CB05FC" w14:textId="77777777" w:rsidR="00FE025B" w:rsidRDefault="00FE025B" w:rsidP="00117251">
      <w:pPr>
        <w:rPr>
          <w:rFonts w:asciiTheme="majorBidi" w:hAnsiTheme="majorBidi" w:cstheme="majorBidi"/>
          <w:sz w:val="24"/>
          <w:szCs w:val="24"/>
        </w:rPr>
      </w:pPr>
      <w:r>
        <w:rPr>
          <w:noProof/>
        </w:rPr>
        <w:drawing>
          <wp:inline distT="0" distB="0" distL="0" distR="0" wp14:anchorId="43125736" wp14:editId="31A89500">
            <wp:extent cx="5731510" cy="269748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B13E6E" w14:textId="77777777" w:rsidR="00FE025B" w:rsidRDefault="00FE025B" w:rsidP="00117251">
      <w:pPr>
        <w:rPr>
          <w:rFonts w:asciiTheme="majorBidi" w:hAnsiTheme="majorBidi" w:cstheme="majorBidi"/>
          <w:sz w:val="24"/>
          <w:szCs w:val="24"/>
        </w:rPr>
      </w:pPr>
      <w:r>
        <w:rPr>
          <w:noProof/>
        </w:rPr>
        <w:drawing>
          <wp:inline distT="0" distB="0" distL="0" distR="0" wp14:anchorId="2B68E76F" wp14:editId="72835D45">
            <wp:extent cx="5715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B4F068" w14:textId="77777777" w:rsidR="003C1254" w:rsidRPr="00E5305C" w:rsidRDefault="003C1254" w:rsidP="00894701">
      <w:pPr>
        <w:rPr>
          <w:rFonts w:asciiTheme="majorBidi" w:eastAsia="新細明體" w:hAnsiTheme="majorBidi" w:cstheme="majorBidi"/>
          <w:sz w:val="24"/>
          <w:szCs w:val="24"/>
          <w:lang w:eastAsia="zh-TW"/>
        </w:rPr>
      </w:pPr>
    </w:p>
    <w:p w14:paraId="587795BB" w14:textId="77777777" w:rsidR="00162355" w:rsidRDefault="00162355" w:rsidP="00876324">
      <w:pPr>
        <w:rPr>
          <w:rFonts w:asciiTheme="majorBidi" w:hAnsiTheme="majorBidi" w:cstheme="majorBidi"/>
          <w:sz w:val="24"/>
          <w:szCs w:val="24"/>
        </w:rPr>
      </w:pPr>
    </w:p>
    <w:p w14:paraId="7EB7F980" w14:textId="77777777" w:rsidR="00162355" w:rsidRDefault="00FE025B" w:rsidP="00876324">
      <w:pPr>
        <w:rPr>
          <w:rFonts w:asciiTheme="majorBidi" w:hAnsiTheme="majorBidi" w:cstheme="majorBidi"/>
          <w:sz w:val="24"/>
          <w:szCs w:val="24"/>
        </w:rPr>
      </w:pPr>
      <w:r>
        <w:rPr>
          <w:noProof/>
        </w:rPr>
        <w:drawing>
          <wp:inline distT="0" distB="0" distL="0" distR="0" wp14:anchorId="349E1900" wp14:editId="3031F56F">
            <wp:extent cx="5724525"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EBAA25" w14:textId="77777777" w:rsidR="001A5CC5" w:rsidRDefault="00F5339B" w:rsidP="00D75EF4">
      <w:pPr>
        <w:rPr>
          <w:rFonts w:asciiTheme="majorBidi" w:hAnsiTheme="majorBidi" w:cstheme="majorBidi"/>
          <w:sz w:val="24"/>
          <w:szCs w:val="24"/>
        </w:rPr>
      </w:pPr>
      <w:r>
        <w:rPr>
          <w:noProof/>
        </w:rPr>
        <w:drawing>
          <wp:inline distT="0" distB="0" distL="0" distR="0" wp14:anchorId="07A17467" wp14:editId="57FB350F">
            <wp:extent cx="57531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EB3704" w14:textId="77777777" w:rsidR="00FE025B" w:rsidRDefault="00E27859" w:rsidP="00D75EF4">
      <w:pPr>
        <w:rPr>
          <w:rFonts w:asciiTheme="majorBidi" w:hAnsiTheme="majorBidi" w:cstheme="majorBidi"/>
          <w:sz w:val="24"/>
          <w:szCs w:val="24"/>
        </w:rPr>
      </w:pPr>
      <w:r>
        <w:rPr>
          <w:noProof/>
        </w:rPr>
        <w:drawing>
          <wp:inline distT="0" distB="0" distL="0" distR="0" wp14:anchorId="5B2F6FA4" wp14:editId="45DAD5B2">
            <wp:extent cx="5724525"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AA6BBF" w14:textId="77777777" w:rsidR="00FE025B" w:rsidRDefault="00FE025B" w:rsidP="00FE025B">
      <w:pPr>
        <w:rPr>
          <w:rFonts w:asciiTheme="majorBidi" w:hAnsiTheme="majorBidi" w:cstheme="majorBidi"/>
          <w:b/>
          <w:bCs/>
          <w:sz w:val="24"/>
          <w:szCs w:val="24"/>
        </w:rPr>
      </w:pPr>
      <w:r>
        <w:rPr>
          <w:rFonts w:asciiTheme="majorBidi" w:hAnsiTheme="majorBidi" w:cstheme="majorBidi"/>
          <w:b/>
          <w:bCs/>
          <w:sz w:val="24"/>
          <w:szCs w:val="24"/>
        </w:rPr>
        <w:lastRenderedPageBreak/>
        <w:t xml:space="preserve">Figure II: this section shows </w:t>
      </w:r>
      <w:r w:rsidR="00387970">
        <w:rPr>
          <w:rFonts w:asciiTheme="majorBidi" w:hAnsiTheme="majorBidi" w:cstheme="majorBidi"/>
          <w:b/>
          <w:bCs/>
          <w:sz w:val="24"/>
          <w:szCs w:val="24"/>
        </w:rPr>
        <w:t xml:space="preserve">impact of </w:t>
      </w:r>
      <w:r>
        <w:rPr>
          <w:rFonts w:asciiTheme="majorBidi" w:hAnsiTheme="majorBidi" w:cstheme="majorBidi"/>
          <w:b/>
          <w:bCs/>
          <w:sz w:val="24"/>
          <w:szCs w:val="24"/>
        </w:rPr>
        <w:t>case III on ROW and the US</w:t>
      </w:r>
      <w:r w:rsidR="00DA3D05">
        <w:rPr>
          <w:rFonts w:asciiTheme="majorBidi" w:hAnsiTheme="majorBidi" w:cstheme="majorBidi"/>
          <w:b/>
          <w:bCs/>
          <w:sz w:val="24"/>
          <w:szCs w:val="24"/>
        </w:rPr>
        <w:t xml:space="preserve"> data</w:t>
      </w:r>
      <w:r w:rsidRPr="00FE025B">
        <w:rPr>
          <w:rFonts w:asciiTheme="majorBidi" w:hAnsiTheme="majorBidi" w:cstheme="majorBidi"/>
          <w:b/>
          <w:bCs/>
          <w:sz w:val="24"/>
          <w:szCs w:val="24"/>
        </w:rPr>
        <w:t xml:space="preserve">: </w:t>
      </w:r>
    </w:p>
    <w:p w14:paraId="13F44951" w14:textId="77777777" w:rsidR="00140ECB" w:rsidRDefault="00140ECB" w:rsidP="00FE025B">
      <w:pPr>
        <w:rPr>
          <w:rFonts w:asciiTheme="majorBidi" w:hAnsiTheme="majorBidi" w:cstheme="majorBidi"/>
          <w:b/>
          <w:bCs/>
          <w:sz w:val="24"/>
          <w:szCs w:val="24"/>
        </w:rPr>
      </w:pPr>
      <w:r>
        <w:rPr>
          <w:noProof/>
        </w:rPr>
        <w:drawing>
          <wp:inline distT="0" distB="0" distL="0" distR="0" wp14:anchorId="7744F5D0" wp14:editId="2B9718D6">
            <wp:extent cx="5705475"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AD747B" w14:textId="77777777" w:rsidR="00140ECB" w:rsidRDefault="00140ECB" w:rsidP="00FE025B">
      <w:pPr>
        <w:rPr>
          <w:rFonts w:asciiTheme="majorBidi" w:hAnsiTheme="majorBidi" w:cstheme="majorBidi"/>
          <w:b/>
          <w:bCs/>
          <w:sz w:val="24"/>
          <w:szCs w:val="24"/>
        </w:rPr>
      </w:pPr>
    </w:p>
    <w:p w14:paraId="225A542C" w14:textId="77777777" w:rsidR="00140ECB" w:rsidRDefault="004503A4" w:rsidP="00FE025B">
      <w:pPr>
        <w:rPr>
          <w:rFonts w:asciiTheme="majorBidi" w:hAnsiTheme="majorBidi" w:cstheme="majorBidi"/>
          <w:b/>
          <w:bCs/>
          <w:sz w:val="24"/>
          <w:szCs w:val="24"/>
        </w:rPr>
      </w:pPr>
      <w:r>
        <w:rPr>
          <w:noProof/>
        </w:rPr>
        <w:drawing>
          <wp:inline distT="0" distB="0" distL="0" distR="0" wp14:anchorId="5EA08F59" wp14:editId="50A83FB8">
            <wp:extent cx="5762625"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5BEC61" w14:textId="77777777" w:rsidR="004503A4" w:rsidRDefault="004503A4" w:rsidP="00FE025B">
      <w:pPr>
        <w:rPr>
          <w:rFonts w:asciiTheme="majorBidi" w:hAnsiTheme="majorBidi" w:cstheme="majorBidi"/>
          <w:b/>
          <w:bCs/>
          <w:sz w:val="24"/>
          <w:szCs w:val="24"/>
        </w:rPr>
      </w:pPr>
    </w:p>
    <w:p w14:paraId="2788419F" w14:textId="77777777" w:rsidR="004503A4" w:rsidRDefault="004503A4" w:rsidP="00FE025B">
      <w:pPr>
        <w:rPr>
          <w:rFonts w:asciiTheme="majorBidi" w:hAnsiTheme="majorBidi" w:cstheme="majorBidi"/>
          <w:b/>
          <w:bCs/>
          <w:sz w:val="24"/>
          <w:szCs w:val="24"/>
        </w:rPr>
      </w:pPr>
    </w:p>
    <w:p w14:paraId="314A3852" w14:textId="77777777" w:rsidR="00271292" w:rsidRDefault="00271292" w:rsidP="00FE025B">
      <w:pPr>
        <w:rPr>
          <w:rFonts w:asciiTheme="majorBidi" w:hAnsiTheme="majorBidi" w:cstheme="majorBidi"/>
          <w:b/>
          <w:bCs/>
          <w:sz w:val="24"/>
          <w:szCs w:val="24"/>
        </w:rPr>
      </w:pPr>
    </w:p>
    <w:p w14:paraId="075F672D" w14:textId="77777777" w:rsidR="003F7D1D" w:rsidRDefault="003F7D1D" w:rsidP="00FE025B">
      <w:pPr>
        <w:rPr>
          <w:rFonts w:asciiTheme="majorBidi" w:hAnsiTheme="majorBidi" w:cstheme="majorBidi"/>
          <w:b/>
          <w:bCs/>
          <w:sz w:val="24"/>
          <w:szCs w:val="24"/>
        </w:rPr>
      </w:pPr>
    </w:p>
    <w:p w14:paraId="7205E477" w14:textId="77777777" w:rsidR="00387970" w:rsidRPr="00FE025B" w:rsidRDefault="00387970" w:rsidP="00FE025B">
      <w:pPr>
        <w:rPr>
          <w:rFonts w:asciiTheme="majorBidi" w:hAnsiTheme="majorBidi" w:cstheme="majorBidi"/>
          <w:b/>
          <w:bCs/>
          <w:sz w:val="24"/>
          <w:szCs w:val="24"/>
        </w:rPr>
      </w:pPr>
    </w:p>
    <w:p w14:paraId="671A8F22" w14:textId="77777777" w:rsidR="00FE025B" w:rsidRDefault="00FE025B" w:rsidP="00D75EF4">
      <w:pPr>
        <w:rPr>
          <w:rFonts w:asciiTheme="majorBidi" w:hAnsiTheme="majorBidi" w:cstheme="majorBidi"/>
          <w:sz w:val="24"/>
          <w:szCs w:val="24"/>
        </w:rPr>
      </w:pPr>
    </w:p>
    <w:p w14:paraId="00F1E665" w14:textId="77777777" w:rsidR="001A5CC5" w:rsidRDefault="001A5CC5" w:rsidP="00D75EF4">
      <w:pPr>
        <w:rPr>
          <w:rFonts w:asciiTheme="majorBidi" w:hAnsiTheme="majorBidi" w:cstheme="majorBidi"/>
          <w:sz w:val="24"/>
          <w:szCs w:val="24"/>
        </w:rPr>
      </w:pPr>
    </w:p>
    <w:p w14:paraId="5B205867" w14:textId="77777777" w:rsidR="001A5CC5" w:rsidRDefault="001A5CC5" w:rsidP="00D75EF4">
      <w:pPr>
        <w:rPr>
          <w:rFonts w:asciiTheme="majorBidi" w:hAnsiTheme="majorBidi" w:cstheme="majorBidi"/>
          <w:sz w:val="24"/>
          <w:szCs w:val="24"/>
        </w:rPr>
      </w:pPr>
    </w:p>
    <w:p w14:paraId="02EC4B9A" w14:textId="77777777" w:rsidR="001A5CC5" w:rsidRDefault="001A5CC5" w:rsidP="00D75EF4">
      <w:pPr>
        <w:rPr>
          <w:rFonts w:asciiTheme="majorBidi" w:hAnsiTheme="majorBidi" w:cstheme="majorBidi"/>
          <w:b/>
          <w:bCs/>
          <w:sz w:val="24"/>
          <w:szCs w:val="24"/>
        </w:rPr>
      </w:pPr>
      <w:r w:rsidRPr="0064077E">
        <w:rPr>
          <w:rFonts w:asciiTheme="majorBidi" w:hAnsiTheme="majorBidi" w:cstheme="majorBidi"/>
          <w:b/>
          <w:bCs/>
          <w:sz w:val="24"/>
          <w:szCs w:val="24"/>
        </w:rPr>
        <w:lastRenderedPageBreak/>
        <w:t xml:space="preserve">References </w:t>
      </w:r>
    </w:p>
    <w:p w14:paraId="3E1D0C44" w14:textId="77777777" w:rsidR="007A1DF9" w:rsidRPr="00F36FAA" w:rsidRDefault="007A1DF9" w:rsidP="00F36FAA">
      <w:pPr>
        <w:spacing w:line="240" w:lineRule="auto"/>
        <w:rPr>
          <w:rFonts w:asciiTheme="majorBidi" w:hAnsiTheme="majorBidi" w:cstheme="majorBidi"/>
          <w:sz w:val="24"/>
          <w:szCs w:val="24"/>
        </w:rPr>
      </w:pPr>
      <w:r w:rsidRPr="00F36FAA">
        <w:rPr>
          <w:rFonts w:asciiTheme="majorBidi" w:eastAsia="新細明體" w:hAnsiTheme="majorBidi" w:cstheme="majorBidi"/>
          <w:sz w:val="24"/>
          <w:szCs w:val="24"/>
          <w:lang w:eastAsia="zh-TW"/>
        </w:rPr>
        <w:t>Barro, RJ 1974, ‘</w:t>
      </w:r>
      <w:r w:rsidRPr="00F36FAA">
        <w:rPr>
          <w:rFonts w:asciiTheme="majorBidi" w:hAnsiTheme="majorBidi" w:cstheme="majorBidi"/>
          <w:sz w:val="24"/>
          <w:szCs w:val="24"/>
        </w:rPr>
        <w:t xml:space="preserve">Are </w:t>
      </w:r>
      <w:r w:rsidR="00F36FAA">
        <w:rPr>
          <w:rFonts w:asciiTheme="majorBidi" w:hAnsiTheme="majorBidi" w:cstheme="majorBidi"/>
          <w:sz w:val="24"/>
          <w:szCs w:val="24"/>
        </w:rPr>
        <w:t>g</w:t>
      </w:r>
      <w:r w:rsidRPr="00F36FAA">
        <w:rPr>
          <w:rFonts w:asciiTheme="majorBidi" w:hAnsiTheme="majorBidi" w:cstheme="majorBidi"/>
          <w:sz w:val="24"/>
          <w:szCs w:val="24"/>
        </w:rPr>
        <w:t xml:space="preserve">overnment </w:t>
      </w:r>
      <w:r w:rsidR="00F36FAA">
        <w:rPr>
          <w:rFonts w:asciiTheme="majorBidi" w:hAnsiTheme="majorBidi" w:cstheme="majorBidi"/>
          <w:sz w:val="24"/>
          <w:szCs w:val="24"/>
        </w:rPr>
        <w:t>b</w:t>
      </w:r>
      <w:r w:rsidRPr="00F36FAA">
        <w:rPr>
          <w:rFonts w:asciiTheme="majorBidi" w:hAnsiTheme="majorBidi" w:cstheme="majorBidi"/>
          <w:sz w:val="24"/>
          <w:szCs w:val="24"/>
        </w:rPr>
        <w:t xml:space="preserve">onds </w:t>
      </w:r>
      <w:r w:rsidR="00F36FAA">
        <w:rPr>
          <w:rFonts w:asciiTheme="majorBidi" w:hAnsiTheme="majorBidi" w:cstheme="majorBidi"/>
          <w:sz w:val="24"/>
          <w:szCs w:val="24"/>
        </w:rPr>
        <w:t>n</w:t>
      </w:r>
      <w:r w:rsidRPr="00F36FAA">
        <w:rPr>
          <w:rFonts w:asciiTheme="majorBidi" w:hAnsiTheme="majorBidi" w:cstheme="majorBidi"/>
          <w:sz w:val="24"/>
          <w:szCs w:val="24"/>
        </w:rPr>
        <w:t xml:space="preserve">et </w:t>
      </w:r>
      <w:r w:rsidR="00F36FAA">
        <w:rPr>
          <w:rFonts w:asciiTheme="majorBidi" w:hAnsiTheme="majorBidi" w:cstheme="majorBidi"/>
          <w:sz w:val="24"/>
          <w:szCs w:val="24"/>
        </w:rPr>
        <w:t>w</w:t>
      </w:r>
      <w:r w:rsidRPr="00F36FAA">
        <w:rPr>
          <w:rFonts w:asciiTheme="majorBidi" w:hAnsiTheme="majorBidi" w:cstheme="majorBidi"/>
          <w:sz w:val="24"/>
          <w:szCs w:val="24"/>
        </w:rPr>
        <w:t>ealth?’</w:t>
      </w:r>
      <w:r w:rsidR="00F36FAA">
        <w:rPr>
          <w:rFonts w:asciiTheme="majorBidi" w:hAnsiTheme="majorBidi" w:cstheme="majorBidi"/>
          <w:i/>
          <w:iCs/>
          <w:sz w:val="24"/>
          <w:szCs w:val="24"/>
        </w:rPr>
        <w:t xml:space="preserve">, </w:t>
      </w:r>
      <w:r w:rsidRPr="00F36FAA">
        <w:rPr>
          <w:rFonts w:asciiTheme="majorBidi" w:hAnsiTheme="majorBidi" w:cstheme="majorBidi"/>
          <w:i/>
          <w:iCs/>
          <w:sz w:val="24"/>
          <w:szCs w:val="24"/>
        </w:rPr>
        <w:t>Journal of Political Economy</w:t>
      </w:r>
      <w:r w:rsidRPr="00F36FAA">
        <w:rPr>
          <w:rFonts w:asciiTheme="majorBidi" w:hAnsiTheme="majorBidi" w:cstheme="majorBidi"/>
          <w:sz w:val="24"/>
          <w:szCs w:val="24"/>
        </w:rPr>
        <w:t>, Vol. 82, No. 6 (Nov. - Dec., 1974), pp. 1095-1117.</w:t>
      </w:r>
    </w:p>
    <w:p w14:paraId="7B6C64D1" w14:textId="77777777" w:rsidR="007A1DF9" w:rsidRPr="00F36FAA" w:rsidRDefault="007A1DF9" w:rsidP="007A1DF9">
      <w:pPr>
        <w:spacing w:line="240" w:lineRule="auto"/>
        <w:rPr>
          <w:rFonts w:asciiTheme="majorBidi" w:hAnsiTheme="majorBidi" w:cstheme="majorBidi"/>
          <w:sz w:val="24"/>
          <w:szCs w:val="24"/>
        </w:rPr>
      </w:pPr>
    </w:p>
    <w:p w14:paraId="0864AE26" w14:textId="77777777" w:rsidR="007A1DF9" w:rsidRPr="00F36FAA" w:rsidRDefault="007A1DF9" w:rsidP="00F36FAA">
      <w:pPr>
        <w:spacing w:line="240" w:lineRule="auto"/>
        <w:rPr>
          <w:rFonts w:asciiTheme="majorBidi" w:eastAsia="新細明體" w:hAnsiTheme="majorBidi" w:cstheme="majorBidi"/>
          <w:sz w:val="24"/>
          <w:szCs w:val="24"/>
          <w:lang w:eastAsia="zh-TW"/>
        </w:rPr>
      </w:pPr>
      <w:proofErr w:type="spellStart"/>
      <w:r w:rsidRPr="00F36FAA">
        <w:rPr>
          <w:rFonts w:asciiTheme="majorBidi" w:eastAsia="新細明體" w:hAnsiTheme="majorBidi" w:cstheme="majorBidi"/>
          <w:sz w:val="24"/>
          <w:szCs w:val="24"/>
          <w:lang w:eastAsia="zh-TW"/>
        </w:rPr>
        <w:t>Bernheim</w:t>
      </w:r>
      <w:proofErr w:type="spellEnd"/>
      <w:r w:rsidRPr="00F36FAA">
        <w:rPr>
          <w:rFonts w:asciiTheme="majorBidi" w:eastAsia="新細明體" w:hAnsiTheme="majorBidi" w:cstheme="majorBidi"/>
          <w:sz w:val="24"/>
          <w:szCs w:val="24"/>
          <w:lang w:eastAsia="zh-TW"/>
        </w:rPr>
        <w:t xml:space="preserve">, BD 1987, ‘Ricardian </w:t>
      </w:r>
      <w:r w:rsidR="00F36FAA">
        <w:rPr>
          <w:rFonts w:asciiTheme="majorBidi" w:eastAsia="新細明體" w:hAnsiTheme="majorBidi" w:cstheme="majorBidi"/>
          <w:sz w:val="24"/>
          <w:szCs w:val="24"/>
          <w:lang w:eastAsia="zh-TW"/>
        </w:rPr>
        <w:t>e</w:t>
      </w:r>
      <w:r w:rsidRPr="00F36FAA">
        <w:rPr>
          <w:rFonts w:asciiTheme="majorBidi" w:eastAsia="新細明體" w:hAnsiTheme="majorBidi" w:cstheme="majorBidi"/>
          <w:sz w:val="24"/>
          <w:szCs w:val="24"/>
          <w:lang w:eastAsia="zh-TW"/>
        </w:rPr>
        <w:t xml:space="preserve">quivalence: An </w:t>
      </w:r>
      <w:r w:rsidR="00F36FAA">
        <w:rPr>
          <w:rFonts w:asciiTheme="majorBidi" w:eastAsia="新細明體" w:hAnsiTheme="majorBidi" w:cstheme="majorBidi"/>
          <w:sz w:val="24"/>
          <w:szCs w:val="24"/>
          <w:lang w:eastAsia="zh-TW"/>
        </w:rPr>
        <w:t>e</w:t>
      </w:r>
      <w:r w:rsidRPr="00F36FAA">
        <w:rPr>
          <w:rFonts w:asciiTheme="majorBidi" w:eastAsia="新細明體" w:hAnsiTheme="majorBidi" w:cstheme="majorBidi"/>
          <w:sz w:val="24"/>
          <w:szCs w:val="24"/>
          <w:lang w:eastAsia="zh-TW"/>
        </w:rPr>
        <w:t xml:space="preserve">valuation of </w:t>
      </w:r>
      <w:r w:rsidR="00F36FAA">
        <w:rPr>
          <w:rFonts w:asciiTheme="majorBidi" w:eastAsia="新細明體" w:hAnsiTheme="majorBidi" w:cstheme="majorBidi"/>
          <w:sz w:val="24"/>
          <w:szCs w:val="24"/>
          <w:lang w:eastAsia="zh-TW"/>
        </w:rPr>
        <w:t>t</w:t>
      </w:r>
      <w:r w:rsidRPr="00F36FAA">
        <w:rPr>
          <w:rFonts w:asciiTheme="majorBidi" w:eastAsia="新細明體" w:hAnsiTheme="majorBidi" w:cstheme="majorBidi"/>
          <w:sz w:val="24"/>
          <w:szCs w:val="24"/>
          <w:lang w:eastAsia="zh-TW"/>
        </w:rPr>
        <w:t xml:space="preserve">heory and </w:t>
      </w:r>
      <w:r w:rsidR="00F36FAA">
        <w:rPr>
          <w:rFonts w:asciiTheme="majorBidi" w:eastAsia="新細明體" w:hAnsiTheme="majorBidi" w:cstheme="majorBidi"/>
          <w:sz w:val="24"/>
          <w:szCs w:val="24"/>
          <w:lang w:eastAsia="zh-TW"/>
        </w:rPr>
        <w:t>e</w:t>
      </w:r>
      <w:r w:rsidRPr="00F36FAA">
        <w:rPr>
          <w:rFonts w:asciiTheme="majorBidi" w:eastAsia="新細明體" w:hAnsiTheme="majorBidi" w:cstheme="majorBidi"/>
          <w:sz w:val="24"/>
          <w:szCs w:val="24"/>
          <w:lang w:eastAsia="zh-TW"/>
        </w:rPr>
        <w:t>vidence’, NBER Working Paper No. 2330 (Also Reprint No. r1008) Issued in July 1987.</w:t>
      </w:r>
    </w:p>
    <w:p w14:paraId="1979A3FA" w14:textId="77777777" w:rsidR="007A1DF9" w:rsidRPr="00F36FAA" w:rsidRDefault="007A1DF9" w:rsidP="007A1DF9">
      <w:pPr>
        <w:spacing w:line="240" w:lineRule="auto"/>
        <w:rPr>
          <w:rFonts w:asciiTheme="majorBidi" w:eastAsia="新細明體" w:hAnsiTheme="majorBidi" w:cstheme="majorBidi"/>
          <w:sz w:val="24"/>
          <w:szCs w:val="24"/>
          <w:lang w:eastAsia="zh-TW"/>
        </w:rPr>
      </w:pPr>
    </w:p>
    <w:p w14:paraId="6A945BD3" w14:textId="77777777" w:rsidR="007A1DF9" w:rsidRPr="00F36FAA" w:rsidRDefault="007A1DF9" w:rsidP="00F36FAA">
      <w:pPr>
        <w:pStyle w:val="Heading1"/>
        <w:spacing w:before="0" w:beforeAutospacing="0" w:after="150" w:afterAutospacing="0" w:line="360" w:lineRule="atLeast"/>
        <w:rPr>
          <w:rFonts w:asciiTheme="majorBidi" w:eastAsiaTheme="minorEastAsia" w:hAnsiTheme="majorBidi" w:cstheme="majorBidi"/>
          <w:b w:val="0"/>
          <w:bCs w:val="0"/>
          <w:kern w:val="0"/>
          <w:sz w:val="24"/>
          <w:szCs w:val="24"/>
        </w:rPr>
      </w:pPr>
      <w:proofErr w:type="spellStart"/>
      <w:r w:rsidRPr="00F36FAA">
        <w:rPr>
          <w:rFonts w:asciiTheme="majorBidi" w:eastAsiaTheme="minorEastAsia" w:hAnsiTheme="majorBidi" w:cstheme="majorBidi"/>
          <w:b w:val="0"/>
          <w:bCs w:val="0"/>
          <w:kern w:val="0"/>
          <w:sz w:val="24"/>
          <w:szCs w:val="24"/>
        </w:rPr>
        <w:t>Bertola</w:t>
      </w:r>
      <w:proofErr w:type="spellEnd"/>
      <w:r w:rsidRPr="00F36FAA">
        <w:rPr>
          <w:rFonts w:asciiTheme="majorBidi" w:eastAsiaTheme="minorEastAsia" w:hAnsiTheme="majorBidi" w:cstheme="majorBidi"/>
          <w:b w:val="0"/>
          <w:bCs w:val="0"/>
          <w:kern w:val="0"/>
          <w:sz w:val="24"/>
          <w:szCs w:val="24"/>
        </w:rPr>
        <w:t xml:space="preserve">, G &amp; Drazen A 1991, ‘Trigger </w:t>
      </w:r>
      <w:r w:rsidR="00F36FAA">
        <w:rPr>
          <w:rFonts w:asciiTheme="majorBidi" w:eastAsiaTheme="minorEastAsia" w:hAnsiTheme="majorBidi" w:cstheme="majorBidi"/>
          <w:b w:val="0"/>
          <w:bCs w:val="0"/>
          <w:kern w:val="0"/>
          <w:sz w:val="24"/>
          <w:szCs w:val="24"/>
        </w:rPr>
        <w:t>p</w:t>
      </w:r>
      <w:r w:rsidRPr="00F36FAA">
        <w:rPr>
          <w:rFonts w:asciiTheme="majorBidi" w:eastAsiaTheme="minorEastAsia" w:hAnsiTheme="majorBidi" w:cstheme="majorBidi"/>
          <w:b w:val="0"/>
          <w:bCs w:val="0"/>
          <w:kern w:val="0"/>
          <w:sz w:val="24"/>
          <w:szCs w:val="24"/>
        </w:rPr>
        <w:t xml:space="preserve">oints and </w:t>
      </w:r>
      <w:r w:rsidR="00F36FAA">
        <w:rPr>
          <w:rFonts w:asciiTheme="majorBidi" w:eastAsiaTheme="minorEastAsia" w:hAnsiTheme="majorBidi" w:cstheme="majorBidi"/>
          <w:b w:val="0"/>
          <w:bCs w:val="0"/>
          <w:kern w:val="0"/>
          <w:sz w:val="24"/>
          <w:szCs w:val="24"/>
        </w:rPr>
        <w:t>b</w:t>
      </w:r>
      <w:r w:rsidRPr="00F36FAA">
        <w:rPr>
          <w:rFonts w:asciiTheme="majorBidi" w:eastAsiaTheme="minorEastAsia" w:hAnsiTheme="majorBidi" w:cstheme="majorBidi"/>
          <w:b w:val="0"/>
          <w:bCs w:val="0"/>
          <w:kern w:val="0"/>
          <w:sz w:val="24"/>
          <w:szCs w:val="24"/>
        </w:rPr>
        <w:t xml:space="preserve">udget </w:t>
      </w:r>
      <w:r w:rsidR="00F36FAA">
        <w:rPr>
          <w:rFonts w:asciiTheme="majorBidi" w:eastAsiaTheme="minorEastAsia" w:hAnsiTheme="majorBidi" w:cstheme="majorBidi"/>
          <w:b w:val="0"/>
          <w:bCs w:val="0"/>
          <w:kern w:val="0"/>
          <w:sz w:val="24"/>
          <w:szCs w:val="24"/>
        </w:rPr>
        <w:t>c</w:t>
      </w:r>
      <w:r w:rsidRPr="00F36FAA">
        <w:rPr>
          <w:rFonts w:asciiTheme="majorBidi" w:eastAsiaTheme="minorEastAsia" w:hAnsiTheme="majorBidi" w:cstheme="majorBidi"/>
          <w:b w:val="0"/>
          <w:bCs w:val="0"/>
          <w:kern w:val="0"/>
          <w:sz w:val="24"/>
          <w:szCs w:val="24"/>
        </w:rPr>
        <w:t xml:space="preserve">uts: </w:t>
      </w:r>
      <w:r w:rsidR="00F36FAA">
        <w:rPr>
          <w:rFonts w:asciiTheme="majorBidi" w:eastAsiaTheme="minorEastAsia" w:hAnsiTheme="majorBidi" w:cstheme="majorBidi"/>
          <w:b w:val="0"/>
          <w:bCs w:val="0"/>
          <w:kern w:val="0"/>
          <w:sz w:val="24"/>
          <w:szCs w:val="24"/>
        </w:rPr>
        <w:t>e</w:t>
      </w:r>
      <w:r w:rsidRPr="00F36FAA">
        <w:rPr>
          <w:rFonts w:asciiTheme="majorBidi" w:eastAsiaTheme="minorEastAsia" w:hAnsiTheme="majorBidi" w:cstheme="majorBidi"/>
          <w:b w:val="0"/>
          <w:bCs w:val="0"/>
          <w:kern w:val="0"/>
          <w:sz w:val="24"/>
          <w:szCs w:val="24"/>
        </w:rPr>
        <w:t xml:space="preserve">xplaining the </w:t>
      </w:r>
      <w:r w:rsidR="00F36FAA">
        <w:rPr>
          <w:rFonts w:asciiTheme="majorBidi" w:eastAsiaTheme="minorEastAsia" w:hAnsiTheme="majorBidi" w:cstheme="majorBidi"/>
          <w:b w:val="0"/>
          <w:bCs w:val="0"/>
          <w:kern w:val="0"/>
          <w:sz w:val="24"/>
          <w:szCs w:val="24"/>
        </w:rPr>
        <w:t>e</w:t>
      </w:r>
      <w:r w:rsidRPr="00F36FAA">
        <w:rPr>
          <w:rFonts w:asciiTheme="majorBidi" w:eastAsiaTheme="minorEastAsia" w:hAnsiTheme="majorBidi" w:cstheme="majorBidi"/>
          <w:b w:val="0"/>
          <w:bCs w:val="0"/>
          <w:kern w:val="0"/>
          <w:sz w:val="24"/>
          <w:szCs w:val="24"/>
        </w:rPr>
        <w:t xml:space="preserve">ffects of Fiscal </w:t>
      </w:r>
      <w:r w:rsidR="00F36FAA">
        <w:rPr>
          <w:rFonts w:asciiTheme="majorBidi" w:eastAsiaTheme="minorEastAsia" w:hAnsiTheme="majorBidi" w:cstheme="majorBidi"/>
          <w:b w:val="0"/>
          <w:bCs w:val="0"/>
          <w:kern w:val="0"/>
          <w:sz w:val="24"/>
          <w:szCs w:val="24"/>
        </w:rPr>
        <w:t>a</w:t>
      </w:r>
      <w:r w:rsidRPr="00F36FAA">
        <w:rPr>
          <w:rFonts w:asciiTheme="majorBidi" w:eastAsiaTheme="minorEastAsia" w:hAnsiTheme="majorBidi" w:cstheme="majorBidi"/>
          <w:b w:val="0"/>
          <w:bCs w:val="0"/>
          <w:kern w:val="0"/>
          <w:sz w:val="24"/>
          <w:szCs w:val="24"/>
        </w:rPr>
        <w:t>usterity’, NBER Working Paper No. 3844, Issued in September 1991</w:t>
      </w:r>
      <w:r w:rsidR="00EA7BC3">
        <w:rPr>
          <w:rFonts w:asciiTheme="majorBidi" w:eastAsiaTheme="minorEastAsia" w:hAnsiTheme="majorBidi" w:cstheme="majorBidi"/>
          <w:b w:val="0"/>
          <w:bCs w:val="0"/>
          <w:kern w:val="0"/>
          <w:sz w:val="24"/>
          <w:szCs w:val="24"/>
        </w:rPr>
        <w:t>.</w:t>
      </w:r>
    </w:p>
    <w:p w14:paraId="58939BB9" w14:textId="77777777" w:rsidR="007A1DF9" w:rsidRPr="00F36FAA" w:rsidRDefault="007A1DF9" w:rsidP="007A1DF9">
      <w:pPr>
        <w:pStyle w:val="Heading1"/>
        <w:spacing w:before="0" w:beforeAutospacing="0" w:after="150" w:afterAutospacing="0" w:line="360" w:lineRule="atLeast"/>
        <w:rPr>
          <w:rFonts w:asciiTheme="majorBidi" w:eastAsiaTheme="minorEastAsia" w:hAnsiTheme="majorBidi" w:cstheme="majorBidi"/>
          <w:b w:val="0"/>
          <w:bCs w:val="0"/>
          <w:kern w:val="0"/>
          <w:sz w:val="24"/>
          <w:szCs w:val="24"/>
        </w:rPr>
      </w:pPr>
    </w:p>
    <w:p w14:paraId="31C9DB87" w14:textId="77777777" w:rsidR="007A1DF9" w:rsidRPr="00F36FAA" w:rsidRDefault="00DB54F7" w:rsidP="00DB54F7">
      <w:pPr>
        <w:rPr>
          <w:rFonts w:asciiTheme="majorBidi" w:hAnsiTheme="majorBidi" w:cstheme="majorBidi"/>
          <w:sz w:val="24"/>
          <w:szCs w:val="24"/>
        </w:rPr>
      </w:pPr>
      <w:r>
        <w:rPr>
          <w:rFonts w:asciiTheme="majorBidi" w:hAnsiTheme="majorBidi" w:cstheme="majorBidi"/>
          <w:sz w:val="24"/>
          <w:szCs w:val="24"/>
        </w:rPr>
        <w:t xml:space="preserve">Blanchard, O &amp; </w:t>
      </w:r>
      <w:proofErr w:type="spellStart"/>
      <w:r>
        <w:rPr>
          <w:rFonts w:asciiTheme="majorBidi" w:hAnsiTheme="majorBidi" w:cstheme="majorBidi"/>
          <w:sz w:val="24"/>
          <w:szCs w:val="24"/>
        </w:rPr>
        <w:t>Perotti</w:t>
      </w:r>
      <w:proofErr w:type="spellEnd"/>
      <w:r>
        <w:rPr>
          <w:rFonts w:asciiTheme="majorBidi" w:hAnsiTheme="majorBidi" w:cstheme="majorBidi"/>
          <w:sz w:val="24"/>
          <w:szCs w:val="24"/>
        </w:rPr>
        <w:t>, R 2002</w:t>
      </w:r>
      <w:r w:rsidR="007A1DF9" w:rsidRPr="00F36FAA">
        <w:rPr>
          <w:rFonts w:asciiTheme="majorBidi" w:hAnsiTheme="majorBidi" w:cstheme="majorBidi"/>
          <w:sz w:val="24"/>
          <w:szCs w:val="24"/>
        </w:rPr>
        <w:t xml:space="preserve">, ‘An empirical characterization of the dynamic effects of changes in government spending and taxes on output’, </w:t>
      </w:r>
      <w:r w:rsidRPr="00DB54F7">
        <w:rPr>
          <w:rFonts w:asciiTheme="majorBidi" w:hAnsiTheme="majorBidi" w:cstheme="majorBidi"/>
          <w:i/>
          <w:iCs/>
          <w:sz w:val="24"/>
          <w:szCs w:val="24"/>
        </w:rPr>
        <w:t>The Quarterly Journal of Economics</w:t>
      </w:r>
      <w:r w:rsidRPr="00DB54F7">
        <w:rPr>
          <w:rFonts w:asciiTheme="majorBidi" w:hAnsiTheme="majorBidi" w:cstheme="majorBidi"/>
          <w:sz w:val="24"/>
          <w:szCs w:val="24"/>
        </w:rPr>
        <w:t>, November 2002</w:t>
      </w:r>
      <w:r w:rsidR="007A1DF9" w:rsidRPr="00F36FAA">
        <w:rPr>
          <w:rFonts w:asciiTheme="majorBidi" w:hAnsiTheme="majorBidi" w:cstheme="majorBidi"/>
          <w:sz w:val="24"/>
          <w:szCs w:val="24"/>
        </w:rPr>
        <w:t>.</w:t>
      </w:r>
    </w:p>
    <w:p w14:paraId="27F7A349" w14:textId="77777777" w:rsidR="008A3042" w:rsidRPr="00F36FAA" w:rsidRDefault="008A3042" w:rsidP="007A1DF9">
      <w:pPr>
        <w:rPr>
          <w:rFonts w:asciiTheme="majorBidi" w:hAnsiTheme="majorBidi" w:cstheme="majorBidi"/>
          <w:sz w:val="24"/>
          <w:szCs w:val="24"/>
        </w:rPr>
      </w:pPr>
    </w:p>
    <w:p w14:paraId="623FE7CE" w14:textId="77777777" w:rsidR="008A3042" w:rsidRPr="00F36FAA" w:rsidRDefault="008A3042" w:rsidP="00F36FAA">
      <w:pPr>
        <w:rPr>
          <w:rFonts w:asciiTheme="majorBidi" w:hAnsiTheme="majorBidi" w:cstheme="majorBidi"/>
          <w:sz w:val="24"/>
          <w:szCs w:val="24"/>
        </w:rPr>
      </w:pPr>
      <w:r w:rsidRPr="00F36FAA">
        <w:rPr>
          <w:rFonts w:asciiTheme="majorBidi" w:hAnsiTheme="majorBidi" w:cstheme="majorBidi"/>
          <w:sz w:val="24"/>
          <w:szCs w:val="24"/>
        </w:rPr>
        <w:t>Bohn, H 1998, ‘T</w:t>
      </w:r>
      <w:r w:rsidR="00F36FAA">
        <w:rPr>
          <w:rFonts w:asciiTheme="majorBidi" w:hAnsiTheme="majorBidi" w:cstheme="majorBidi"/>
          <w:sz w:val="24"/>
          <w:szCs w:val="24"/>
        </w:rPr>
        <w:t>he behaviour of U. S. public debt and deficits</w:t>
      </w:r>
      <w:r w:rsidRPr="00F36FAA">
        <w:rPr>
          <w:rFonts w:asciiTheme="majorBidi" w:hAnsiTheme="majorBidi" w:cstheme="majorBidi"/>
          <w:sz w:val="24"/>
          <w:szCs w:val="24"/>
        </w:rPr>
        <w:t xml:space="preserve">’, </w:t>
      </w:r>
      <w:r w:rsidRPr="00F36FAA">
        <w:rPr>
          <w:rFonts w:asciiTheme="majorBidi" w:hAnsiTheme="majorBidi" w:cstheme="majorBidi"/>
          <w:i/>
          <w:iCs/>
          <w:sz w:val="24"/>
          <w:szCs w:val="24"/>
        </w:rPr>
        <w:t>The Quarterly Journal of Economics</w:t>
      </w:r>
      <w:r w:rsidRPr="00F36FAA">
        <w:rPr>
          <w:rFonts w:asciiTheme="majorBidi" w:hAnsiTheme="majorBidi" w:cstheme="majorBidi"/>
          <w:sz w:val="24"/>
          <w:szCs w:val="24"/>
        </w:rPr>
        <w:t xml:space="preserve">, August 1998. </w:t>
      </w:r>
    </w:p>
    <w:p w14:paraId="48ACC432" w14:textId="77777777" w:rsidR="007A1DF9" w:rsidRPr="00F36FAA" w:rsidRDefault="007A1DF9" w:rsidP="007A1DF9">
      <w:pPr>
        <w:rPr>
          <w:rFonts w:asciiTheme="majorBidi" w:hAnsiTheme="majorBidi" w:cstheme="majorBidi"/>
          <w:sz w:val="24"/>
          <w:szCs w:val="24"/>
        </w:rPr>
      </w:pPr>
    </w:p>
    <w:p w14:paraId="26EF7D65" w14:textId="77777777" w:rsidR="00CE00C1" w:rsidRDefault="007A1DF9" w:rsidP="00CE00C1">
      <w:pPr>
        <w:rPr>
          <w:rFonts w:asciiTheme="majorBidi" w:hAnsiTheme="majorBidi" w:cstheme="majorBidi"/>
          <w:sz w:val="24"/>
          <w:szCs w:val="24"/>
        </w:rPr>
      </w:pPr>
      <w:proofErr w:type="spellStart"/>
      <w:r w:rsidRPr="00F36FAA">
        <w:rPr>
          <w:rFonts w:asciiTheme="majorBidi" w:hAnsiTheme="majorBidi" w:cstheme="majorBidi"/>
          <w:sz w:val="24"/>
          <w:szCs w:val="24"/>
        </w:rPr>
        <w:t>Botman</w:t>
      </w:r>
      <w:proofErr w:type="spellEnd"/>
      <w:r w:rsidRPr="00F36FAA">
        <w:rPr>
          <w:rFonts w:asciiTheme="majorBidi" w:hAnsiTheme="majorBidi" w:cstheme="majorBidi"/>
          <w:sz w:val="24"/>
          <w:szCs w:val="24"/>
        </w:rPr>
        <w:t xml:space="preserve">, D, </w:t>
      </w:r>
      <w:proofErr w:type="spellStart"/>
      <w:r w:rsidRPr="00F36FAA">
        <w:rPr>
          <w:rFonts w:asciiTheme="majorBidi" w:hAnsiTheme="majorBidi" w:cstheme="majorBidi"/>
          <w:sz w:val="24"/>
          <w:szCs w:val="24"/>
        </w:rPr>
        <w:t>Laxton</w:t>
      </w:r>
      <w:proofErr w:type="spellEnd"/>
      <w:r w:rsidRPr="00F36FAA">
        <w:rPr>
          <w:rFonts w:asciiTheme="majorBidi" w:hAnsiTheme="majorBidi" w:cstheme="majorBidi"/>
          <w:sz w:val="24"/>
          <w:szCs w:val="24"/>
        </w:rPr>
        <w:t xml:space="preserve">, D, Muir, D &amp; Romanov, A 2006, ‘A </w:t>
      </w:r>
      <w:r w:rsidR="00F36FAA">
        <w:rPr>
          <w:rFonts w:asciiTheme="majorBidi" w:hAnsiTheme="majorBidi" w:cstheme="majorBidi"/>
          <w:sz w:val="24"/>
          <w:szCs w:val="24"/>
        </w:rPr>
        <w:t>n</w:t>
      </w:r>
      <w:r w:rsidRPr="00F36FAA">
        <w:rPr>
          <w:rFonts w:asciiTheme="majorBidi" w:hAnsiTheme="majorBidi" w:cstheme="majorBidi"/>
          <w:sz w:val="24"/>
          <w:szCs w:val="24"/>
        </w:rPr>
        <w:t>ew-</w:t>
      </w:r>
      <w:r w:rsidR="00F36FAA">
        <w:rPr>
          <w:rFonts w:asciiTheme="majorBidi" w:hAnsiTheme="majorBidi" w:cstheme="majorBidi"/>
          <w:sz w:val="24"/>
          <w:szCs w:val="24"/>
        </w:rPr>
        <w:t>o</w:t>
      </w:r>
      <w:r w:rsidRPr="00F36FAA">
        <w:rPr>
          <w:rFonts w:asciiTheme="majorBidi" w:hAnsiTheme="majorBidi" w:cstheme="majorBidi"/>
          <w:sz w:val="24"/>
          <w:szCs w:val="24"/>
        </w:rPr>
        <w:t>pen-</w:t>
      </w:r>
      <w:r w:rsidR="00F36FAA">
        <w:rPr>
          <w:rFonts w:asciiTheme="majorBidi" w:hAnsiTheme="majorBidi" w:cstheme="majorBidi"/>
          <w:sz w:val="24"/>
          <w:szCs w:val="24"/>
        </w:rPr>
        <w:t>e</w:t>
      </w:r>
      <w:r w:rsidRPr="00F36FAA">
        <w:rPr>
          <w:rFonts w:asciiTheme="majorBidi" w:hAnsiTheme="majorBidi" w:cstheme="majorBidi"/>
          <w:sz w:val="24"/>
          <w:szCs w:val="24"/>
        </w:rPr>
        <w:t>conomy-</w:t>
      </w:r>
      <w:r w:rsidR="00F36FAA">
        <w:rPr>
          <w:rFonts w:asciiTheme="majorBidi" w:hAnsiTheme="majorBidi" w:cstheme="majorBidi"/>
          <w:sz w:val="24"/>
          <w:szCs w:val="24"/>
        </w:rPr>
        <w:t>m</w:t>
      </w:r>
      <w:r w:rsidRPr="00F36FAA">
        <w:rPr>
          <w:rFonts w:asciiTheme="majorBidi" w:hAnsiTheme="majorBidi" w:cstheme="majorBidi"/>
          <w:sz w:val="24"/>
          <w:szCs w:val="24"/>
        </w:rPr>
        <w:t xml:space="preserve">acro </w:t>
      </w:r>
      <w:r w:rsidR="00F36FAA">
        <w:rPr>
          <w:rFonts w:asciiTheme="majorBidi" w:hAnsiTheme="majorBidi" w:cstheme="majorBidi"/>
          <w:sz w:val="24"/>
          <w:szCs w:val="24"/>
        </w:rPr>
        <w:t>m</w:t>
      </w:r>
      <w:r w:rsidRPr="00F36FAA">
        <w:rPr>
          <w:rFonts w:asciiTheme="majorBidi" w:hAnsiTheme="majorBidi" w:cstheme="majorBidi"/>
          <w:sz w:val="24"/>
          <w:szCs w:val="24"/>
        </w:rPr>
        <w:t>odel for Fiscal Policy Evaluatio</w:t>
      </w:r>
      <w:r w:rsidR="00CE00C1">
        <w:rPr>
          <w:rFonts w:asciiTheme="majorBidi" w:hAnsiTheme="majorBidi" w:cstheme="majorBidi"/>
          <w:sz w:val="24"/>
          <w:szCs w:val="24"/>
        </w:rPr>
        <w:t>n’, International Monetary Fund, viewed 22 August 2016,</w:t>
      </w:r>
    </w:p>
    <w:p w14:paraId="4CAA4D41" w14:textId="77777777" w:rsidR="007A1DF9" w:rsidRPr="00F36FAA" w:rsidRDefault="00CE00C1" w:rsidP="00F36FAA">
      <w:pPr>
        <w:rPr>
          <w:rFonts w:asciiTheme="majorBidi" w:hAnsiTheme="majorBidi" w:cstheme="majorBidi"/>
          <w:sz w:val="24"/>
          <w:szCs w:val="24"/>
        </w:rPr>
      </w:pPr>
      <w:r>
        <w:rPr>
          <w:rFonts w:asciiTheme="majorBidi" w:hAnsiTheme="majorBidi" w:cstheme="majorBidi"/>
          <w:sz w:val="24"/>
          <w:szCs w:val="24"/>
        </w:rPr>
        <w:t>&lt;</w:t>
      </w:r>
      <w:hyperlink r:id="rId15" w:history="1">
        <w:r w:rsidRPr="00CE00C1">
          <w:rPr>
            <w:rFonts w:asciiTheme="majorBidi" w:hAnsiTheme="majorBidi" w:cstheme="majorBidi"/>
            <w:sz w:val="24"/>
            <w:szCs w:val="24"/>
          </w:rPr>
          <w:t>http://www.douglaslaxton.org/sitebuildercontent/sitebuilderfiles/botman_laxton_muir_2006wp0645.pdf</w:t>
        </w:r>
      </w:hyperlink>
      <w:r>
        <w:rPr>
          <w:rFonts w:asciiTheme="majorBidi" w:hAnsiTheme="majorBidi" w:cstheme="majorBidi"/>
          <w:sz w:val="24"/>
          <w:szCs w:val="24"/>
        </w:rPr>
        <w:t>&gt;.</w:t>
      </w:r>
    </w:p>
    <w:p w14:paraId="3C628DFB" w14:textId="77777777" w:rsidR="007A1DF9" w:rsidRPr="00F36FAA" w:rsidRDefault="007A1DF9" w:rsidP="007A1DF9">
      <w:pPr>
        <w:rPr>
          <w:rFonts w:asciiTheme="majorBidi" w:hAnsiTheme="majorBidi" w:cstheme="majorBidi"/>
          <w:sz w:val="24"/>
          <w:szCs w:val="24"/>
        </w:rPr>
      </w:pPr>
    </w:p>
    <w:p w14:paraId="2BEDA815" w14:textId="77777777" w:rsidR="007A1DF9" w:rsidRDefault="007A1DF9" w:rsidP="00F36FAA">
      <w:pPr>
        <w:rPr>
          <w:rFonts w:asciiTheme="majorBidi" w:hAnsiTheme="majorBidi" w:cstheme="majorBidi"/>
          <w:sz w:val="24"/>
          <w:szCs w:val="24"/>
        </w:rPr>
      </w:pPr>
      <w:proofErr w:type="spellStart"/>
      <w:r w:rsidRPr="00F36FAA">
        <w:rPr>
          <w:rFonts w:asciiTheme="majorBidi" w:hAnsiTheme="majorBidi" w:cstheme="majorBidi"/>
          <w:sz w:val="24"/>
          <w:szCs w:val="24"/>
        </w:rPr>
        <w:t>Bussi`ere</w:t>
      </w:r>
      <w:proofErr w:type="spellEnd"/>
      <w:r w:rsidRPr="00F36FAA">
        <w:rPr>
          <w:rFonts w:asciiTheme="majorBidi" w:hAnsiTheme="majorBidi" w:cstheme="majorBidi"/>
          <w:sz w:val="24"/>
          <w:szCs w:val="24"/>
        </w:rPr>
        <w:t xml:space="preserve">, M, </w:t>
      </w:r>
      <w:proofErr w:type="spellStart"/>
      <w:r w:rsidRPr="00F36FAA">
        <w:rPr>
          <w:rFonts w:asciiTheme="majorBidi" w:hAnsiTheme="majorBidi" w:cstheme="majorBidi"/>
          <w:sz w:val="24"/>
          <w:szCs w:val="24"/>
        </w:rPr>
        <w:t>Fratzscher</w:t>
      </w:r>
      <w:proofErr w:type="spellEnd"/>
      <w:r w:rsidRPr="00F36FAA">
        <w:rPr>
          <w:rFonts w:asciiTheme="majorBidi" w:hAnsiTheme="majorBidi" w:cstheme="majorBidi"/>
          <w:sz w:val="24"/>
          <w:szCs w:val="24"/>
        </w:rPr>
        <w:t xml:space="preserve">, M, </w:t>
      </w:r>
      <w:proofErr w:type="spellStart"/>
      <w:r w:rsidRPr="00F36FAA">
        <w:rPr>
          <w:rFonts w:asciiTheme="majorBidi" w:hAnsiTheme="majorBidi" w:cstheme="majorBidi"/>
          <w:sz w:val="24"/>
          <w:szCs w:val="24"/>
        </w:rPr>
        <w:t>M¨uller</w:t>
      </w:r>
      <w:proofErr w:type="spellEnd"/>
      <w:r w:rsidRPr="00F36FAA">
        <w:rPr>
          <w:rFonts w:asciiTheme="majorBidi" w:hAnsiTheme="majorBidi" w:cstheme="majorBidi"/>
          <w:sz w:val="24"/>
          <w:szCs w:val="24"/>
        </w:rPr>
        <w:t xml:space="preserve">, G, 2004, ‘Productivity </w:t>
      </w:r>
      <w:r w:rsidR="00F36FAA">
        <w:rPr>
          <w:rFonts w:asciiTheme="majorBidi" w:hAnsiTheme="majorBidi" w:cstheme="majorBidi"/>
          <w:sz w:val="24"/>
          <w:szCs w:val="24"/>
        </w:rPr>
        <w:t>s</w:t>
      </w:r>
      <w:r w:rsidRPr="00F36FAA">
        <w:rPr>
          <w:rFonts w:asciiTheme="majorBidi" w:hAnsiTheme="majorBidi" w:cstheme="majorBidi"/>
          <w:sz w:val="24"/>
          <w:szCs w:val="24"/>
        </w:rPr>
        <w:t xml:space="preserve">hocks, </w:t>
      </w:r>
      <w:r w:rsidR="00F36FAA">
        <w:rPr>
          <w:rFonts w:asciiTheme="majorBidi" w:hAnsiTheme="majorBidi" w:cstheme="majorBidi"/>
          <w:sz w:val="24"/>
          <w:szCs w:val="24"/>
        </w:rPr>
        <w:t>b</w:t>
      </w:r>
      <w:r w:rsidRPr="00F36FAA">
        <w:rPr>
          <w:rFonts w:asciiTheme="majorBidi" w:hAnsiTheme="majorBidi" w:cstheme="majorBidi"/>
          <w:sz w:val="24"/>
          <w:szCs w:val="24"/>
        </w:rPr>
        <w:t xml:space="preserve">udget </w:t>
      </w:r>
      <w:r w:rsidR="00F36FAA">
        <w:rPr>
          <w:rFonts w:asciiTheme="majorBidi" w:hAnsiTheme="majorBidi" w:cstheme="majorBidi"/>
          <w:sz w:val="24"/>
          <w:szCs w:val="24"/>
        </w:rPr>
        <w:t>d</w:t>
      </w:r>
      <w:r w:rsidRPr="00F36FAA">
        <w:rPr>
          <w:rFonts w:asciiTheme="majorBidi" w:hAnsiTheme="majorBidi" w:cstheme="majorBidi"/>
          <w:sz w:val="24"/>
          <w:szCs w:val="24"/>
        </w:rPr>
        <w:t xml:space="preserve">eficits and the </w:t>
      </w:r>
      <w:r w:rsidR="00F36FAA">
        <w:rPr>
          <w:rFonts w:asciiTheme="majorBidi" w:hAnsiTheme="majorBidi" w:cstheme="majorBidi"/>
          <w:sz w:val="24"/>
          <w:szCs w:val="24"/>
        </w:rPr>
        <w:t>c</w:t>
      </w:r>
      <w:r w:rsidRPr="00F36FAA">
        <w:rPr>
          <w:rFonts w:asciiTheme="majorBidi" w:hAnsiTheme="majorBidi" w:cstheme="majorBidi"/>
          <w:sz w:val="24"/>
          <w:szCs w:val="24"/>
        </w:rPr>
        <w:t xml:space="preserve">urrent </w:t>
      </w:r>
      <w:r w:rsidR="00DB2C9C">
        <w:rPr>
          <w:rFonts w:asciiTheme="majorBidi" w:hAnsiTheme="majorBidi" w:cstheme="majorBidi"/>
          <w:sz w:val="24"/>
          <w:szCs w:val="24"/>
        </w:rPr>
        <w:t>Account’, European Central Bank, viewed 22 August 2016,</w:t>
      </w:r>
    </w:p>
    <w:p w14:paraId="5755F58F" w14:textId="77777777" w:rsidR="00DB2C9C" w:rsidRPr="00F36FAA" w:rsidRDefault="00DB2C9C" w:rsidP="00F36FAA">
      <w:pPr>
        <w:rPr>
          <w:rFonts w:asciiTheme="majorBidi" w:hAnsiTheme="majorBidi" w:cstheme="majorBidi"/>
          <w:sz w:val="24"/>
          <w:szCs w:val="24"/>
        </w:rPr>
      </w:pPr>
      <w:r>
        <w:rPr>
          <w:rFonts w:asciiTheme="majorBidi" w:hAnsiTheme="majorBidi" w:cstheme="majorBidi"/>
          <w:sz w:val="24"/>
          <w:szCs w:val="24"/>
        </w:rPr>
        <w:t>&lt;</w:t>
      </w:r>
      <w:hyperlink r:id="rId16" w:history="1">
        <w:r w:rsidRPr="00DB2C9C">
          <w:rPr>
            <w:rFonts w:asciiTheme="majorBidi" w:hAnsiTheme="majorBidi" w:cstheme="majorBidi"/>
            <w:sz w:val="24"/>
            <w:szCs w:val="24"/>
          </w:rPr>
          <w:t>https://www.ecb.europa.eu/pub/pdf/scpwps/ecbwp509.pdf</w:t>
        </w:r>
      </w:hyperlink>
      <w:r>
        <w:rPr>
          <w:rFonts w:asciiTheme="majorBidi" w:hAnsiTheme="majorBidi" w:cstheme="majorBidi"/>
          <w:sz w:val="24"/>
          <w:szCs w:val="24"/>
        </w:rPr>
        <w:t>&gt;.</w:t>
      </w:r>
    </w:p>
    <w:p w14:paraId="17BA572D" w14:textId="77777777" w:rsidR="00101F89" w:rsidRPr="00F36FAA" w:rsidRDefault="00101F89" w:rsidP="00D75EF4">
      <w:pPr>
        <w:rPr>
          <w:rFonts w:asciiTheme="majorBidi" w:hAnsiTheme="majorBidi" w:cstheme="majorBidi"/>
          <w:sz w:val="24"/>
          <w:szCs w:val="24"/>
        </w:rPr>
      </w:pPr>
    </w:p>
    <w:p w14:paraId="62AF2639"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pacing w:val="1"/>
          <w:sz w:val="24"/>
          <w:szCs w:val="24"/>
        </w:rPr>
      </w:pPr>
      <w:r w:rsidRPr="00F36FAA">
        <w:rPr>
          <w:rFonts w:asciiTheme="majorBidi" w:eastAsia="Times New Roman" w:hAnsiTheme="majorBidi" w:cstheme="majorBidi"/>
          <w:color w:val="231F20"/>
          <w:spacing w:val="1"/>
          <w:sz w:val="24"/>
          <w:szCs w:val="24"/>
        </w:rPr>
        <w:t>Expansionary Fiscal Shocks and</w:t>
      </w:r>
    </w:p>
    <w:p w14:paraId="745A407B"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pacing w:val="1"/>
          <w:sz w:val="24"/>
          <w:szCs w:val="24"/>
        </w:rPr>
      </w:pPr>
      <w:r w:rsidRPr="00F36FAA">
        <w:rPr>
          <w:rFonts w:asciiTheme="majorBidi" w:eastAsia="Times New Roman" w:hAnsiTheme="majorBidi" w:cstheme="majorBidi"/>
          <w:color w:val="231F20"/>
          <w:spacing w:val="1"/>
          <w:sz w:val="24"/>
          <w:szCs w:val="24"/>
        </w:rPr>
        <w:t>the US Trade Deficit</w:t>
      </w:r>
    </w:p>
    <w:p w14:paraId="45689E7A"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w:t>
      </w:r>
    </w:p>
    <w:p w14:paraId="59948875"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 xml:space="preserve">Christopher J. Erceg, Luca </w:t>
      </w:r>
      <w:proofErr w:type="spellStart"/>
      <w:r w:rsidRPr="00F36FAA">
        <w:rPr>
          <w:rFonts w:asciiTheme="majorBidi" w:eastAsia="Times New Roman" w:hAnsiTheme="majorBidi" w:cstheme="majorBidi"/>
          <w:color w:val="231F20"/>
          <w:sz w:val="24"/>
          <w:szCs w:val="24"/>
        </w:rPr>
        <w:t>Guerrieri</w:t>
      </w:r>
      <w:proofErr w:type="spellEnd"/>
      <w:r w:rsidRPr="00F36FAA">
        <w:rPr>
          <w:rFonts w:asciiTheme="majorBidi" w:eastAsia="Times New Roman" w:hAnsiTheme="majorBidi" w:cstheme="majorBidi"/>
          <w:color w:val="231F20"/>
          <w:sz w:val="24"/>
          <w:szCs w:val="24"/>
        </w:rPr>
        <w:t xml:space="preserve"> and</w:t>
      </w:r>
    </w:p>
    <w:p w14:paraId="3243DE0D"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Christopher Gust</w:t>
      </w:r>
    </w:p>
    <w:p w14:paraId="70AA61A0"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pacing w:val="1"/>
          <w:sz w:val="24"/>
          <w:szCs w:val="24"/>
        </w:rPr>
      </w:pPr>
      <w:r w:rsidRPr="00F36FAA">
        <w:rPr>
          <w:rFonts w:asciiTheme="majorBidi" w:eastAsia="Times New Roman" w:hAnsiTheme="majorBidi" w:cstheme="majorBidi"/>
          <w:color w:val="231F20"/>
          <w:spacing w:val="1"/>
          <w:sz w:val="24"/>
          <w:szCs w:val="24"/>
        </w:rPr>
        <w:t>Expansionary Fiscal Shocks and</w:t>
      </w:r>
    </w:p>
    <w:p w14:paraId="53702D36"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pacing w:val="1"/>
          <w:sz w:val="24"/>
          <w:szCs w:val="24"/>
        </w:rPr>
      </w:pPr>
      <w:r w:rsidRPr="00F36FAA">
        <w:rPr>
          <w:rFonts w:asciiTheme="majorBidi" w:eastAsia="Times New Roman" w:hAnsiTheme="majorBidi" w:cstheme="majorBidi"/>
          <w:color w:val="231F20"/>
          <w:spacing w:val="1"/>
          <w:sz w:val="24"/>
          <w:szCs w:val="24"/>
        </w:rPr>
        <w:t>the US Trade Deficit</w:t>
      </w:r>
    </w:p>
    <w:p w14:paraId="118354A6"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w:t>
      </w:r>
    </w:p>
    <w:p w14:paraId="76532A96"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 xml:space="preserve">Christopher J. Erceg, Luca </w:t>
      </w:r>
      <w:proofErr w:type="spellStart"/>
      <w:r w:rsidRPr="00F36FAA">
        <w:rPr>
          <w:rFonts w:asciiTheme="majorBidi" w:eastAsia="Times New Roman" w:hAnsiTheme="majorBidi" w:cstheme="majorBidi"/>
          <w:color w:val="231F20"/>
          <w:sz w:val="24"/>
          <w:szCs w:val="24"/>
        </w:rPr>
        <w:t>Guerrieri</w:t>
      </w:r>
      <w:proofErr w:type="spellEnd"/>
      <w:r w:rsidRPr="00F36FAA">
        <w:rPr>
          <w:rFonts w:asciiTheme="majorBidi" w:eastAsia="Times New Roman" w:hAnsiTheme="majorBidi" w:cstheme="majorBidi"/>
          <w:color w:val="231F20"/>
          <w:sz w:val="24"/>
          <w:szCs w:val="24"/>
        </w:rPr>
        <w:t xml:space="preserve"> and</w:t>
      </w:r>
    </w:p>
    <w:p w14:paraId="6F95A4DD"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Christopher Gust</w:t>
      </w:r>
    </w:p>
    <w:p w14:paraId="5AE2B389"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pacing w:val="1"/>
          <w:sz w:val="24"/>
          <w:szCs w:val="24"/>
        </w:rPr>
      </w:pPr>
      <w:r w:rsidRPr="00F36FAA">
        <w:rPr>
          <w:rFonts w:asciiTheme="majorBidi" w:eastAsia="Times New Roman" w:hAnsiTheme="majorBidi" w:cstheme="majorBidi"/>
          <w:color w:val="231F20"/>
          <w:spacing w:val="1"/>
          <w:sz w:val="24"/>
          <w:szCs w:val="24"/>
        </w:rPr>
        <w:t>Expansionary Fiscal Shocks and</w:t>
      </w:r>
    </w:p>
    <w:p w14:paraId="460E7559"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pacing w:val="1"/>
          <w:sz w:val="24"/>
          <w:szCs w:val="24"/>
        </w:rPr>
      </w:pPr>
      <w:r w:rsidRPr="00F36FAA">
        <w:rPr>
          <w:rFonts w:asciiTheme="majorBidi" w:eastAsia="Times New Roman" w:hAnsiTheme="majorBidi" w:cstheme="majorBidi"/>
          <w:color w:val="231F20"/>
          <w:spacing w:val="1"/>
          <w:sz w:val="24"/>
          <w:szCs w:val="24"/>
        </w:rPr>
        <w:t>the US Trade Deficit</w:t>
      </w:r>
    </w:p>
    <w:p w14:paraId="33B8A45C"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w:t>
      </w:r>
    </w:p>
    <w:p w14:paraId="4D862CC5"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 xml:space="preserve">Christopher J. Erceg, Luca </w:t>
      </w:r>
      <w:proofErr w:type="spellStart"/>
      <w:r w:rsidRPr="00F36FAA">
        <w:rPr>
          <w:rFonts w:asciiTheme="majorBidi" w:eastAsia="Times New Roman" w:hAnsiTheme="majorBidi" w:cstheme="majorBidi"/>
          <w:color w:val="231F20"/>
          <w:sz w:val="24"/>
          <w:szCs w:val="24"/>
        </w:rPr>
        <w:t>Guerrieri</w:t>
      </w:r>
      <w:proofErr w:type="spellEnd"/>
      <w:r w:rsidRPr="00F36FAA">
        <w:rPr>
          <w:rFonts w:asciiTheme="majorBidi" w:eastAsia="Times New Roman" w:hAnsiTheme="majorBidi" w:cstheme="majorBidi"/>
          <w:color w:val="231F20"/>
          <w:sz w:val="24"/>
          <w:szCs w:val="24"/>
        </w:rPr>
        <w:t xml:space="preserve"> and</w:t>
      </w:r>
    </w:p>
    <w:p w14:paraId="2F70691E"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Christopher Gust</w:t>
      </w:r>
    </w:p>
    <w:p w14:paraId="067D7ECA"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pacing w:val="1"/>
          <w:sz w:val="24"/>
          <w:szCs w:val="24"/>
        </w:rPr>
      </w:pPr>
      <w:r w:rsidRPr="00F36FAA">
        <w:rPr>
          <w:rFonts w:asciiTheme="majorBidi" w:eastAsia="Times New Roman" w:hAnsiTheme="majorBidi" w:cstheme="majorBidi"/>
          <w:color w:val="231F20"/>
          <w:spacing w:val="1"/>
          <w:sz w:val="24"/>
          <w:szCs w:val="24"/>
        </w:rPr>
        <w:t>Expansionary Fiscal Shocks and</w:t>
      </w:r>
    </w:p>
    <w:p w14:paraId="1775CB86"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pacing w:val="1"/>
          <w:sz w:val="24"/>
          <w:szCs w:val="24"/>
        </w:rPr>
      </w:pPr>
      <w:r w:rsidRPr="00F36FAA">
        <w:rPr>
          <w:rFonts w:asciiTheme="majorBidi" w:eastAsia="Times New Roman" w:hAnsiTheme="majorBidi" w:cstheme="majorBidi"/>
          <w:color w:val="231F20"/>
          <w:spacing w:val="1"/>
          <w:sz w:val="24"/>
          <w:szCs w:val="24"/>
        </w:rPr>
        <w:t>the US Trade Deficit</w:t>
      </w:r>
    </w:p>
    <w:p w14:paraId="1D0D99BD"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w:t>
      </w:r>
    </w:p>
    <w:p w14:paraId="2DCFBB22"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 xml:space="preserve">Christopher J. Erceg, Luca </w:t>
      </w:r>
      <w:proofErr w:type="spellStart"/>
      <w:r w:rsidRPr="00F36FAA">
        <w:rPr>
          <w:rFonts w:asciiTheme="majorBidi" w:eastAsia="Times New Roman" w:hAnsiTheme="majorBidi" w:cstheme="majorBidi"/>
          <w:color w:val="231F20"/>
          <w:sz w:val="24"/>
          <w:szCs w:val="24"/>
        </w:rPr>
        <w:t>Guerrieri</w:t>
      </w:r>
      <w:proofErr w:type="spellEnd"/>
      <w:r w:rsidRPr="00F36FAA">
        <w:rPr>
          <w:rFonts w:asciiTheme="majorBidi" w:eastAsia="Times New Roman" w:hAnsiTheme="majorBidi" w:cstheme="majorBidi"/>
          <w:color w:val="231F20"/>
          <w:sz w:val="24"/>
          <w:szCs w:val="24"/>
        </w:rPr>
        <w:t xml:space="preserve"> and</w:t>
      </w:r>
    </w:p>
    <w:p w14:paraId="154AC82B" w14:textId="77777777" w:rsidR="001A5CC5" w:rsidRPr="00F36FAA" w:rsidRDefault="001A5CC5" w:rsidP="001A5CC5">
      <w:pPr>
        <w:shd w:val="clear" w:color="auto" w:fill="FFFFFF"/>
        <w:spacing w:after="0" w:line="0" w:lineRule="auto"/>
        <w:rPr>
          <w:rFonts w:asciiTheme="majorBidi" w:eastAsia="Times New Roman" w:hAnsiTheme="majorBidi" w:cstheme="majorBidi"/>
          <w:color w:val="231F20"/>
          <w:sz w:val="24"/>
          <w:szCs w:val="24"/>
        </w:rPr>
      </w:pPr>
      <w:r w:rsidRPr="00F36FAA">
        <w:rPr>
          <w:rFonts w:asciiTheme="majorBidi" w:eastAsia="Times New Roman" w:hAnsiTheme="majorBidi" w:cstheme="majorBidi"/>
          <w:color w:val="231F20"/>
          <w:sz w:val="24"/>
          <w:szCs w:val="24"/>
        </w:rPr>
        <w:t>Christopher Gust</w:t>
      </w:r>
    </w:p>
    <w:p w14:paraId="70EDD1AA" w14:textId="77777777" w:rsidR="001A5CC5" w:rsidRPr="00F36FAA" w:rsidRDefault="0064077E" w:rsidP="00D75EF4">
      <w:pPr>
        <w:rPr>
          <w:rFonts w:asciiTheme="majorBidi" w:hAnsiTheme="majorBidi" w:cstheme="majorBidi"/>
          <w:sz w:val="24"/>
          <w:szCs w:val="24"/>
        </w:rPr>
      </w:pPr>
      <w:r w:rsidRPr="00F36FAA">
        <w:rPr>
          <w:rFonts w:asciiTheme="majorBidi" w:hAnsiTheme="majorBidi" w:cstheme="majorBidi"/>
          <w:sz w:val="24"/>
          <w:szCs w:val="24"/>
        </w:rPr>
        <w:t>Erceg,</w:t>
      </w:r>
      <w:r w:rsidR="006101EE" w:rsidRPr="00F36FAA">
        <w:rPr>
          <w:rFonts w:asciiTheme="majorBidi" w:hAnsiTheme="majorBidi" w:cstheme="majorBidi"/>
          <w:sz w:val="24"/>
          <w:szCs w:val="24"/>
        </w:rPr>
        <w:t xml:space="preserve"> CJ</w:t>
      </w:r>
      <w:r w:rsidR="0057277D" w:rsidRPr="00F36FAA">
        <w:rPr>
          <w:rFonts w:asciiTheme="majorBidi" w:eastAsia="新細明體" w:hAnsiTheme="majorBidi" w:cstheme="majorBidi"/>
          <w:sz w:val="24"/>
          <w:szCs w:val="24"/>
          <w:lang w:eastAsia="zh-TW"/>
        </w:rPr>
        <w:t>,</w:t>
      </w:r>
      <w:r w:rsidR="001A5CC5" w:rsidRPr="00F36FAA">
        <w:rPr>
          <w:rFonts w:asciiTheme="majorBidi" w:hAnsiTheme="majorBidi" w:cstheme="majorBidi"/>
          <w:sz w:val="24"/>
          <w:szCs w:val="24"/>
        </w:rPr>
        <w:t xml:space="preserve"> </w:t>
      </w:r>
      <w:proofErr w:type="spellStart"/>
      <w:r w:rsidR="001A5CC5" w:rsidRPr="00F36FAA">
        <w:rPr>
          <w:rFonts w:asciiTheme="majorBidi" w:hAnsiTheme="majorBidi" w:cstheme="majorBidi"/>
          <w:sz w:val="24"/>
          <w:szCs w:val="24"/>
        </w:rPr>
        <w:t>Guerrieri</w:t>
      </w:r>
      <w:proofErr w:type="spellEnd"/>
      <w:r w:rsidR="006101EE" w:rsidRPr="00F36FAA">
        <w:rPr>
          <w:rFonts w:asciiTheme="majorBidi" w:hAnsiTheme="majorBidi" w:cstheme="majorBidi"/>
          <w:sz w:val="24"/>
          <w:szCs w:val="24"/>
        </w:rPr>
        <w:t>, L</w:t>
      </w:r>
      <w:r w:rsidR="001A5CC5" w:rsidRPr="00F36FAA">
        <w:rPr>
          <w:rFonts w:asciiTheme="majorBidi" w:hAnsiTheme="majorBidi" w:cstheme="majorBidi"/>
          <w:sz w:val="24"/>
          <w:szCs w:val="24"/>
        </w:rPr>
        <w:t xml:space="preserve"> </w:t>
      </w:r>
      <w:r w:rsidRPr="00F36FAA">
        <w:rPr>
          <w:rFonts w:asciiTheme="majorBidi" w:hAnsiTheme="majorBidi" w:cstheme="majorBidi"/>
          <w:sz w:val="24"/>
          <w:szCs w:val="24"/>
        </w:rPr>
        <w:t xml:space="preserve">&amp; </w:t>
      </w:r>
      <w:r w:rsidR="001A5CC5" w:rsidRPr="00F36FAA">
        <w:rPr>
          <w:rFonts w:asciiTheme="majorBidi" w:hAnsiTheme="majorBidi" w:cstheme="majorBidi"/>
          <w:sz w:val="24"/>
          <w:szCs w:val="24"/>
        </w:rPr>
        <w:t>Gust</w:t>
      </w:r>
      <w:r w:rsidRPr="00F36FAA">
        <w:rPr>
          <w:rFonts w:asciiTheme="majorBidi" w:hAnsiTheme="majorBidi" w:cstheme="majorBidi"/>
          <w:sz w:val="24"/>
          <w:szCs w:val="24"/>
        </w:rPr>
        <w:t>,</w:t>
      </w:r>
      <w:r w:rsidR="001A5CC5" w:rsidRPr="00F36FAA">
        <w:rPr>
          <w:rFonts w:asciiTheme="majorBidi" w:hAnsiTheme="majorBidi" w:cstheme="majorBidi"/>
          <w:sz w:val="24"/>
          <w:szCs w:val="24"/>
        </w:rPr>
        <w:t xml:space="preserve"> C</w:t>
      </w:r>
      <w:r w:rsidRPr="00F36FAA">
        <w:rPr>
          <w:rFonts w:asciiTheme="majorBidi" w:hAnsiTheme="majorBidi" w:cstheme="majorBidi"/>
          <w:sz w:val="24"/>
          <w:szCs w:val="24"/>
        </w:rPr>
        <w:t xml:space="preserve"> 2005, ‘Expansionary fiscal sh</w:t>
      </w:r>
      <w:r w:rsidR="00101F89" w:rsidRPr="00F36FAA">
        <w:rPr>
          <w:rFonts w:asciiTheme="majorBidi" w:hAnsiTheme="majorBidi" w:cstheme="majorBidi"/>
          <w:sz w:val="24"/>
          <w:szCs w:val="24"/>
        </w:rPr>
        <w:t xml:space="preserve">ocks and the US trade deficit’, </w:t>
      </w:r>
      <w:r w:rsidRPr="00F36FAA">
        <w:rPr>
          <w:rFonts w:asciiTheme="majorBidi" w:hAnsiTheme="majorBidi" w:cstheme="majorBidi"/>
          <w:i/>
          <w:iCs/>
          <w:sz w:val="24"/>
          <w:szCs w:val="24"/>
        </w:rPr>
        <w:t>International Finance</w:t>
      </w:r>
      <w:r w:rsidRPr="00F36FAA">
        <w:rPr>
          <w:rFonts w:asciiTheme="majorBidi" w:hAnsiTheme="majorBidi" w:cstheme="majorBidi"/>
          <w:sz w:val="24"/>
          <w:szCs w:val="24"/>
        </w:rPr>
        <w:t xml:space="preserve"> 8:3, 2005: pp. 363-397.</w:t>
      </w:r>
    </w:p>
    <w:p w14:paraId="6E9161DD" w14:textId="77777777" w:rsidR="0041304B" w:rsidRPr="00F36FAA" w:rsidRDefault="0041304B" w:rsidP="00D75EF4">
      <w:pPr>
        <w:rPr>
          <w:rFonts w:asciiTheme="majorBidi" w:hAnsiTheme="majorBidi" w:cstheme="majorBidi"/>
          <w:sz w:val="24"/>
          <w:szCs w:val="24"/>
        </w:rPr>
      </w:pPr>
    </w:p>
    <w:p w14:paraId="5A6445E8" w14:textId="77777777" w:rsidR="0041304B" w:rsidRPr="00F36FAA" w:rsidRDefault="0041304B" w:rsidP="0041304B">
      <w:pPr>
        <w:rPr>
          <w:rFonts w:asciiTheme="majorBidi" w:hAnsiTheme="majorBidi" w:cstheme="majorBidi"/>
          <w:sz w:val="24"/>
          <w:szCs w:val="24"/>
        </w:rPr>
      </w:pPr>
      <w:proofErr w:type="spellStart"/>
      <w:r w:rsidRPr="00F36FAA">
        <w:rPr>
          <w:rFonts w:asciiTheme="majorBidi" w:hAnsiTheme="majorBidi" w:cstheme="majorBidi"/>
          <w:sz w:val="24"/>
          <w:szCs w:val="24"/>
        </w:rPr>
        <w:t>Fatas</w:t>
      </w:r>
      <w:proofErr w:type="spellEnd"/>
      <w:r w:rsidRPr="00F36FAA">
        <w:rPr>
          <w:rFonts w:asciiTheme="majorBidi" w:hAnsiTheme="majorBidi" w:cstheme="majorBidi"/>
          <w:sz w:val="24"/>
          <w:szCs w:val="24"/>
        </w:rPr>
        <w:t xml:space="preserve">, A &amp; </w:t>
      </w:r>
      <w:proofErr w:type="spellStart"/>
      <w:r w:rsidRPr="00F36FAA">
        <w:rPr>
          <w:rFonts w:asciiTheme="majorBidi" w:hAnsiTheme="majorBidi" w:cstheme="majorBidi"/>
          <w:sz w:val="24"/>
          <w:szCs w:val="24"/>
        </w:rPr>
        <w:t>Mihov</w:t>
      </w:r>
      <w:proofErr w:type="spellEnd"/>
      <w:r w:rsidRPr="00F36FAA">
        <w:rPr>
          <w:rFonts w:asciiTheme="majorBidi" w:hAnsiTheme="majorBidi" w:cstheme="majorBidi"/>
          <w:sz w:val="24"/>
          <w:szCs w:val="24"/>
        </w:rPr>
        <w:t xml:space="preserve"> I 1998, ‘The effects of fiscal policy on consumption and employment: theory and evidence’, viewed 20 Aug</w:t>
      </w:r>
      <w:r w:rsidR="00E80801" w:rsidRPr="00F36FAA">
        <w:rPr>
          <w:rFonts w:asciiTheme="majorBidi" w:hAnsiTheme="majorBidi" w:cstheme="majorBidi"/>
          <w:sz w:val="24"/>
          <w:szCs w:val="24"/>
        </w:rPr>
        <w:t>ust</w:t>
      </w:r>
      <w:r w:rsidRPr="00F36FAA">
        <w:rPr>
          <w:rFonts w:asciiTheme="majorBidi" w:hAnsiTheme="majorBidi" w:cstheme="majorBidi"/>
          <w:sz w:val="24"/>
          <w:szCs w:val="24"/>
        </w:rPr>
        <w:t xml:space="preserve"> 2016, </w:t>
      </w:r>
    </w:p>
    <w:p w14:paraId="53DAC167" w14:textId="77777777" w:rsidR="0041304B" w:rsidRDefault="0041304B" w:rsidP="0041304B">
      <w:pPr>
        <w:rPr>
          <w:rFonts w:asciiTheme="majorBidi" w:hAnsiTheme="majorBidi" w:cstheme="majorBidi"/>
          <w:sz w:val="24"/>
          <w:szCs w:val="24"/>
        </w:rPr>
      </w:pPr>
      <w:r w:rsidRPr="00F36FAA">
        <w:rPr>
          <w:rFonts w:asciiTheme="majorBidi" w:hAnsiTheme="majorBidi" w:cstheme="majorBidi"/>
          <w:sz w:val="24"/>
          <w:szCs w:val="24"/>
        </w:rPr>
        <w:t xml:space="preserve">&lt; </w:t>
      </w:r>
      <w:hyperlink r:id="rId17" w:history="1">
        <w:r w:rsidR="00A85763" w:rsidRPr="00F36FAA">
          <w:rPr>
            <w:rFonts w:asciiTheme="majorBidi" w:hAnsiTheme="majorBidi" w:cstheme="majorBidi"/>
            <w:sz w:val="24"/>
            <w:szCs w:val="24"/>
          </w:rPr>
          <w:t>http://faculty.insead.edu/fatas/fiscal.pdf</w:t>
        </w:r>
      </w:hyperlink>
      <w:r w:rsidRPr="00F36FAA">
        <w:rPr>
          <w:rFonts w:asciiTheme="majorBidi" w:hAnsiTheme="majorBidi" w:cstheme="majorBidi"/>
          <w:sz w:val="24"/>
          <w:szCs w:val="24"/>
        </w:rPr>
        <w:t>&gt;.</w:t>
      </w:r>
    </w:p>
    <w:p w14:paraId="0A3A6A62" w14:textId="77777777" w:rsidR="006D60D6" w:rsidRDefault="006D60D6" w:rsidP="00D75EF4">
      <w:pPr>
        <w:rPr>
          <w:rFonts w:asciiTheme="majorBidi" w:hAnsiTheme="majorBidi" w:cstheme="majorBidi"/>
          <w:sz w:val="24"/>
          <w:szCs w:val="24"/>
        </w:rPr>
      </w:pPr>
    </w:p>
    <w:p w14:paraId="7E0FDC88" w14:textId="77777777" w:rsidR="001A5CC5" w:rsidRPr="00F36FAA" w:rsidRDefault="00A85763" w:rsidP="00D75EF4">
      <w:pPr>
        <w:rPr>
          <w:rFonts w:asciiTheme="majorBidi" w:hAnsiTheme="majorBidi" w:cstheme="majorBidi"/>
          <w:sz w:val="24"/>
          <w:szCs w:val="24"/>
        </w:rPr>
      </w:pPr>
      <w:r w:rsidRPr="00F36FAA">
        <w:rPr>
          <w:rFonts w:asciiTheme="majorBidi" w:hAnsiTheme="majorBidi" w:cstheme="majorBidi"/>
          <w:sz w:val="24"/>
          <w:szCs w:val="24"/>
        </w:rPr>
        <w:lastRenderedPageBreak/>
        <w:t xml:space="preserve">Laubach, T 2007, ‘New evidence on the interest rate effects of budget deficits and debt’, US Federal Reserve Government, viewed 5 September 2016, </w:t>
      </w:r>
    </w:p>
    <w:p w14:paraId="418C50AE" w14:textId="77777777" w:rsidR="00A85763" w:rsidRPr="00F36FAA" w:rsidRDefault="00A85763" w:rsidP="00D75EF4">
      <w:pPr>
        <w:rPr>
          <w:rFonts w:asciiTheme="majorBidi" w:eastAsia="新細明體" w:hAnsiTheme="majorBidi" w:cstheme="majorBidi"/>
          <w:sz w:val="24"/>
          <w:szCs w:val="24"/>
          <w:lang w:eastAsia="zh-TW"/>
        </w:rPr>
      </w:pPr>
      <w:r w:rsidRPr="00F36FAA">
        <w:rPr>
          <w:rFonts w:asciiTheme="majorBidi" w:eastAsia="新細明體" w:hAnsiTheme="majorBidi" w:cstheme="majorBidi"/>
          <w:sz w:val="24"/>
          <w:szCs w:val="24"/>
          <w:lang w:eastAsia="zh-TW"/>
        </w:rPr>
        <w:t xml:space="preserve">&lt; </w:t>
      </w:r>
      <w:hyperlink r:id="rId18" w:history="1">
        <w:r w:rsidR="003C6F4D" w:rsidRPr="00F36FAA">
          <w:rPr>
            <w:rFonts w:asciiTheme="majorBidi" w:eastAsia="新細明體" w:hAnsiTheme="majorBidi" w:cstheme="majorBidi"/>
            <w:lang w:eastAsia="zh-TW"/>
          </w:rPr>
          <w:t>https://www.federalreserve.gov/pubs/feds/2003/200312/revision/200312pap.pdf</w:t>
        </w:r>
      </w:hyperlink>
      <w:r w:rsidRPr="00F36FAA">
        <w:rPr>
          <w:rFonts w:asciiTheme="majorBidi" w:eastAsia="新細明體" w:hAnsiTheme="majorBidi" w:cstheme="majorBidi"/>
          <w:sz w:val="24"/>
          <w:szCs w:val="24"/>
          <w:lang w:eastAsia="zh-TW"/>
        </w:rPr>
        <w:t>&gt;.</w:t>
      </w:r>
    </w:p>
    <w:p w14:paraId="3F00060B" w14:textId="77777777" w:rsidR="00DB2C9C" w:rsidRDefault="00DB2C9C" w:rsidP="00F36FAA">
      <w:pPr>
        <w:rPr>
          <w:rFonts w:asciiTheme="majorBidi" w:hAnsiTheme="majorBidi" w:cstheme="majorBidi"/>
          <w:sz w:val="24"/>
          <w:szCs w:val="24"/>
        </w:rPr>
      </w:pPr>
    </w:p>
    <w:p w14:paraId="7EF49DDF" w14:textId="77777777" w:rsidR="003C6F4D" w:rsidRDefault="003C6F4D" w:rsidP="00F36FAA">
      <w:pPr>
        <w:rPr>
          <w:rFonts w:asciiTheme="majorBidi" w:hAnsiTheme="majorBidi" w:cstheme="majorBidi"/>
          <w:sz w:val="24"/>
          <w:szCs w:val="24"/>
        </w:rPr>
      </w:pPr>
      <w:r w:rsidRPr="00F36FAA">
        <w:rPr>
          <w:rFonts w:asciiTheme="majorBidi" w:hAnsiTheme="majorBidi" w:cstheme="majorBidi"/>
          <w:sz w:val="24"/>
          <w:szCs w:val="24"/>
        </w:rPr>
        <w:t xml:space="preserve">Mankiw, NG &amp; </w:t>
      </w:r>
      <w:proofErr w:type="spellStart"/>
      <w:r w:rsidRPr="00F36FAA">
        <w:rPr>
          <w:rFonts w:asciiTheme="majorBidi" w:hAnsiTheme="majorBidi" w:cstheme="majorBidi"/>
          <w:sz w:val="24"/>
          <w:szCs w:val="24"/>
        </w:rPr>
        <w:t>Weinzierl</w:t>
      </w:r>
      <w:proofErr w:type="spellEnd"/>
      <w:r w:rsidRPr="00F36FAA">
        <w:rPr>
          <w:rFonts w:asciiTheme="majorBidi" w:hAnsiTheme="majorBidi" w:cstheme="majorBidi"/>
          <w:sz w:val="24"/>
          <w:szCs w:val="24"/>
        </w:rPr>
        <w:t xml:space="preserve"> M 2011, ‘An </w:t>
      </w:r>
      <w:r w:rsidR="00F36FAA">
        <w:rPr>
          <w:rFonts w:asciiTheme="majorBidi" w:hAnsiTheme="majorBidi" w:cstheme="majorBidi"/>
          <w:sz w:val="24"/>
          <w:szCs w:val="24"/>
        </w:rPr>
        <w:t>e</w:t>
      </w:r>
      <w:r w:rsidRPr="00F36FAA">
        <w:rPr>
          <w:rFonts w:asciiTheme="majorBidi" w:hAnsiTheme="majorBidi" w:cstheme="majorBidi"/>
          <w:sz w:val="24"/>
          <w:szCs w:val="24"/>
        </w:rPr>
        <w:t xml:space="preserve">xploration of </w:t>
      </w:r>
      <w:r w:rsidR="00F36FAA">
        <w:rPr>
          <w:rFonts w:asciiTheme="majorBidi" w:hAnsiTheme="majorBidi" w:cstheme="majorBidi"/>
          <w:sz w:val="24"/>
          <w:szCs w:val="24"/>
        </w:rPr>
        <w:t>o</w:t>
      </w:r>
      <w:r w:rsidRPr="00F36FAA">
        <w:rPr>
          <w:rFonts w:asciiTheme="majorBidi" w:hAnsiTheme="majorBidi" w:cstheme="majorBidi"/>
          <w:sz w:val="24"/>
          <w:szCs w:val="24"/>
        </w:rPr>
        <w:t xml:space="preserve">ptimal </w:t>
      </w:r>
      <w:r w:rsidR="00F36FAA">
        <w:rPr>
          <w:rFonts w:asciiTheme="majorBidi" w:hAnsiTheme="majorBidi" w:cstheme="majorBidi"/>
          <w:sz w:val="24"/>
          <w:szCs w:val="24"/>
        </w:rPr>
        <w:t>s</w:t>
      </w:r>
      <w:r w:rsidRPr="00F36FAA">
        <w:rPr>
          <w:rFonts w:asciiTheme="majorBidi" w:hAnsiTheme="majorBidi" w:cstheme="majorBidi"/>
          <w:sz w:val="24"/>
          <w:szCs w:val="24"/>
        </w:rPr>
        <w:t xml:space="preserve">tabilization </w:t>
      </w:r>
      <w:r w:rsidR="00F36FAA">
        <w:rPr>
          <w:rFonts w:asciiTheme="majorBidi" w:hAnsiTheme="majorBidi" w:cstheme="majorBidi"/>
          <w:sz w:val="24"/>
          <w:szCs w:val="24"/>
        </w:rPr>
        <w:t>p</w:t>
      </w:r>
      <w:r w:rsidRPr="00F36FAA">
        <w:rPr>
          <w:rFonts w:asciiTheme="majorBidi" w:hAnsiTheme="majorBidi" w:cstheme="majorBidi"/>
          <w:sz w:val="24"/>
          <w:szCs w:val="24"/>
        </w:rPr>
        <w:t xml:space="preserve">olicy’, </w:t>
      </w:r>
      <w:r w:rsidRPr="00F36FAA">
        <w:rPr>
          <w:rFonts w:asciiTheme="majorBidi" w:hAnsiTheme="majorBidi" w:cstheme="majorBidi"/>
          <w:i/>
          <w:iCs/>
          <w:sz w:val="24"/>
          <w:szCs w:val="24"/>
        </w:rPr>
        <w:t>Brookings Papers on Economic Activity</w:t>
      </w:r>
      <w:r w:rsidRPr="00F36FAA">
        <w:rPr>
          <w:rFonts w:asciiTheme="majorBidi" w:hAnsiTheme="majorBidi" w:cstheme="majorBidi"/>
          <w:sz w:val="24"/>
          <w:szCs w:val="24"/>
        </w:rPr>
        <w:t>, Spring 2011.</w:t>
      </w:r>
    </w:p>
    <w:p w14:paraId="095977F7" w14:textId="77777777" w:rsidR="00EF6747" w:rsidRDefault="00EF6747" w:rsidP="00F36FAA">
      <w:pPr>
        <w:rPr>
          <w:rFonts w:asciiTheme="majorBidi" w:hAnsiTheme="majorBidi" w:cstheme="majorBidi"/>
          <w:sz w:val="24"/>
          <w:szCs w:val="24"/>
        </w:rPr>
      </w:pPr>
    </w:p>
    <w:p w14:paraId="485BED43" w14:textId="77777777" w:rsidR="00EF6747" w:rsidRPr="00F36FAA" w:rsidRDefault="00EF6747" w:rsidP="00EF6747">
      <w:pPr>
        <w:rPr>
          <w:rFonts w:asciiTheme="majorBidi" w:eastAsia="新細明體" w:hAnsiTheme="majorBidi" w:cstheme="majorBidi"/>
          <w:sz w:val="24"/>
          <w:szCs w:val="24"/>
          <w:lang w:eastAsia="zh-TW"/>
        </w:rPr>
      </w:pPr>
      <w:r w:rsidRPr="00F36FAA">
        <w:rPr>
          <w:rFonts w:asciiTheme="majorBidi" w:eastAsia="新細明體" w:hAnsiTheme="majorBidi" w:cstheme="majorBidi"/>
          <w:sz w:val="24"/>
          <w:szCs w:val="24"/>
          <w:lang w:eastAsia="zh-TW"/>
        </w:rPr>
        <w:t>McDermott, CJ &amp; Wescott</w:t>
      </w:r>
      <w:r>
        <w:rPr>
          <w:rFonts w:asciiTheme="majorBidi" w:eastAsia="新細明體" w:hAnsiTheme="majorBidi" w:cstheme="majorBidi"/>
          <w:sz w:val="24"/>
          <w:szCs w:val="24"/>
          <w:lang w:eastAsia="zh-TW"/>
        </w:rPr>
        <w:t>,</w:t>
      </w:r>
      <w:r w:rsidRPr="00F36FAA">
        <w:rPr>
          <w:rFonts w:asciiTheme="majorBidi" w:eastAsia="新細明體" w:hAnsiTheme="majorBidi" w:cstheme="majorBidi"/>
          <w:sz w:val="24"/>
          <w:szCs w:val="24"/>
          <w:lang w:eastAsia="zh-TW"/>
        </w:rPr>
        <w:t xml:space="preserve"> RF 1996, ‘Fiscal reforms that work’, IMF, viewed 20 August 2016,</w:t>
      </w:r>
    </w:p>
    <w:p w14:paraId="09A9F577" w14:textId="77777777" w:rsidR="00EF6747" w:rsidRPr="003C5823" w:rsidRDefault="00EF6747" w:rsidP="00EF6747">
      <w:pPr>
        <w:rPr>
          <w:rFonts w:asciiTheme="majorBidi" w:hAnsiTheme="majorBidi" w:cstheme="majorBidi"/>
          <w:sz w:val="24"/>
          <w:szCs w:val="24"/>
        </w:rPr>
      </w:pPr>
      <w:r w:rsidRPr="003C5823">
        <w:rPr>
          <w:rFonts w:asciiTheme="majorBidi" w:hAnsiTheme="majorBidi" w:cstheme="majorBidi"/>
          <w:sz w:val="24"/>
          <w:szCs w:val="24"/>
        </w:rPr>
        <w:t>&lt;</w:t>
      </w:r>
      <w:r w:rsidRPr="00F36FAA">
        <w:rPr>
          <w:rFonts w:asciiTheme="majorBidi" w:hAnsiTheme="majorBidi" w:cstheme="majorBidi"/>
          <w:sz w:val="24"/>
          <w:szCs w:val="24"/>
        </w:rPr>
        <w:t xml:space="preserve"> </w:t>
      </w:r>
      <w:hyperlink r:id="rId19" w:history="1">
        <w:r w:rsidR="003C5823" w:rsidRPr="003C5823">
          <w:t>http://www.imf.org/external/pubs/ft/issues4/issue4.pdf</w:t>
        </w:r>
      </w:hyperlink>
      <w:r w:rsidRPr="003C5823">
        <w:rPr>
          <w:rFonts w:asciiTheme="majorBidi" w:hAnsiTheme="majorBidi" w:cstheme="majorBidi"/>
          <w:sz w:val="24"/>
          <w:szCs w:val="24"/>
        </w:rPr>
        <w:t>&gt;.</w:t>
      </w:r>
    </w:p>
    <w:p w14:paraId="583A8CB4" w14:textId="77777777" w:rsidR="003C5823" w:rsidRDefault="003C5823" w:rsidP="00EF6747">
      <w:pPr>
        <w:rPr>
          <w:rFonts w:asciiTheme="majorBidi" w:eastAsia="新細明體" w:hAnsiTheme="majorBidi" w:cstheme="majorBidi"/>
          <w:sz w:val="24"/>
          <w:szCs w:val="24"/>
          <w:lang w:eastAsia="zh-TW"/>
        </w:rPr>
      </w:pPr>
    </w:p>
    <w:p w14:paraId="5934B140" w14:textId="77777777" w:rsidR="003C5823" w:rsidRPr="003E4415" w:rsidRDefault="003C5823" w:rsidP="003C5823">
      <w:pPr>
        <w:rPr>
          <w:rFonts w:asciiTheme="majorBidi" w:eastAsia="新細明體" w:hAnsiTheme="majorBidi" w:cstheme="majorBidi"/>
          <w:sz w:val="24"/>
          <w:szCs w:val="24"/>
          <w:lang w:eastAsia="zh-TW"/>
        </w:rPr>
      </w:pPr>
      <w:proofErr w:type="spellStart"/>
      <w:r>
        <w:rPr>
          <w:rFonts w:asciiTheme="majorBidi" w:eastAsia="新細明體" w:hAnsiTheme="majorBidi" w:cstheme="majorBidi"/>
          <w:sz w:val="24"/>
          <w:szCs w:val="24"/>
          <w:lang w:eastAsia="zh-TW"/>
        </w:rPr>
        <w:t>Mckibbin</w:t>
      </w:r>
      <w:proofErr w:type="spellEnd"/>
      <w:r>
        <w:rPr>
          <w:rFonts w:asciiTheme="majorBidi" w:eastAsia="新細明體" w:hAnsiTheme="majorBidi" w:cstheme="majorBidi"/>
          <w:sz w:val="24"/>
          <w:szCs w:val="24"/>
          <w:lang w:eastAsia="zh-TW"/>
        </w:rPr>
        <w:t xml:space="preserve">, WJ &amp; </w:t>
      </w:r>
      <w:proofErr w:type="spellStart"/>
      <w:r>
        <w:rPr>
          <w:rFonts w:asciiTheme="majorBidi" w:eastAsia="新細明體" w:hAnsiTheme="majorBidi" w:cstheme="majorBidi"/>
          <w:sz w:val="24"/>
          <w:szCs w:val="24"/>
          <w:lang w:eastAsia="zh-TW"/>
        </w:rPr>
        <w:t>Wilcoxen</w:t>
      </w:r>
      <w:proofErr w:type="spellEnd"/>
      <w:r>
        <w:rPr>
          <w:rFonts w:asciiTheme="majorBidi" w:eastAsia="新細明體" w:hAnsiTheme="majorBidi" w:cstheme="majorBidi"/>
          <w:sz w:val="24"/>
          <w:szCs w:val="24"/>
          <w:lang w:eastAsia="zh-TW"/>
        </w:rPr>
        <w:t xml:space="preserve"> PJ 1998, ‘</w:t>
      </w:r>
      <w:r w:rsidRPr="003E4415">
        <w:rPr>
          <w:rFonts w:asciiTheme="majorBidi" w:eastAsia="新細明體" w:hAnsiTheme="majorBidi" w:cstheme="majorBidi"/>
          <w:sz w:val="24"/>
          <w:szCs w:val="24"/>
          <w:lang w:eastAsia="zh-TW"/>
        </w:rPr>
        <w:t>The theoretical and empirical structure of the G-Cubed model’, viewed 20 August 2016,</w:t>
      </w:r>
    </w:p>
    <w:p w14:paraId="5580D89D" w14:textId="77777777" w:rsidR="003C5823" w:rsidRPr="00F36FAA" w:rsidRDefault="003C5823" w:rsidP="003C5823">
      <w:pPr>
        <w:rPr>
          <w:rFonts w:asciiTheme="majorBidi" w:eastAsia="新細明體" w:hAnsiTheme="majorBidi" w:cstheme="majorBidi"/>
          <w:sz w:val="24"/>
          <w:szCs w:val="24"/>
          <w:lang w:eastAsia="zh-TW"/>
        </w:rPr>
      </w:pPr>
      <w:r>
        <w:rPr>
          <w:rFonts w:asciiTheme="majorBidi" w:hAnsiTheme="majorBidi" w:cstheme="majorBidi"/>
          <w:sz w:val="24"/>
          <w:szCs w:val="24"/>
        </w:rPr>
        <w:t>&lt;</w:t>
      </w:r>
      <w:r w:rsidRPr="003C5823">
        <w:t xml:space="preserve"> </w:t>
      </w:r>
      <w:r w:rsidRPr="003C5823">
        <w:rPr>
          <w:rFonts w:asciiTheme="majorBidi" w:hAnsiTheme="majorBidi" w:cstheme="majorBidi"/>
          <w:sz w:val="24"/>
          <w:szCs w:val="24"/>
        </w:rPr>
        <w:t>http://www.insightworks.com/models/gcubed/struct32.pdf</w:t>
      </w:r>
      <w:r>
        <w:rPr>
          <w:rFonts w:asciiTheme="majorBidi" w:hAnsiTheme="majorBidi" w:cstheme="majorBidi"/>
          <w:sz w:val="24"/>
          <w:szCs w:val="24"/>
        </w:rPr>
        <w:t>&gt;.</w:t>
      </w:r>
    </w:p>
    <w:p w14:paraId="4B02DC3F" w14:textId="77777777" w:rsidR="00EF6747" w:rsidRPr="00F36FAA" w:rsidRDefault="00EF6747" w:rsidP="00EF6747">
      <w:pPr>
        <w:rPr>
          <w:rFonts w:asciiTheme="majorBidi" w:eastAsia="新細明體" w:hAnsiTheme="majorBidi" w:cstheme="majorBidi"/>
          <w:sz w:val="24"/>
          <w:szCs w:val="24"/>
          <w:lang w:eastAsia="zh-TW"/>
        </w:rPr>
      </w:pPr>
    </w:p>
    <w:p w14:paraId="47C8353A" w14:textId="77777777" w:rsidR="00EF6747" w:rsidRPr="00620328" w:rsidRDefault="00EF6747" w:rsidP="00620328">
      <w:pPr>
        <w:rPr>
          <w:rFonts w:asciiTheme="majorBidi" w:eastAsia="新細明體" w:hAnsiTheme="majorBidi" w:cstheme="majorBidi"/>
          <w:sz w:val="24"/>
          <w:szCs w:val="24"/>
          <w:lang w:eastAsia="zh-TW"/>
        </w:rPr>
      </w:pPr>
      <w:proofErr w:type="spellStart"/>
      <w:r w:rsidRPr="00F36FAA">
        <w:rPr>
          <w:rFonts w:asciiTheme="majorBidi" w:hAnsiTheme="majorBidi" w:cstheme="majorBidi"/>
          <w:sz w:val="24"/>
          <w:szCs w:val="24"/>
        </w:rPr>
        <w:t>Mckibbin</w:t>
      </w:r>
      <w:proofErr w:type="spellEnd"/>
      <w:r w:rsidRPr="00F36FAA">
        <w:rPr>
          <w:rFonts w:asciiTheme="majorBidi" w:hAnsiTheme="majorBidi" w:cstheme="majorBidi"/>
          <w:sz w:val="24"/>
          <w:szCs w:val="24"/>
        </w:rPr>
        <w:t xml:space="preserve">, WJ &amp; </w:t>
      </w:r>
      <w:proofErr w:type="spellStart"/>
      <w:r w:rsidRPr="00F36FAA">
        <w:rPr>
          <w:rFonts w:asciiTheme="majorBidi" w:hAnsiTheme="majorBidi" w:cstheme="majorBidi"/>
          <w:sz w:val="24"/>
          <w:szCs w:val="24"/>
        </w:rPr>
        <w:t>Stoeckel</w:t>
      </w:r>
      <w:proofErr w:type="spellEnd"/>
      <w:r w:rsidRPr="00F36FAA">
        <w:rPr>
          <w:rFonts w:asciiTheme="majorBidi" w:hAnsiTheme="majorBidi" w:cstheme="majorBidi"/>
          <w:sz w:val="24"/>
          <w:szCs w:val="24"/>
        </w:rPr>
        <w:t>, AB 201</w:t>
      </w:r>
      <w:r w:rsidR="00FF7F90">
        <w:rPr>
          <w:rFonts w:asciiTheme="majorBidi" w:hAnsiTheme="majorBidi" w:cstheme="majorBidi"/>
          <w:sz w:val="24"/>
          <w:szCs w:val="24"/>
        </w:rPr>
        <w:t>2</w:t>
      </w:r>
      <w:r w:rsidRPr="00F36FAA">
        <w:rPr>
          <w:rFonts w:asciiTheme="majorBidi" w:hAnsiTheme="majorBidi" w:cstheme="majorBidi"/>
          <w:sz w:val="24"/>
          <w:szCs w:val="24"/>
        </w:rPr>
        <w:t>, ‘Global fiscal consolidation’</w:t>
      </w:r>
      <w:r w:rsidRPr="00620328">
        <w:rPr>
          <w:rFonts w:asciiTheme="majorBidi" w:eastAsia="新細明體" w:hAnsiTheme="majorBidi" w:cstheme="majorBidi"/>
          <w:sz w:val="24"/>
          <w:szCs w:val="24"/>
          <w:lang w:eastAsia="zh-TW"/>
        </w:rPr>
        <w:t xml:space="preserve">, </w:t>
      </w:r>
      <w:r w:rsidR="00620328" w:rsidRPr="00620328">
        <w:rPr>
          <w:rFonts w:asciiTheme="majorBidi" w:eastAsia="新細明體" w:hAnsiTheme="majorBidi" w:cstheme="majorBidi"/>
          <w:i/>
          <w:iCs/>
          <w:sz w:val="24"/>
          <w:szCs w:val="24"/>
          <w:lang w:eastAsia="zh-TW"/>
        </w:rPr>
        <w:t>Asian Economic Papers</w:t>
      </w:r>
      <w:r w:rsidR="00620328" w:rsidRPr="00620328">
        <w:rPr>
          <w:rFonts w:asciiTheme="majorBidi" w:eastAsia="新細明體" w:hAnsiTheme="majorBidi" w:cstheme="majorBidi"/>
          <w:sz w:val="24"/>
          <w:szCs w:val="24"/>
          <w:lang w:eastAsia="zh-TW"/>
        </w:rPr>
        <w:t>, Vol 11, No 1, pp. 124-146.</w:t>
      </w:r>
    </w:p>
    <w:p w14:paraId="66AED1D4" w14:textId="77777777" w:rsidR="00620328" w:rsidRDefault="00620328" w:rsidP="00620328">
      <w:pPr>
        <w:rPr>
          <w:rFonts w:asciiTheme="majorBidi" w:hAnsiTheme="majorBidi" w:cstheme="majorBidi"/>
          <w:sz w:val="24"/>
          <w:szCs w:val="24"/>
        </w:rPr>
      </w:pPr>
    </w:p>
    <w:p w14:paraId="5BB49119" w14:textId="77777777" w:rsidR="00DE3D39" w:rsidRDefault="00DE3D39" w:rsidP="00DE3D39">
      <w:pPr>
        <w:rPr>
          <w:rFonts w:asciiTheme="majorBidi" w:hAnsiTheme="majorBidi" w:cstheme="majorBidi"/>
          <w:sz w:val="24"/>
          <w:szCs w:val="24"/>
        </w:rPr>
      </w:pPr>
      <w:proofErr w:type="spellStart"/>
      <w:r>
        <w:rPr>
          <w:rFonts w:asciiTheme="majorBidi" w:hAnsiTheme="majorBidi" w:cstheme="majorBidi"/>
          <w:sz w:val="24"/>
          <w:szCs w:val="24"/>
        </w:rPr>
        <w:t>Mckibbin</w:t>
      </w:r>
      <w:proofErr w:type="spellEnd"/>
      <w:r>
        <w:rPr>
          <w:rFonts w:asciiTheme="majorBidi" w:hAnsiTheme="majorBidi" w:cstheme="majorBidi"/>
          <w:sz w:val="24"/>
          <w:szCs w:val="24"/>
        </w:rPr>
        <w:t>, WJ &amp; Vines, D 2000, ‘</w:t>
      </w:r>
      <w:hyperlink r:id="rId20" w:history="1">
        <w:r w:rsidRPr="00DE3D39">
          <w:rPr>
            <w:rFonts w:asciiTheme="majorBidi" w:hAnsiTheme="majorBidi" w:cstheme="majorBidi"/>
            <w:sz w:val="24"/>
            <w:szCs w:val="24"/>
          </w:rPr>
          <w:t xml:space="preserve">'Modelling </w:t>
        </w:r>
        <w:r>
          <w:rPr>
            <w:rFonts w:asciiTheme="majorBidi" w:hAnsiTheme="majorBidi" w:cstheme="majorBidi"/>
            <w:sz w:val="24"/>
            <w:szCs w:val="24"/>
          </w:rPr>
          <w:t>r</w:t>
        </w:r>
        <w:r w:rsidRPr="00DE3D39">
          <w:rPr>
            <w:rFonts w:asciiTheme="majorBidi" w:hAnsiTheme="majorBidi" w:cstheme="majorBidi"/>
            <w:sz w:val="24"/>
            <w:szCs w:val="24"/>
          </w:rPr>
          <w:t xml:space="preserve">eality: The </w:t>
        </w:r>
        <w:r>
          <w:rPr>
            <w:rFonts w:asciiTheme="majorBidi" w:hAnsiTheme="majorBidi" w:cstheme="majorBidi"/>
            <w:sz w:val="24"/>
            <w:szCs w:val="24"/>
          </w:rPr>
          <w:t>n</w:t>
        </w:r>
        <w:r w:rsidRPr="00DE3D39">
          <w:rPr>
            <w:rFonts w:asciiTheme="majorBidi" w:hAnsiTheme="majorBidi" w:cstheme="majorBidi"/>
            <w:sz w:val="24"/>
            <w:szCs w:val="24"/>
          </w:rPr>
          <w:t xml:space="preserve">eed for </w:t>
        </w:r>
        <w:r>
          <w:rPr>
            <w:rFonts w:asciiTheme="majorBidi" w:hAnsiTheme="majorBidi" w:cstheme="majorBidi"/>
            <w:sz w:val="24"/>
            <w:szCs w:val="24"/>
          </w:rPr>
          <w:t>b</w:t>
        </w:r>
        <w:r w:rsidRPr="00DE3D39">
          <w:rPr>
            <w:rFonts w:asciiTheme="majorBidi" w:hAnsiTheme="majorBidi" w:cstheme="majorBidi"/>
            <w:sz w:val="24"/>
            <w:szCs w:val="24"/>
          </w:rPr>
          <w:t xml:space="preserve">oth </w:t>
        </w:r>
        <w:r>
          <w:rPr>
            <w:rFonts w:asciiTheme="majorBidi" w:hAnsiTheme="majorBidi" w:cstheme="majorBidi"/>
            <w:sz w:val="24"/>
            <w:szCs w:val="24"/>
          </w:rPr>
          <w:t>i</w:t>
        </w:r>
        <w:r w:rsidRPr="00DE3D39">
          <w:rPr>
            <w:rFonts w:asciiTheme="majorBidi" w:hAnsiTheme="majorBidi" w:cstheme="majorBidi"/>
            <w:sz w:val="24"/>
            <w:szCs w:val="24"/>
          </w:rPr>
          <w:t xml:space="preserve">ntertemporal </w:t>
        </w:r>
        <w:r>
          <w:rPr>
            <w:rFonts w:asciiTheme="majorBidi" w:hAnsiTheme="majorBidi" w:cstheme="majorBidi"/>
            <w:sz w:val="24"/>
            <w:szCs w:val="24"/>
          </w:rPr>
          <w:t>o</w:t>
        </w:r>
        <w:r w:rsidRPr="00DE3D39">
          <w:rPr>
            <w:rFonts w:asciiTheme="majorBidi" w:hAnsiTheme="majorBidi" w:cstheme="majorBidi"/>
            <w:sz w:val="24"/>
            <w:szCs w:val="24"/>
          </w:rPr>
          <w:t xml:space="preserve">ptimization and </w:t>
        </w:r>
        <w:r>
          <w:rPr>
            <w:rFonts w:asciiTheme="majorBidi" w:hAnsiTheme="majorBidi" w:cstheme="majorBidi"/>
            <w:sz w:val="24"/>
            <w:szCs w:val="24"/>
          </w:rPr>
          <w:t>s</w:t>
        </w:r>
        <w:r w:rsidRPr="00DE3D39">
          <w:rPr>
            <w:rFonts w:asciiTheme="majorBidi" w:hAnsiTheme="majorBidi" w:cstheme="majorBidi"/>
            <w:sz w:val="24"/>
            <w:szCs w:val="24"/>
          </w:rPr>
          <w:t xml:space="preserve">tickiness in </w:t>
        </w:r>
        <w:r>
          <w:rPr>
            <w:rFonts w:asciiTheme="majorBidi" w:hAnsiTheme="majorBidi" w:cstheme="majorBidi"/>
            <w:sz w:val="24"/>
            <w:szCs w:val="24"/>
          </w:rPr>
          <w:t>m</w:t>
        </w:r>
        <w:r w:rsidRPr="00DE3D39">
          <w:rPr>
            <w:rFonts w:asciiTheme="majorBidi" w:hAnsiTheme="majorBidi" w:cstheme="majorBidi"/>
            <w:sz w:val="24"/>
            <w:szCs w:val="24"/>
          </w:rPr>
          <w:t xml:space="preserve">odels for </w:t>
        </w:r>
        <w:r>
          <w:rPr>
            <w:rFonts w:asciiTheme="majorBidi" w:hAnsiTheme="majorBidi" w:cstheme="majorBidi"/>
            <w:sz w:val="24"/>
            <w:szCs w:val="24"/>
          </w:rPr>
          <w:t>p</w:t>
        </w:r>
        <w:r w:rsidRPr="00DE3D39">
          <w:rPr>
            <w:rFonts w:asciiTheme="majorBidi" w:hAnsiTheme="majorBidi" w:cstheme="majorBidi"/>
            <w:sz w:val="24"/>
            <w:szCs w:val="24"/>
          </w:rPr>
          <w:t xml:space="preserve">olicymaking', </w:t>
        </w:r>
        <w:r w:rsidRPr="00DE3D39">
          <w:rPr>
            <w:rFonts w:asciiTheme="majorBidi" w:hAnsiTheme="majorBidi" w:cstheme="majorBidi"/>
            <w:i/>
            <w:iCs/>
            <w:sz w:val="24"/>
            <w:szCs w:val="24"/>
          </w:rPr>
          <w:t>Oxford Review of Economic Policy</w:t>
        </w:r>
        <w:r w:rsidRPr="00DE3D39">
          <w:rPr>
            <w:rFonts w:asciiTheme="majorBidi" w:hAnsiTheme="majorBidi" w:cstheme="majorBidi"/>
            <w:sz w:val="24"/>
            <w:szCs w:val="24"/>
          </w:rPr>
          <w:t>, vol. 16, no. 4, pp. 106-137.</w:t>
        </w:r>
      </w:hyperlink>
    </w:p>
    <w:p w14:paraId="392F592E" w14:textId="77777777" w:rsidR="00DE3D39" w:rsidRPr="00F36FAA" w:rsidRDefault="00DE3D39" w:rsidP="00620328">
      <w:pPr>
        <w:rPr>
          <w:rFonts w:asciiTheme="majorBidi" w:hAnsiTheme="majorBidi" w:cstheme="majorBidi"/>
          <w:sz w:val="24"/>
          <w:szCs w:val="24"/>
        </w:rPr>
      </w:pPr>
    </w:p>
    <w:p w14:paraId="687CFF2B" w14:textId="77777777" w:rsidR="00A85763" w:rsidRDefault="00D16A7F" w:rsidP="00F36FAA">
      <w:pPr>
        <w:rPr>
          <w:rFonts w:asciiTheme="majorBidi" w:hAnsiTheme="majorBidi" w:cstheme="majorBidi"/>
          <w:sz w:val="24"/>
          <w:szCs w:val="24"/>
        </w:rPr>
      </w:pPr>
      <w:proofErr w:type="spellStart"/>
      <w:r w:rsidRPr="00F36FAA">
        <w:rPr>
          <w:rFonts w:asciiTheme="majorBidi" w:eastAsia="新細明體" w:hAnsiTheme="majorBidi" w:cstheme="majorBidi"/>
          <w:sz w:val="24"/>
          <w:szCs w:val="24"/>
          <w:lang w:eastAsia="zh-TW"/>
        </w:rPr>
        <w:t>Perotti</w:t>
      </w:r>
      <w:proofErr w:type="spellEnd"/>
      <w:r w:rsidRPr="00F36FAA">
        <w:rPr>
          <w:rFonts w:asciiTheme="majorBidi" w:eastAsia="新細明體" w:hAnsiTheme="majorBidi" w:cstheme="majorBidi"/>
          <w:sz w:val="24"/>
          <w:szCs w:val="24"/>
          <w:lang w:eastAsia="zh-TW"/>
        </w:rPr>
        <w:t>, R 1999, ‘</w:t>
      </w:r>
      <w:r w:rsidRPr="00F36FAA">
        <w:rPr>
          <w:rFonts w:asciiTheme="majorBidi" w:hAnsiTheme="majorBidi" w:cstheme="majorBidi"/>
          <w:sz w:val="24"/>
          <w:szCs w:val="24"/>
        </w:rPr>
        <w:t>F</w:t>
      </w:r>
      <w:r w:rsidR="00F36FAA">
        <w:rPr>
          <w:rFonts w:asciiTheme="majorBidi" w:hAnsiTheme="majorBidi" w:cstheme="majorBidi"/>
          <w:sz w:val="24"/>
          <w:szCs w:val="24"/>
        </w:rPr>
        <w:t>iscal policy in good times and bad’</w:t>
      </w:r>
      <w:r w:rsidRPr="00F36FAA">
        <w:rPr>
          <w:rFonts w:asciiTheme="majorBidi" w:hAnsiTheme="majorBidi" w:cstheme="majorBidi"/>
          <w:sz w:val="24"/>
          <w:szCs w:val="24"/>
        </w:rPr>
        <w:t xml:space="preserve">, </w:t>
      </w:r>
      <w:r w:rsidRPr="00F36FAA">
        <w:rPr>
          <w:rFonts w:asciiTheme="majorBidi" w:hAnsiTheme="majorBidi" w:cstheme="majorBidi"/>
          <w:i/>
          <w:iCs/>
          <w:sz w:val="24"/>
          <w:szCs w:val="24"/>
        </w:rPr>
        <w:t>The Quarterly Journal of Economics</w:t>
      </w:r>
      <w:r w:rsidRPr="00F36FAA">
        <w:rPr>
          <w:rFonts w:asciiTheme="majorBidi" w:hAnsiTheme="majorBidi" w:cstheme="majorBidi"/>
          <w:sz w:val="24"/>
          <w:szCs w:val="24"/>
        </w:rPr>
        <w:t>, November 1999.</w:t>
      </w:r>
    </w:p>
    <w:p w14:paraId="1E55FD13" w14:textId="77777777" w:rsidR="000B1953" w:rsidRDefault="000B1953" w:rsidP="00F36FAA">
      <w:pPr>
        <w:rPr>
          <w:rFonts w:asciiTheme="majorBidi" w:hAnsiTheme="majorBidi" w:cstheme="majorBidi"/>
          <w:sz w:val="24"/>
          <w:szCs w:val="24"/>
        </w:rPr>
      </w:pPr>
    </w:p>
    <w:p w14:paraId="63DA7D52" w14:textId="77777777" w:rsidR="000B1953" w:rsidRPr="000B1953" w:rsidRDefault="000B1953" w:rsidP="00F36FAA">
      <w:pPr>
        <w:rPr>
          <w:rFonts w:asciiTheme="majorBidi" w:hAnsiTheme="majorBidi" w:cstheme="majorBidi"/>
          <w:sz w:val="24"/>
          <w:szCs w:val="24"/>
        </w:rPr>
      </w:pPr>
      <w:proofErr w:type="spellStart"/>
      <w:r>
        <w:rPr>
          <w:rFonts w:asciiTheme="majorBidi" w:hAnsiTheme="majorBidi" w:cstheme="majorBidi"/>
          <w:sz w:val="24"/>
          <w:szCs w:val="24"/>
        </w:rPr>
        <w:t>Pezzy</w:t>
      </w:r>
      <w:proofErr w:type="spellEnd"/>
      <w:r>
        <w:rPr>
          <w:rFonts w:asciiTheme="majorBidi" w:hAnsiTheme="majorBidi" w:cstheme="majorBidi"/>
          <w:sz w:val="24"/>
          <w:szCs w:val="24"/>
        </w:rPr>
        <w:t>, J &amp; Lambie, R 2001, ‘</w:t>
      </w:r>
      <w:r w:rsidRPr="000B1953">
        <w:rPr>
          <w:rFonts w:asciiTheme="majorBidi" w:hAnsiTheme="majorBidi" w:cstheme="majorBidi"/>
          <w:sz w:val="24"/>
          <w:szCs w:val="24"/>
        </w:rPr>
        <w:t xml:space="preserve">Computable general equilibrium models for evaluating domestic greenhouse policies in Australia: A comparative analysis, Report to the Productivity Commission. , </w:t>
      </w:r>
      <w:proofErr w:type="spellStart"/>
      <w:r w:rsidRPr="000B1953">
        <w:rPr>
          <w:rFonts w:asciiTheme="majorBidi" w:hAnsiTheme="majorBidi" w:cstheme="majorBidi"/>
          <w:sz w:val="24"/>
          <w:szCs w:val="24"/>
        </w:rPr>
        <w:t>AusInfo</w:t>
      </w:r>
      <w:proofErr w:type="spellEnd"/>
      <w:r w:rsidRPr="000B1953">
        <w:rPr>
          <w:rFonts w:asciiTheme="majorBidi" w:hAnsiTheme="majorBidi" w:cstheme="majorBidi"/>
          <w:sz w:val="24"/>
          <w:szCs w:val="24"/>
        </w:rPr>
        <w:t>, Canberra.</w:t>
      </w:r>
    </w:p>
    <w:p w14:paraId="50068E33" w14:textId="77777777" w:rsidR="00CC5ED1" w:rsidRPr="00F36FAA" w:rsidRDefault="00CC5ED1" w:rsidP="00D75EF4">
      <w:pPr>
        <w:rPr>
          <w:rFonts w:asciiTheme="majorBidi" w:eastAsia="新細明體" w:hAnsiTheme="majorBidi" w:cstheme="majorBidi"/>
          <w:sz w:val="24"/>
          <w:szCs w:val="24"/>
          <w:lang w:eastAsia="zh-TW"/>
        </w:rPr>
      </w:pPr>
    </w:p>
    <w:p w14:paraId="268A2B72" w14:textId="77777777" w:rsidR="000D3513" w:rsidRPr="00F36FAA" w:rsidRDefault="006101EE" w:rsidP="00D75EF4">
      <w:pPr>
        <w:rPr>
          <w:rFonts w:asciiTheme="majorBidi" w:hAnsiTheme="majorBidi" w:cstheme="majorBidi"/>
          <w:sz w:val="24"/>
          <w:szCs w:val="24"/>
        </w:rPr>
      </w:pPr>
      <w:r w:rsidRPr="00F36FAA">
        <w:rPr>
          <w:rFonts w:asciiTheme="majorBidi" w:hAnsiTheme="majorBidi" w:cstheme="majorBidi"/>
          <w:sz w:val="24"/>
          <w:szCs w:val="24"/>
        </w:rPr>
        <w:t>Romer, D</w:t>
      </w:r>
      <w:r w:rsidR="000D3513" w:rsidRPr="00F36FAA">
        <w:rPr>
          <w:rFonts w:asciiTheme="majorBidi" w:hAnsiTheme="majorBidi" w:cstheme="majorBidi"/>
          <w:sz w:val="24"/>
          <w:szCs w:val="24"/>
        </w:rPr>
        <w:t xml:space="preserve"> 2012, </w:t>
      </w:r>
      <w:r w:rsidR="000D3513" w:rsidRPr="00F36FAA">
        <w:rPr>
          <w:rFonts w:asciiTheme="majorBidi" w:hAnsiTheme="majorBidi" w:cstheme="majorBidi"/>
          <w:i/>
          <w:iCs/>
          <w:sz w:val="24"/>
          <w:szCs w:val="24"/>
        </w:rPr>
        <w:t>Advanced Macroeconomics</w:t>
      </w:r>
      <w:r w:rsidRPr="00F36FAA">
        <w:rPr>
          <w:rFonts w:asciiTheme="majorBidi" w:hAnsiTheme="majorBidi" w:cstheme="majorBidi"/>
          <w:sz w:val="24"/>
          <w:szCs w:val="24"/>
        </w:rPr>
        <w:t>,</w:t>
      </w:r>
      <w:r w:rsidR="000D3513" w:rsidRPr="00F36FAA">
        <w:rPr>
          <w:rFonts w:asciiTheme="majorBidi" w:hAnsiTheme="majorBidi" w:cstheme="majorBidi"/>
          <w:sz w:val="24"/>
          <w:szCs w:val="24"/>
        </w:rPr>
        <w:t xml:space="preserve"> Fourth Edition, McGraw-Hill Irwin</w:t>
      </w:r>
      <w:r w:rsidR="00E80801" w:rsidRPr="00F36FAA">
        <w:rPr>
          <w:rFonts w:asciiTheme="majorBidi" w:hAnsiTheme="majorBidi" w:cstheme="majorBidi"/>
          <w:sz w:val="24"/>
          <w:szCs w:val="24"/>
        </w:rPr>
        <w:t>.</w:t>
      </w:r>
    </w:p>
    <w:p w14:paraId="1DB183FE" w14:textId="77777777" w:rsidR="001A5CC5" w:rsidRPr="00F36FAA" w:rsidRDefault="001A5CC5" w:rsidP="00D75EF4">
      <w:pPr>
        <w:rPr>
          <w:rFonts w:asciiTheme="majorBidi" w:hAnsiTheme="majorBidi" w:cstheme="majorBidi"/>
          <w:sz w:val="24"/>
          <w:szCs w:val="24"/>
        </w:rPr>
      </w:pPr>
    </w:p>
    <w:p w14:paraId="3E215701" w14:textId="77777777" w:rsidR="001A5CC5" w:rsidRPr="0064077E" w:rsidRDefault="001A5CC5" w:rsidP="00D75EF4">
      <w:pPr>
        <w:rPr>
          <w:rFonts w:asciiTheme="majorBidi" w:hAnsiTheme="majorBidi" w:cstheme="majorBidi"/>
          <w:sz w:val="24"/>
          <w:szCs w:val="24"/>
        </w:rPr>
      </w:pPr>
    </w:p>
    <w:sectPr w:rsidR="001A5CC5" w:rsidRPr="0064077E" w:rsidSect="00D74123">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26818" w14:textId="77777777" w:rsidR="00805E20" w:rsidRDefault="00805E20" w:rsidP="00805E20">
      <w:pPr>
        <w:spacing w:after="0" w:line="240" w:lineRule="auto"/>
      </w:pPr>
      <w:r>
        <w:separator/>
      </w:r>
    </w:p>
  </w:endnote>
  <w:endnote w:type="continuationSeparator" w:id="0">
    <w:p w14:paraId="32E9FFB8" w14:textId="77777777" w:rsidR="00805E20" w:rsidRDefault="00805E20" w:rsidP="00805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467501"/>
      <w:docPartObj>
        <w:docPartGallery w:val="Page Numbers (Bottom of Page)"/>
        <w:docPartUnique/>
      </w:docPartObj>
    </w:sdtPr>
    <w:sdtEndPr>
      <w:rPr>
        <w:noProof/>
      </w:rPr>
    </w:sdtEndPr>
    <w:sdtContent>
      <w:p w14:paraId="731CF24A" w14:textId="77777777" w:rsidR="00ED114C" w:rsidRDefault="00C6250D">
        <w:pPr>
          <w:pStyle w:val="Footer"/>
          <w:jc w:val="center"/>
        </w:pPr>
        <w:r>
          <w:fldChar w:fldCharType="begin"/>
        </w:r>
        <w:r w:rsidR="00ED114C">
          <w:instrText xml:space="preserve"> PAGE   \* MERGEFORMAT </w:instrText>
        </w:r>
        <w:r>
          <w:fldChar w:fldCharType="separate"/>
        </w:r>
        <w:r w:rsidR="00CF48CE">
          <w:rPr>
            <w:noProof/>
          </w:rPr>
          <w:t>12</w:t>
        </w:r>
        <w:r>
          <w:rPr>
            <w:noProof/>
          </w:rPr>
          <w:fldChar w:fldCharType="end"/>
        </w:r>
      </w:p>
    </w:sdtContent>
  </w:sdt>
  <w:p w14:paraId="3887F339" w14:textId="77777777" w:rsidR="00ED114C" w:rsidRDefault="00ED1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4F62" w14:textId="77777777" w:rsidR="00805E20" w:rsidRDefault="00805E20" w:rsidP="00805E20">
      <w:pPr>
        <w:spacing w:after="0" w:line="240" w:lineRule="auto"/>
      </w:pPr>
      <w:r>
        <w:separator/>
      </w:r>
    </w:p>
  </w:footnote>
  <w:footnote w:type="continuationSeparator" w:id="0">
    <w:p w14:paraId="3AC7A8B7" w14:textId="77777777" w:rsidR="00805E20" w:rsidRDefault="00805E20" w:rsidP="00805E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936BAB"/>
    <w:rsid w:val="0000474B"/>
    <w:rsid w:val="000054BB"/>
    <w:rsid w:val="00005961"/>
    <w:rsid w:val="0000708A"/>
    <w:rsid w:val="00010411"/>
    <w:rsid w:val="0001093F"/>
    <w:rsid w:val="0001324D"/>
    <w:rsid w:val="00014F5B"/>
    <w:rsid w:val="00020C71"/>
    <w:rsid w:val="00030562"/>
    <w:rsid w:val="00030F7A"/>
    <w:rsid w:val="00033BE6"/>
    <w:rsid w:val="0003558B"/>
    <w:rsid w:val="00044D5C"/>
    <w:rsid w:val="00046C4A"/>
    <w:rsid w:val="0005108C"/>
    <w:rsid w:val="000524AC"/>
    <w:rsid w:val="00052CBF"/>
    <w:rsid w:val="0005630B"/>
    <w:rsid w:val="00057831"/>
    <w:rsid w:val="000612ED"/>
    <w:rsid w:val="00064667"/>
    <w:rsid w:val="000654AD"/>
    <w:rsid w:val="00066C37"/>
    <w:rsid w:val="000704AD"/>
    <w:rsid w:val="00073C36"/>
    <w:rsid w:val="0008501E"/>
    <w:rsid w:val="00085A03"/>
    <w:rsid w:val="0008604C"/>
    <w:rsid w:val="00096F11"/>
    <w:rsid w:val="000A0195"/>
    <w:rsid w:val="000A2169"/>
    <w:rsid w:val="000A2F07"/>
    <w:rsid w:val="000A3B0E"/>
    <w:rsid w:val="000A40D6"/>
    <w:rsid w:val="000A42CF"/>
    <w:rsid w:val="000A6485"/>
    <w:rsid w:val="000B1953"/>
    <w:rsid w:val="000B3D0A"/>
    <w:rsid w:val="000B669F"/>
    <w:rsid w:val="000C0F7D"/>
    <w:rsid w:val="000C1066"/>
    <w:rsid w:val="000C27D8"/>
    <w:rsid w:val="000C4919"/>
    <w:rsid w:val="000C5572"/>
    <w:rsid w:val="000C6D2C"/>
    <w:rsid w:val="000C6D9A"/>
    <w:rsid w:val="000D0800"/>
    <w:rsid w:val="000D1130"/>
    <w:rsid w:val="000D32CB"/>
    <w:rsid w:val="000D3513"/>
    <w:rsid w:val="000E7828"/>
    <w:rsid w:val="000E7950"/>
    <w:rsid w:val="000F2208"/>
    <w:rsid w:val="000F5FA9"/>
    <w:rsid w:val="000F698F"/>
    <w:rsid w:val="000F7733"/>
    <w:rsid w:val="00100D30"/>
    <w:rsid w:val="00101BCB"/>
    <w:rsid w:val="00101F89"/>
    <w:rsid w:val="00104D51"/>
    <w:rsid w:val="00104DA1"/>
    <w:rsid w:val="00107CF0"/>
    <w:rsid w:val="00113F49"/>
    <w:rsid w:val="00115211"/>
    <w:rsid w:val="00117251"/>
    <w:rsid w:val="00125C9B"/>
    <w:rsid w:val="001403CD"/>
    <w:rsid w:val="00140ECB"/>
    <w:rsid w:val="00142B10"/>
    <w:rsid w:val="00146422"/>
    <w:rsid w:val="001466B2"/>
    <w:rsid w:val="00146D9F"/>
    <w:rsid w:val="00154FBD"/>
    <w:rsid w:val="001603CE"/>
    <w:rsid w:val="001609C2"/>
    <w:rsid w:val="00160BFD"/>
    <w:rsid w:val="00160FD3"/>
    <w:rsid w:val="00161183"/>
    <w:rsid w:val="00162355"/>
    <w:rsid w:val="0016283F"/>
    <w:rsid w:val="001663DD"/>
    <w:rsid w:val="00166539"/>
    <w:rsid w:val="00167C8B"/>
    <w:rsid w:val="00171F52"/>
    <w:rsid w:val="00173B83"/>
    <w:rsid w:val="0017744F"/>
    <w:rsid w:val="00181E45"/>
    <w:rsid w:val="0018210E"/>
    <w:rsid w:val="00185715"/>
    <w:rsid w:val="00185B6D"/>
    <w:rsid w:val="00193235"/>
    <w:rsid w:val="001A1782"/>
    <w:rsid w:val="001A1E3F"/>
    <w:rsid w:val="001A2EE4"/>
    <w:rsid w:val="001A3F60"/>
    <w:rsid w:val="001A4BAF"/>
    <w:rsid w:val="001A5CC5"/>
    <w:rsid w:val="001A76AE"/>
    <w:rsid w:val="001C19CB"/>
    <w:rsid w:val="001C2472"/>
    <w:rsid w:val="001C384B"/>
    <w:rsid w:val="001E240A"/>
    <w:rsid w:val="001E2967"/>
    <w:rsid w:val="001E530C"/>
    <w:rsid w:val="001E60A7"/>
    <w:rsid w:val="001F2AC6"/>
    <w:rsid w:val="001F33DC"/>
    <w:rsid w:val="002025C1"/>
    <w:rsid w:val="002026E3"/>
    <w:rsid w:val="002032EF"/>
    <w:rsid w:val="002058D8"/>
    <w:rsid w:val="002073DF"/>
    <w:rsid w:val="00214768"/>
    <w:rsid w:val="0022366A"/>
    <w:rsid w:val="00224D09"/>
    <w:rsid w:val="00234055"/>
    <w:rsid w:val="00236062"/>
    <w:rsid w:val="00242770"/>
    <w:rsid w:val="00243ECA"/>
    <w:rsid w:val="00251420"/>
    <w:rsid w:val="0025320E"/>
    <w:rsid w:val="002611A3"/>
    <w:rsid w:val="00261505"/>
    <w:rsid w:val="00262798"/>
    <w:rsid w:val="00267940"/>
    <w:rsid w:val="00270BB4"/>
    <w:rsid w:val="00271292"/>
    <w:rsid w:val="00272374"/>
    <w:rsid w:val="002725AF"/>
    <w:rsid w:val="0027568F"/>
    <w:rsid w:val="00276A2E"/>
    <w:rsid w:val="00277C17"/>
    <w:rsid w:val="002828C5"/>
    <w:rsid w:val="00285503"/>
    <w:rsid w:val="00285E1F"/>
    <w:rsid w:val="002A30D6"/>
    <w:rsid w:val="002A47DA"/>
    <w:rsid w:val="002A4CEE"/>
    <w:rsid w:val="002A529F"/>
    <w:rsid w:val="002A52C0"/>
    <w:rsid w:val="002B0A74"/>
    <w:rsid w:val="002B19D3"/>
    <w:rsid w:val="002B252B"/>
    <w:rsid w:val="002B387D"/>
    <w:rsid w:val="002B754F"/>
    <w:rsid w:val="002C00DD"/>
    <w:rsid w:val="002C08F6"/>
    <w:rsid w:val="002C0A2C"/>
    <w:rsid w:val="002C5838"/>
    <w:rsid w:val="002C6652"/>
    <w:rsid w:val="002C7097"/>
    <w:rsid w:val="002C785E"/>
    <w:rsid w:val="002D00BB"/>
    <w:rsid w:val="002D2185"/>
    <w:rsid w:val="002D2557"/>
    <w:rsid w:val="002D2991"/>
    <w:rsid w:val="002D330C"/>
    <w:rsid w:val="002D3D4C"/>
    <w:rsid w:val="002D5210"/>
    <w:rsid w:val="002D581C"/>
    <w:rsid w:val="002E5A86"/>
    <w:rsid w:val="002F23BA"/>
    <w:rsid w:val="002F45F9"/>
    <w:rsid w:val="00301A67"/>
    <w:rsid w:val="00302C70"/>
    <w:rsid w:val="003076AD"/>
    <w:rsid w:val="0031273D"/>
    <w:rsid w:val="00312EB3"/>
    <w:rsid w:val="00313544"/>
    <w:rsid w:val="0031393C"/>
    <w:rsid w:val="00315EA2"/>
    <w:rsid w:val="00325FD2"/>
    <w:rsid w:val="00326DCE"/>
    <w:rsid w:val="003336AF"/>
    <w:rsid w:val="0033534D"/>
    <w:rsid w:val="0033731E"/>
    <w:rsid w:val="003522C2"/>
    <w:rsid w:val="00352A4F"/>
    <w:rsid w:val="00354B18"/>
    <w:rsid w:val="0035519D"/>
    <w:rsid w:val="003576E3"/>
    <w:rsid w:val="00362522"/>
    <w:rsid w:val="00362C97"/>
    <w:rsid w:val="003633AA"/>
    <w:rsid w:val="00363A4E"/>
    <w:rsid w:val="00373DC3"/>
    <w:rsid w:val="00374A82"/>
    <w:rsid w:val="00376ACD"/>
    <w:rsid w:val="003835D5"/>
    <w:rsid w:val="00384BAE"/>
    <w:rsid w:val="0038507F"/>
    <w:rsid w:val="00387970"/>
    <w:rsid w:val="00391E30"/>
    <w:rsid w:val="003A00DE"/>
    <w:rsid w:val="003A3DF8"/>
    <w:rsid w:val="003A4E75"/>
    <w:rsid w:val="003B600A"/>
    <w:rsid w:val="003C1254"/>
    <w:rsid w:val="003C4CDF"/>
    <w:rsid w:val="003C5823"/>
    <w:rsid w:val="003C64F8"/>
    <w:rsid w:val="003C6963"/>
    <w:rsid w:val="003C6CE3"/>
    <w:rsid w:val="003C6F4D"/>
    <w:rsid w:val="003D12BA"/>
    <w:rsid w:val="003D4D17"/>
    <w:rsid w:val="003E24CB"/>
    <w:rsid w:val="003E4415"/>
    <w:rsid w:val="003E70DD"/>
    <w:rsid w:val="003F10B0"/>
    <w:rsid w:val="003F29D4"/>
    <w:rsid w:val="003F2ABF"/>
    <w:rsid w:val="003F57B3"/>
    <w:rsid w:val="003F61F5"/>
    <w:rsid w:val="003F7D1D"/>
    <w:rsid w:val="00400C1F"/>
    <w:rsid w:val="00400FC9"/>
    <w:rsid w:val="00403C07"/>
    <w:rsid w:val="004045A9"/>
    <w:rsid w:val="0041192F"/>
    <w:rsid w:val="0041304B"/>
    <w:rsid w:val="00414993"/>
    <w:rsid w:val="00420E8F"/>
    <w:rsid w:val="00427E1A"/>
    <w:rsid w:val="00430E53"/>
    <w:rsid w:val="00435F0C"/>
    <w:rsid w:val="004373BD"/>
    <w:rsid w:val="004503A4"/>
    <w:rsid w:val="00450802"/>
    <w:rsid w:val="00452525"/>
    <w:rsid w:val="004557E7"/>
    <w:rsid w:val="00457E56"/>
    <w:rsid w:val="004601C2"/>
    <w:rsid w:val="00461279"/>
    <w:rsid w:val="0046132D"/>
    <w:rsid w:val="004615FA"/>
    <w:rsid w:val="004661D3"/>
    <w:rsid w:val="004664B7"/>
    <w:rsid w:val="004674FD"/>
    <w:rsid w:val="00470E1E"/>
    <w:rsid w:val="0047358E"/>
    <w:rsid w:val="00473F64"/>
    <w:rsid w:val="00477F0E"/>
    <w:rsid w:val="00480CEB"/>
    <w:rsid w:val="00485429"/>
    <w:rsid w:val="00485849"/>
    <w:rsid w:val="00487FC2"/>
    <w:rsid w:val="00497D03"/>
    <w:rsid w:val="00497F44"/>
    <w:rsid w:val="004A2183"/>
    <w:rsid w:val="004B4641"/>
    <w:rsid w:val="004C11B7"/>
    <w:rsid w:val="004C2AAE"/>
    <w:rsid w:val="004C3298"/>
    <w:rsid w:val="004C77E1"/>
    <w:rsid w:val="004C7BF4"/>
    <w:rsid w:val="004D1FD0"/>
    <w:rsid w:val="004D5713"/>
    <w:rsid w:val="004E137A"/>
    <w:rsid w:val="004E158B"/>
    <w:rsid w:val="004E56E8"/>
    <w:rsid w:val="004F1552"/>
    <w:rsid w:val="004F7EA0"/>
    <w:rsid w:val="00501A66"/>
    <w:rsid w:val="00501EB0"/>
    <w:rsid w:val="005100DD"/>
    <w:rsid w:val="005103D3"/>
    <w:rsid w:val="00511F47"/>
    <w:rsid w:val="00517062"/>
    <w:rsid w:val="00517AA4"/>
    <w:rsid w:val="00524CB2"/>
    <w:rsid w:val="00524E7F"/>
    <w:rsid w:val="00525A38"/>
    <w:rsid w:val="005264AA"/>
    <w:rsid w:val="00526ECB"/>
    <w:rsid w:val="00532A0C"/>
    <w:rsid w:val="00533075"/>
    <w:rsid w:val="0053335F"/>
    <w:rsid w:val="00535CE6"/>
    <w:rsid w:val="005379E2"/>
    <w:rsid w:val="00544663"/>
    <w:rsid w:val="00544BA8"/>
    <w:rsid w:val="0055078D"/>
    <w:rsid w:val="00551D67"/>
    <w:rsid w:val="005538CC"/>
    <w:rsid w:val="005612ED"/>
    <w:rsid w:val="0056411F"/>
    <w:rsid w:val="00566AF4"/>
    <w:rsid w:val="005677A8"/>
    <w:rsid w:val="00567E19"/>
    <w:rsid w:val="005707F3"/>
    <w:rsid w:val="0057241A"/>
    <w:rsid w:val="0057277D"/>
    <w:rsid w:val="00572B61"/>
    <w:rsid w:val="005732EC"/>
    <w:rsid w:val="0058085F"/>
    <w:rsid w:val="00585B76"/>
    <w:rsid w:val="0058705E"/>
    <w:rsid w:val="005917B3"/>
    <w:rsid w:val="0059245D"/>
    <w:rsid w:val="00593E33"/>
    <w:rsid w:val="005940EA"/>
    <w:rsid w:val="00596FB7"/>
    <w:rsid w:val="005A3F99"/>
    <w:rsid w:val="005B01D2"/>
    <w:rsid w:val="005B24B4"/>
    <w:rsid w:val="005B46D8"/>
    <w:rsid w:val="005B7543"/>
    <w:rsid w:val="005C69C7"/>
    <w:rsid w:val="005D200F"/>
    <w:rsid w:val="005D389A"/>
    <w:rsid w:val="005D4F24"/>
    <w:rsid w:val="005D528E"/>
    <w:rsid w:val="005D6908"/>
    <w:rsid w:val="005E454A"/>
    <w:rsid w:val="005E46FF"/>
    <w:rsid w:val="005E4CCF"/>
    <w:rsid w:val="005F2764"/>
    <w:rsid w:val="005F2F3F"/>
    <w:rsid w:val="005F2F41"/>
    <w:rsid w:val="005F463D"/>
    <w:rsid w:val="005F6E6B"/>
    <w:rsid w:val="005F7173"/>
    <w:rsid w:val="00600710"/>
    <w:rsid w:val="00604453"/>
    <w:rsid w:val="00607216"/>
    <w:rsid w:val="006101EE"/>
    <w:rsid w:val="00611395"/>
    <w:rsid w:val="00611A9F"/>
    <w:rsid w:val="0061315C"/>
    <w:rsid w:val="00620328"/>
    <w:rsid w:val="0062518B"/>
    <w:rsid w:val="0064077E"/>
    <w:rsid w:val="00642536"/>
    <w:rsid w:val="00642ABE"/>
    <w:rsid w:val="00645BBB"/>
    <w:rsid w:val="00651966"/>
    <w:rsid w:val="00651B10"/>
    <w:rsid w:val="00653B60"/>
    <w:rsid w:val="00661D68"/>
    <w:rsid w:val="00662126"/>
    <w:rsid w:val="006641C2"/>
    <w:rsid w:val="006648F9"/>
    <w:rsid w:val="00664D1C"/>
    <w:rsid w:val="0066735A"/>
    <w:rsid w:val="0067125D"/>
    <w:rsid w:val="00674B5F"/>
    <w:rsid w:val="00676FD3"/>
    <w:rsid w:val="006803FD"/>
    <w:rsid w:val="00683886"/>
    <w:rsid w:val="0069387E"/>
    <w:rsid w:val="00695D47"/>
    <w:rsid w:val="006A1D13"/>
    <w:rsid w:val="006A33B7"/>
    <w:rsid w:val="006A4A27"/>
    <w:rsid w:val="006A7234"/>
    <w:rsid w:val="006A742D"/>
    <w:rsid w:val="006B1BBD"/>
    <w:rsid w:val="006B762D"/>
    <w:rsid w:val="006C1F78"/>
    <w:rsid w:val="006C566C"/>
    <w:rsid w:val="006C60E7"/>
    <w:rsid w:val="006D60D6"/>
    <w:rsid w:val="006D7EDC"/>
    <w:rsid w:val="006E38F2"/>
    <w:rsid w:val="006F6654"/>
    <w:rsid w:val="006F76CC"/>
    <w:rsid w:val="007125F6"/>
    <w:rsid w:val="00712F3F"/>
    <w:rsid w:val="00717687"/>
    <w:rsid w:val="007203F9"/>
    <w:rsid w:val="00721811"/>
    <w:rsid w:val="00724E4F"/>
    <w:rsid w:val="007250C9"/>
    <w:rsid w:val="0072665D"/>
    <w:rsid w:val="00731480"/>
    <w:rsid w:val="00731E2D"/>
    <w:rsid w:val="0073715F"/>
    <w:rsid w:val="0074324B"/>
    <w:rsid w:val="007451A8"/>
    <w:rsid w:val="00745F5B"/>
    <w:rsid w:val="00746415"/>
    <w:rsid w:val="0075070B"/>
    <w:rsid w:val="00752869"/>
    <w:rsid w:val="007534B3"/>
    <w:rsid w:val="00754282"/>
    <w:rsid w:val="007615E8"/>
    <w:rsid w:val="007704DB"/>
    <w:rsid w:val="00770CF3"/>
    <w:rsid w:val="00775916"/>
    <w:rsid w:val="00776711"/>
    <w:rsid w:val="007814B0"/>
    <w:rsid w:val="00784B65"/>
    <w:rsid w:val="00787AD5"/>
    <w:rsid w:val="00790934"/>
    <w:rsid w:val="0079107E"/>
    <w:rsid w:val="007924F5"/>
    <w:rsid w:val="007A1DF9"/>
    <w:rsid w:val="007A3036"/>
    <w:rsid w:val="007A30D5"/>
    <w:rsid w:val="007B17BF"/>
    <w:rsid w:val="007B20ED"/>
    <w:rsid w:val="007C1974"/>
    <w:rsid w:val="007C2135"/>
    <w:rsid w:val="007C3AC5"/>
    <w:rsid w:val="007C4153"/>
    <w:rsid w:val="007C4C5C"/>
    <w:rsid w:val="007C7BEC"/>
    <w:rsid w:val="007C7C91"/>
    <w:rsid w:val="007D2849"/>
    <w:rsid w:val="007D60E4"/>
    <w:rsid w:val="007E20B2"/>
    <w:rsid w:val="007E28C2"/>
    <w:rsid w:val="007E3A68"/>
    <w:rsid w:val="007E43CB"/>
    <w:rsid w:val="007E5DA5"/>
    <w:rsid w:val="007E7CE8"/>
    <w:rsid w:val="007F24A6"/>
    <w:rsid w:val="007F41B4"/>
    <w:rsid w:val="00800A06"/>
    <w:rsid w:val="008014F7"/>
    <w:rsid w:val="00805E20"/>
    <w:rsid w:val="00810AAE"/>
    <w:rsid w:val="008117AF"/>
    <w:rsid w:val="008137AB"/>
    <w:rsid w:val="00827859"/>
    <w:rsid w:val="00837829"/>
    <w:rsid w:val="00847080"/>
    <w:rsid w:val="00852AC8"/>
    <w:rsid w:val="00856EEE"/>
    <w:rsid w:val="0086301A"/>
    <w:rsid w:val="00865F5F"/>
    <w:rsid w:val="00870958"/>
    <w:rsid w:val="00872829"/>
    <w:rsid w:val="00873A9E"/>
    <w:rsid w:val="00873FF9"/>
    <w:rsid w:val="00876324"/>
    <w:rsid w:val="00876AE3"/>
    <w:rsid w:val="00881848"/>
    <w:rsid w:val="008823CE"/>
    <w:rsid w:val="008859EC"/>
    <w:rsid w:val="00887305"/>
    <w:rsid w:val="00894463"/>
    <w:rsid w:val="00894701"/>
    <w:rsid w:val="008A009E"/>
    <w:rsid w:val="008A2BBB"/>
    <w:rsid w:val="008A3042"/>
    <w:rsid w:val="008A338B"/>
    <w:rsid w:val="008A695E"/>
    <w:rsid w:val="008A6C64"/>
    <w:rsid w:val="008B2964"/>
    <w:rsid w:val="008B41D0"/>
    <w:rsid w:val="008C1822"/>
    <w:rsid w:val="008C2115"/>
    <w:rsid w:val="008C35EB"/>
    <w:rsid w:val="008D2221"/>
    <w:rsid w:val="008E3B1C"/>
    <w:rsid w:val="008E3C55"/>
    <w:rsid w:val="008E3C9C"/>
    <w:rsid w:val="008E3E29"/>
    <w:rsid w:val="008E5812"/>
    <w:rsid w:val="008E6718"/>
    <w:rsid w:val="008F0C9B"/>
    <w:rsid w:val="008F6643"/>
    <w:rsid w:val="008F6AFB"/>
    <w:rsid w:val="008F74F1"/>
    <w:rsid w:val="0090387F"/>
    <w:rsid w:val="00907490"/>
    <w:rsid w:val="0091094B"/>
    <w:rsid w:val="0091126C"/>
    <w:rsid w:val="00911B11"/>
    <w:rsid w:val="009170F8"/>
    <w:rsid w:val="00917CE2"/>
    <w:rsid w:val="009209CA"/>
    <w:rsid w:val="00923937"/>
    <w:rsid w:val="00924253"/>
    <w:rsid w:val="00924C16"/>
    <w:rsid w:val="00925FE3"/>
    <w:rsid w:val="009306E7"/>
    <w:rsid w:val="00935795"/>
    <w:rsid w:val="00936BAB"/>
    <w:rsid w:val="009403DB"/>
    <w:rsid w:val="009458F6"/>
    <w:rsid w:val="0094725C"/>
    <w:rsid w:val="00947720"/>
    <w:rsid w:val="00952EB5"/>
    <w:rsid w:val="00953DC3"/>
    <w:rsid w:val="00954E29"/>
    <w:rsid w:val="00955181"/>
    <w:rsid w:val="0096064C"/>
    <w:rsid w:val="009614A8"/>
    <w:rsid w:val="009714F4"/>
    <w:rsid w:val="009730B1"/>
    <w:rsid w:val="00980627"/>
    <w:rsid w:val="009808B1"/>
    <w:rsid w:val="00982F61"/>
    <w:rsid w:val="00991F2D"/>
    <w:rsid w:val="00995121"/>
    <w:rsid w:val="00995C70"/>
    <w:rsid w:val="009A305B"/>
    <w:rsid w:val="009B0966"/>
    <w:rsid w:val="009B2EFF"/>
    <w:rsid w:val="009B46A8"/>
    <w:rsid w:val="009B4B34"/>
    <w:rsid w:val="009C1813"/>
    <w:rsid w:val="009C59FC"/>
    <w:rsid w:val="009C7CB0"/>
    <w:rsid w:val="009E248B"/>
    <w:rsid w:val="009E2730"/>
    <w:rsid w:val="009E2BB2"/>
    <w:rsid w:val="009E580F"/>
    <w:rsid w:val="009E5CCB"/>
    <w:rsid w:val="009E5E43"/>
    <w:rsid w:val="009F3706"/>
    <w:rsid w:val="009F4CF4"/>
    <w:rsid w:val="00A0539B"/>
    <w:rsid w:val="00A07906"/>
    <w:rsid w:val="00A12762"/>
    <w:rsid w:val="00A13210"/>
    <w:rsid w:val="00A1379F"/>
    <w:rsid w:val="00A14CA3"/>
    <w:rsid w:val="00A20251"/>
    <w:rsid w:val="00A23577"/>
    <w:rsid w:val="00A248CB"/>
    <w:rsid w:val="00A24F6A"/>
    <w:rsid w:val="00A27D3A"/>
    <w:rsid w:val="00A321CB"/>
    <w:rsid w:val="00A35DFD"/>
    <w:rsid w:val="00A501F9"/>
    <w:rsid w:val="00A5049F"/>
    <w:rsid w:val="00A510F7"/>
    <w:rsid w:val="00A54D45"/>
    <w:rsid w:val="00A61DC8"/>
    <w:rsid w:val="00A62FE8"/>
    <w:rsid w:val="00A63E32"/>
    <w:rsid w:val="00A742DE"/>
    <w:rsid w:val="00A74E78"/>
    <w:rsid w:val="00A840BB"/>
    <w:rsid w:val="00A85763"/>
    <w:rsid w:val="00A866F9"/>
    <w:rsid w:val="00A938E5"/>
    <w:rsid w:val="00A939AE"/>
    <w:rsid w:val="00A95912"/>
    <w:rsid w:val="00AA2070"/>
    <w:rsid w:val="00AA3B43"/>
    <w:rsid w:val="00AB50E8"/>
    <w:rsid w:val="00AB60D1"/>
    <w:rsid w:val="00AC234E"/>
    <w:rsid w:val="00AC5EB2"/>
    <w:rsid w:val="00AC6E09"/>
    <w:rsid w:val="00AE09C3"/>
    <w:rsid w:val="00AE231F"/>
    <w:rsid w:val="00AE3587"/>
    <w:rsid w:val="00AE404E"/>
    <w:rsid w:val="00AE536E"/>
    <w:rsid w:val="00AE7D02"/>
    <w:rsid w:val="00AF2119"/>
    <w:rsid w:val="00B01E2D"/>
    <w:rsid w:val="00B03638"/>
    <w:rsid w:val="00B04077"/>
    <w:rsid w:val="00B10ABA"/>
    <w:rsid w:val="00B16A3E"/>
    <w:rsid w:val="00B2409A"/>
    <w:rsid w:val="00B264C3"/>
    <w:rsid w:val="00B26BA3"/>
    <w:rsid w:val="00B335F3"/>
    <w:rsid w:val="00B33977"/>
    <w:rsid w:val="00B33EB2"/>
    <w:rsid w:val="00B41D6D"/>
    <w:rsid w:val="00B45573"/>
    <w:rsid w:val="00B47B15"/>
    <w:rsid w:val="00B54638"/>
    <w:rsid w:val="00B61C71"/>
    <w:rsid w:val="00B70699"/>
    <w:rsid w:val="00B7264C"/>
    <w:rsid w:val="00B7334D"/>
    <w:rsid w:val="00B76592"/>
    <w:rsid w:val="00B77F5C"/>
    <w:rsid w:val="00B80D45"/>
    <w:rsid w:val="00B81B39"/>
    <w:rsid w:val="00B81DFA"/>
    <w:rsid w:val="00B8339D"/>
    <w:rsid w:val="00B834AF"/>
    <w:rsid w:val="00B85D3F"/>
    <w:rsid w:val="00B9008F"/>
    <w:rsid w:val="00B91DDD"/>
    <w:rsid w:val="00B96843"/>
    <w:rsid w:val="00BA119D"/>
    <w:rsid w:val="00BB026D"/>
    <w:rsid w:val="00BB1CA7"/>
    <w:rsid w:val="00BB4690"/>
    <w:rsid w:val="00BC064F"/>
    <w:rsid w:val="00BC099C"/>
    <w:rsid w:val="00BC0EC5"/>
    <w:rsid w:val="00BC5748"/>
    <w:rsid w:val="00BD45A3"/>
    <w:rsid w:val="00BD6310"/>
    <w:rsid w:val="00BE08BB"/>
    <w:rsid w:val="00BE2062"/>
    <w:rsid w:val="00BE6A08"/>
    <w:rsid w:val="00BF07D1"/>
    <w:rsid w:val="00BF205E"/>
    <w:rsid w:val="00BF4FBA"/>
    <w:rsid w:val="00BF59D5"/>
    <w:rsid w:val="00BF7B1F"/>
    <w:rsid w:val="00C03102"/>
    <w:rsid w:val="00C04594"/>
    <w:rsid w:val="00C1298C"/>
    <w:rsid w:val="00C172E7"/>
    <w:rsid w:val="00C20AA5"/>
    <w:rsid w:val="00C214A1"/>
    <w:rsid w:val="00C25791"/>
    <w:rsid w:val="00C25E13"/>
    <w:rsid w:val="00C26266"/>
    <w:rsid w:val="00C340D7"/>
    <w:rsid w:val="00C3464D"/>
    <w:rsid w:val="00C40AF3"/>
    <w:rsid w:val="00C42994"/>
    <w:rsid w:val="00C4515E"/>
    <w:rsid w:val="00C571E8"/>
    <w:rsid w:val="00C6025D"/>
    <w:rsid w:val="00C6250D"/>
    <w:rsid w:val="00C72884"/>
    <w:rsid w:val="00C728CD"/>
    <w:rsid w:val="00C829C8"/>
    <w:rsid w:val="00C838EE"/>
    <w:rsid w:val="00C87207"/>
    <w:rsid w:val="00CA07C4"/>
    <w:rsid w:val="00CA32E9"/>
    <w:rsid w:val="00CA352C"/>
    <w:rsid w:val="00CA42DC"/>
    <w:rsid w:val="00CA7AA1"/>
    <w:rsid w:val="00CB4949"/>
    <w:rsid w:val="00CB5898"/>
    <w:rsid w:val="00CB5CC8"/>
    <w:rsid w:val="00CB7B06"/>
    <w:rsid w:val="00CC3CCE"/>
    <w:rsid w:val="00CC57AD"/>
    <w:rsid w:val="00CC57FD"/>
    <w:rsid w:val="00CC5ED1"/>
    <w:rsid w:val="00CE00C1"/>
    <w:rsid w:val="00CE5E0A"/>
    <w:rsid w:val="00CE6EA6"/>
    <w:rsid w:val="00CE7C3A"/>
    <w:rsid w:val="00CF48CE"/>
    <w:rsid w:val="00CF53F2"/>
    <w:rsid w:val="00CF6B08"/>
    <w:rsid w:val="00D00AA9"/>
    <w:rsid w:val="00D02651"/>
    <w:rsid w:val="00D0753D"/>
    <w:rsid w:val="00D07CBA"/>
    <w:rsid w:val="00D16779"/>
    <w:rsid w:val="00D16A7F"/>
    <w:rsid w:val="00D335F5"/>
    <w:rsid w:val="00D347E3"/>
    <w:rsid w:val="00D36181"/>
    <w:rsid w:val="00D40056"/>
    <w:rsid w:val="00D53042"/>
    <w:rsid w:val="00D55E91"/>
    <w:rsid w:val="00D61507"/>
    <w:rsid w:val="00D67232"/>
    <w:rsid w:val="00D73F1B"/>
    <w:rsid w:val="00D74102"/>
    <w:rsid w:val="00D74123"/>
    <w:rsid w:val="00D75BEA"/>
    <w:rsid w:val="00D75EF4"/>
    <w:rsid w:val="00D82291"/>
    <w:rsid w:val="00D82B14"/>
    <w:rsid w:val="00D85A98"/>
    <w:rsid w:val="00D95C42"/>
    <w:rsid w:val="00D96669"/>
    <w:rsid w:val="00DA1C9F"/>
    <w:rsid w:val="00DA399A"/>
    <w:rsid w:val="00DA3D05"/>
    <w:rsid w:val="00DA669A"/>
    <w:rsid w:val="00DB0745"/>
    <w:rsid w:val="00DB2C9C"/>
    <w:rsid w:val="00DB38BC"/>
    <w:rsid w:val="00DB4008"/>
    <w:rsid w:val="00DB54F7"/>
    <w:rsid w:val="00DB69E9"/>
    <w:rsid w:val="00DC4A19"/>
    <w:rsid w:val="00DC5F65"/>
    <w:rsid w:val="00DD44CC"/>
    <w:rsid w:val="00DD7E50"/>
    <w:rsid w:val="00DE3A87"/>
    <w:rsid w:val="00DE3D39"/>
    <w:rsid w:val="00DE5F4A"/>
    <w:rsid w:val="00DE6745"/>
    <w:rsid w:val="00DF1D1C"/>
    <w:rsid w:val="00DF4390"/>
    <w:rsid w:val="00DF44BC"/>
    <w:rsid w:val="00DF5737"/>
    <w:rsid w:val="00DF5AB9"/>
    <w:rsid w:val="00E0260B"/>
    <w:rsid w:val="00E0557C"/>
    <w:rsid w:val="00E1169D"/>
    <w:rsid w:val="00E134FA"/>
    <w:rsid w:val="00E1384D"/>
    <w:rsid w:val="00E13F33"/>
    <w:rsid w:val="00E14388"/>
    <w:rsid w:val="00E1562A"/>
    <w:rsid w:val="00E216A6"/>
    <w:rsid w:val="00E221D7"/>
    <w:rsid w:val="00E22263"/>
    <w:rsid w:val="00E22BE2"/>
    <w:rsid w:val="00E27859"/>
    <w:rsid w:val="00E31154"/>
    <w:rsid w:val="00E40350"/>
    <w:rsid w:val="00E44326"/>
    <w:rsid w:val="00E479EB"/>
    <w:rsid w:val="00E5027F"/>
    <w:rsid w:val="00E50464"/>
    <w:rsid w:val="00E520ED"/>
    <w:rsid w:val="00E5305C"/>
    <w:rsid w:val="00E53AE8"/>
    <w:rsid w:val="00E56CFA"/>
    <w:rsid w:val="00E57FED"/>
    <w:rsid w:val="00E61ACA"/>
    <w:rsid w:val="00E70D5A"/>
    <w:rsid w:val="00E7196A"/>
    <w:rsid w:val="00E7229F"/>
    <w:rsid w:val="00E80801"/>
    <w:rsid w:val="00E81F1B"/>
    <w:rsid w:val="00E83056"/>
    <w:rsid w:val="00E87F26"/>
    <w:rsid w:val="00E912A7"/>
    <w:rsid w:val="00E959D4"/>
    <w:rsid w:val="00E95B76"/>
    <w:rsid w:val="00E9658A"/>
    <w:rsid w:val="00E97610"/>
    <w:rsid w:val="00EA206C"/>
    <w:rsid w:val="00EA4BC4"/>
    <w:rsid w:val="00EA7BC3"/>
    <w:rsid w:val="00EB1B44"/>
    <w:rsid w:val="00EC6C58"/>
    <w:rsid w:val="00ED114C"/>
    <w:rsid w:val="00ED1B54"/>
    <w:rsid w:val="00ED3434"/>
    <w:rsid w:val="00ED52F4"/>
    <w:rsid w:val="00EE26B5"/>
    <w:rsid w:val="00EE30D0"/>
    <w:rsid w:val="00EE4027"/>
    <w:rsid w:val="00EE56B4"/>
    <w:rsid w:val="00EE581F"/>
    <w:rsid w:val="00EF167D"/>
    <w:rsid w:val="00EF1BDB"/>
    <w:rsid w:val="00EF1E15"/>
    <w:rsid w:val="00EF4CCB"/>
    <w:rsid w:val="00EF55F4"/>
    <w:rsid w:val="00EF5F94"/>
    <w:rsid w:val="00EF6747"/>
    <w:rsid w:val="00F0138A"/>
    <w:rsid w:val="00F01AD3"/>
    <w:rsid w:val="00F041F7"/>
    <w:rsid w:val="00F05165"/>
    <w:rsid w:val="00F05E31"/>
    <w:rsid w:val="00F070AA"/>
    <w:rsid w:val="00F10347"/>
    <w:rsid w:val="00F10D55"/>
    <w:rsid w:val="00F1662C"/>
    <w:rsid w:val="00F16EF9"/>
    <w:rsid w:val="00F20715"/>
    <w:rsid w:val="00F26C39"/>
    <w:rsid w:val="00F279BF"/>
    <w:rsid w:val="00F30FE9"/>
    <w:rsid w:val="00F322C1"/>
    <w:rsid w:val="00F36FAA"/>
    <w:rsid w:val="00F37FC6"/>
    <w:rsid w:val="00F42ED7"/>
    <w:rsid w:val="00F5057E"/>
    <w:rsid w:val="00F528C8"/>
    <w:rsid w:val="00F53146"/>
    <w:rsid w:val="00F5339B"/>
    <w:rsid w:val="00F7133F"/>
    <w:rsid w:val="00F73381"/>
    <w:rsid w:val="00F77CB5"/>
    <w:rsid w:val="00F804FD"/>
    <w:rsid w:val="00F82C5F"/>
    <w:rsid w:val="00F83AE4"/>
    <w:rsid w:val="00F84DE9"/>
    <w:rsid w:val="00F8711C"/>
    <w:rsid w:val="00FA0F75"/>
    <w:rsid w:val="00FA4B78"/>
    <w:rsid w:val="00FB0F92"/>
    <w:rsid w:val="00FB54BB"/>
    <w:rsid w:val="00FC3B7C"/>
    <w:rsid w:val="00FC54D6"/>
    <w:rsid w:val="00FD393B"/>
    <w:rsid w:val="00FE025B"/>
    <w:rsid w:val="00FE0615"/>
    <w:rsid w:val="00FE3A63"/>
    <w:rsid w:val="00FE3AA0"/>
    <w:rsid w:val="00FE3FF3"/>
    <w:rsid w:val="00FE6182"/>
    <w:rsid w:val="00FF1168"/>
    <w:rsid w:val="00FF2AE9"/>
    <w:rsid w:val="00FF5994"/>
    <w:rsid w:val="00FF6427"/>
    <w:rsid w:val="00FF6968"/>
    <w:rsid w:val="00FF7F9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8440AE8"/>
  <w15:docId w15:val="{F321AE7E-C6E7-4DA0-B01D-3E1277DA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23"/>
  </w:style>
  <w:style w:type="paragraph" w:styleId="Heading1">
    <w:name w:val="heading 1"/>
    <w:basedOn w:val="Normal"/>
    <w:link w:val="Heading1Char"/>
    <w:uiPriority w:val="9"/>
    <w:qFormat/>
    <w:rsid w:val="00BC5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1932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ent-selection">
    <w:name w:val="current-selection"/>
    <w:basedOn w:val="DefaultParagraphFont"/>
    <w:rsid w:val="001A5CC5"/>
  </w:style>
  <w:style w:type="character" w:customStyle="1" w:styleId="a">
    <w:name w:val="_"/>
    <w:basedOn w:val="DefaultParagraphFont"/>
    <w:rsid w:val="001A5CC5"/>
  </w:style>
  <w:style w:type="character" w:customStyle="1" w:styleId="enhanced-author">
    <w:name w:val="enhanced-author"/>
    <w:basedOn w:val="DefaultParagraphFont"/>
    <w:rsid w:val="001A5CC5"/>
  </w:style>
  <w:style w:type="character" w:customStyle="1" w:styleId="Heading1Char">
    <w:name w:val="Heading 1 Char"/>
    <w:basedOn w:val="DefaultParagraphFont"/>
    <w:link w:val="Heading1"/>
    <w:uiPriority w:val="9"/>
    <w:rsid w:val="00BC574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01F89"/>
    <w:rPr>
      <w:color w:val="0563C1" w:themeColor="hyperlink"/>
      <w:u w:val="single"/>
    </w:rPr>
  </w:style>
  <w:style w:type="paragraph" w:styleId="Header">
    <w:name w:val="header"/>
    <w:basedOn w:val="Normal"/>
    <w:link w:val="HeaderChar"/>
    <w:uiPriority w:val="99"/>
    <w:unhideWhenUsed/>
    <w:rsid w:val="00805E2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05E20"/>
    <w:rPr>
      <w:sz w:val="20"/>
      <w:szCs w:val="20"/>
    </w:rPr>
  </w:style>
  <w:style w:type="paragraph" w:styleId="Footer">
    <w:name w:val="footer"/>
    <w:basedOn w:val="Normal"/>
    <w:link w:val="FooterChar"/>
    <w:uiPriority w:val="99"/>
    <w:unhideWhenUsed/>
    <w:rsid w:val="00805E2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05E20"/>
    <w:rPr>
      <w:sz w:val="20"/>
      <w:szCs w:val="20"/>
    </w:rPr>
  </w:style>
  <w:style w:type="character" w:customStyle="1" w:styleId="Heading5Char">
    <w:name w:val="Heading 5 Char"/>
    <w:basedOn w:val="DefaultParagraphFont"/>
    <w:link w:val="Heading5"/>
    <w:uiPriority w:val="9"/>
    <w:semiHidden/>
    <w:rsid w:val="00193235"/>
    <w:rPr>
      <w:rFonts w:asciiTheme="majorHAnsi" w:eastAsiaTheme="majorEastAsia" w:hAnsiTheme="majorHAnsi" w:cstheme="majorBidi"/>
      <w:color w:val="2E74B5" w:themeColor="accent1" w:themeShade="BF"/>
    </w:rPr>
  </w:style>
  <w:style w:type="paragraph" w:styleId="CommentText">
    <w:name w:val="annotation text"/>
    <w:basedOn w:val="Normal"/>
    <w:link w:val="CommentTextChar"/>
    <w:semiHidden/>
    <w:rsid w:val="00193235"/>
    <w:pPr>
      <w:spacing w:after="0" w:line="240" w:lineRule="auto"/>
    </w:pPr>
    <w:rPr>
      <w:rFonts w:ascii="Times New Roman" w:eastAsia="新細明體" w:hAnsi="Times New Roman" w:cs="Times New Roman"/>
      <w:sz w:val="24"/>
      <w:szCs w:val="24"/>
      <w:lang w:val="en-US" w:eastAsia="zh-TW"/>
    </w:rPr>
  </w:style>
  <w:style w:type="character" w:customStyle="1" w:styleId="CommentTextChar">
    <w:name w:val="Comment Text Char"/>
    <w:basedOn w:val="DefaultParagraphFont"/>
    <w:link w:val="CommentText"/>
    <w:semiHidden/>
    <w:rsid w:val="00193235"/>
    <w:rPr>
      <w:rFonts w:ascii="Times New Roman" w:eastAsia="新細明體" w:hAnsi="Times New Roman" w:cs="Times New Roman"/>
      <w:sz w:val="24"/>
      <w:szCs w:val="24"/>
      <w:lang w:val="en-US" w:eastAsia="zh-TW"/>
    </w:rPr>
  </w:style>
  <w:style w:type="paragraph" w:customStyle="1" w:styleId="FigureFooter">
    <w:name w:val="FigureFooter"/>
    <w:basedOn w:val="Normal"/>
    <w:next w:val="Normal"/>
    <w:rsid w:val="00193235"/>
    <w:pPr>
      <w:pBdr>
        <w:top w:val="single" w:sz="4" w:space="1" w:color="auto"/>
        <w:bottom w:val="single" w:sz="12" w:space="1" w:color="808080"/>
      </w:pBdr>
      <w:spacing w:after="240" w:line="240" w:lineRule="auto"/>
    </w:pPr>
    <w:rPr>
      <w:rFonts w:ascii="Lucida Sans Unicode" w:eastAsia="新細明體" w:hAnsi="Lucida Sans Unicode" w:cs="Times New Roman"/>
      <w:i/>
      <w:sz w:val="16"/>
      <w:szCs w:val="24"/>
      <w:lang w:val="en-US" w:eastAsia="zh-TW"/>
    </w:rPr>
  </w:style>
  <w:style w:type="paragraph" w:styleId="BalloonText">
    <w:name w:val="Balloon Text"/>
    <w:basedOn w:val="Normal"/>
    <w:link w:val="BalloonTextChar"/>
    <w:uiPriority w:val="99"/>
    <w:semiHidden/>
    <w:unhideWhenUsed/>
    <w:rsid w:val="001C384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C384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7550">
      <w:bodyDiv w:val="1"/>
      <w:marLeft w:val="0"/>
      <w:marRight w:val="0"/>
      <w:marTop w:val="0"/>
      <w:marBottom w:val="0"/>
      <w:divBdr>
        <w:top w:val="none" w:sz="0" w:space="0" w:color="auto"/>
        <w:left w:val="none" w:sz="0" w:space="0" w:color="auto"/>
        <w:bottom w:val="none" w:sz="0" w:space="0" w:color="auto"/>
        <w:right w:val="none" w:sz="0" w:space="0" w:color="auto"/>
      </w:divBdr>
    </w:div>
    <w:div w:id="1420519125">
      <w:bodyDiv w:val="1"/>
      <w:marLeft w:val="0"/>
      <w:marRight w:val="0"/>
      <w:marTop w:val="0"/>
      <w:marBottom w:val="0"/>
      <w:divBdr>
        <w:top w:val="none" w:sz="0" w:space="0" w:color="auto"/>
        <w:left w:val="none" w:sz="0" w:space="0" w:color="auto"/>
        <w:bottom w:val="none" w:sz="0" w:space="0" w:color="auto"/>
        <w:right w:val="none" w:sz="0" w:space="0" w:color="auto"/>
      </w:divBdr>
      <w:divsChild>
        <w:div w:id="754018278">
          <w:marLeft w:val="0"/>
          <w:marRight w:val="0"/>
          <w:marTop w:val="0"/>
          <w:marBottom w:val="0"/>
          <w:divBdr>
            <w:top w:val="none" w:sz="0" w:space="0" w:color="auto"/>
            <w:left w:val="none" w:sz="0" w:space="0" w:color="auto"/>
            <w:bottom w:val="none" w:sz="0" w:space="0" w:color="auto"/>
            <w:right w:val="none" w:sz="0" w:space="0" w:color="auto"/>
          </w:divBdr>
        </w:div>
        <w:div w:id="47382892">
          <w:marLeft w:val="0"/>
          <w:marRight w:val="0"/>
          <w:marTop w:val="0"/>
          <w:marBottom w:val="0"/>
          <w:divBdr>
            <w:top w:val="none" w:sz="0" w:space="0" w:color="auto"/>
            <w:left w:val="none" w:sz="0" w:space="0" w:color="auto"/>
            <w:bottom w:val="none" w:sz="0" w:space="0" w:color="auto"/>
            <w:right w:val="none" w:sz="0" w:space="0" w:color="auto"/>
          </w:divBdr>
        </w:div>
        <w:div w:id="299306705">
          <w:marLeft w:val="0"/>
          <w:marRight w:val="0"/>
          <w:marTop w:val="0"/>
          <w:marBottom w:val="0"/>
          <w:divBdr>
            <w:top w:val="none" w:sz="0" w:space="0" w:color="auto"/>
            <w:left w:val="none" w:sz="0" w:space="0" w:color="auto"/>
            <w:bottom w:val="none" w:sz="0" w:space="0" w:color="auto"/>
            <w:right w:val="none" w:sz="0" w:space="0" w:color="auto"/>
          </w:divBdr>
        </w:div>
        <w:div w:id="2121684273">
          <w:marLeft w:val="0"/>
          <w:marRight w:val="0"/>
          <w:marTop w:val="0"/>
          <w:marBottom w:val="0"/>
          <w:divBdr>
            <w:top w:val="none" w:sz="0" w:space="0" w:color="auto"/>
            <w:left w:val="none" w:sz="0" w:space="0" w:color="auto"/>
            <w:bottom w:val="none" w:sz="0" w:space="0" w:color="auto"/>
            <w:right w:val="none" w:sz="0" w:space="0" w:color="auto"/>
          </w:divBdr>
        </w:div>
        <w:div w:id="1344358557">
          <w:marLeft w:val="0"/>
          <w:marRight w:val="0"/>
          <w:marTop w:val="0"/>
          <w:marBottom w:val="0"/>
          <w:divBdr>
            <w:top w:val="none" w:sz="0" w:space="0" w:color="auto"/>
            <w:left w:val="none" w:sz="0" w:space="0" w:color="auto"/>
            <w:bottom w:val="none" w:sz="0" w:space="0" w:color="auto"/>
            <w:right w:val="none" w:sz="0" w:space="0" w:color="auto"/>
          </w:divBdr>
        </w:div>
      </w:divsChild>
    </w:div>
    <w:div w:id="1471897024">
      <w:bodyDiv w:val="1"/>
      <w:marLeft w:val="0"/>
      <w:marRight w:val="0"/>
      <w:marTop w:val="0"/>
      <w:marBottom w:val="0"/>
      <w:divBdr>
        <w:top w:val="none" w:sz="0" w:space="0" w:color="auto"/>
        <w:left w:val="none" w:sz="0" w:space="0" w:color="auto"/>
        <w:bottom w:val="none" w:sz="0" w:space="0" w:color="auto"/>
        <w:right w:val="none" w:sz="0" w:space="0" w:color="auto"/>
      </w:divBdr>
    </w:div>
    <w:div w:id="1575430252">
      <w:bodyDiv w:val="1"/>
      <w:marLeft w:val="0"/>
      <w:marRight w:val="0"/>
      <w:marTop w:val="0"/>
      <w:marBottom w:val="0"/>
      <w:divBdr>
        <w:top w:val="none" w:sz="0" w:space="0" w:color="auto"/>
        <w:left w:val="none" w:sz="0" w:space="0" w:color="auto"/>
        <w:bottom w:val="none" w:sz="0" w:space="0" w:color="auto"/>
        <w:right w:val="none" w:sz="0" w:space="0" w:color="auto"/>
      </w:divBdr>
      <w:divsChild>
        <w:div w:id="1983344064">
          <w:marLeft w:val="0"/>
          <w:marRight w:val="0"/>
          <w:marTop w:val="0"/>
          <w:marBottom w:val="0"/>
          <w:divBdr>
            <w:top w:val="none" w:sz="0" w:space="0" w:color="auto"/>
            <w:left w:val="none" w:sz="0" w:space="0" w:color="auto"/>
            <w:bottom w:val="none" w:sz="0" w:space="0" w:color="auto"/>
            <w:right w:val="none" w:sz="0" w:space="0" w:color="auto"/>
          </w:divBdr>
        </w:div>
        <w:div w:id="1959021862">
          <w:marLeft w:val="0"/>
          <w:marRight w:val="0"/>
          <w:marTop w:val="0"/>
          <w:marBottom w:val="0"/>
          <w:divBdr>
            <w:top w:val="none" w:sz="0" w:space="0" w:color="auto"/>
            <w:left w:val="none" w:sz="0" w:space="0" w:color="auto"/>
            <w:bottom w:val="none" w:sz="0" w:space="0" w:color="auto"/>
            <w:right w:val="none" w:sz="0" w:space="0" w:color="auto"/>
          </w:divBdr>
        </w:div>
        <w:div w:id="1372265023">
          <w:marLeft w:val="0"/>
          <w:marRight w:val="0"/>
          <w:marTop w:val="0"/>
          <w:marBottom w:val="0"/>
          <w:divBdr>
            <w:top w:val="none" w:sz="0" w:space="0" w:color="auto"/>
            <w:left w:val="none" w:sz="0" w:space="0" w:color="auto"/>
            <w:bottom w:val="none" w:sz="0" w:space="0" w:color="auto"/>
            <w:right w:val="none" w:sz="0" w:space="0" w:color="auto"/>
          </w:divBdr>
        </w:div>
        <w:div w:id="1624580828">
          <w:marLeft w:val="0"/>
          <w:marRight w:val="0"/>
          <w:marTop w:val="0"/>
          <w:marBottom w:val="0"/>
          <w:divBdr>
            <w:top w:val="none" w:sz="0" w:space="0" w:color="auto"/>
            <w:left w:val="none" w:sz="0" w:space="0" w:color="auto"/>
            <w:bottom w:val="none" w:sz="0" w:space="0" w:color="auto"/>
            <w:right w:val="none" w:sz="0" w:space="0" w:color="auto"/>
          </w:divBdr>
        </w:div>
        <w:div w:id="1850833087">
          <w:marLeft w:val="0"/>
          <w:marRight w:val="0"/>
          <w:marTop w:val="0"/>
          <w:marBottom w:val="0"/>
          <w:divBdr>
            <w:top w:val="none" w:sz="0" w:space="0" w:color="auto"/>
            <w:left w:val="none" w:sz="0" w:space="0" w:color="auto"/>
            <w:bottom w:val="none" w:sz="0" w:space="0" w:color="auto"/>
            <w:right w:val="none" w:sz="0" w:space="0" w:color="auto"/>
          </w:divBdr>
        </w:div>
      </w:divsChild>
    </w:div>
    <w:div w:id="1768843404">
      <w:bodyDiv w:val="1"/>
      <w:marLeft w:val="0"/>
      <w:marRight w:val="0"/>
      <w:marTop w:val="0"/>
      <w:marBottom w:val="0"/>
      <w:divBdr>
        <w:top w:val="none" w:sz="0" w:space="0" w:color="auto"/>
        <w:left w:val="none" w:sz="0" w:space="0" w:color="auto"/>
        <w:bottom w:val="none" w:sz="0" w:space="0" w:color="auto"/>
        <w:right w:val="none" w:sz="0" w:space="0" w:color="auto"/>
      </w:divBdr>
      <w:divsChild>
        <w:div w:id="13962811">
          <w:marLeft w:val="0"/>
          <w:marRight w:val="0"/>
          <w:marTop w:val="0"/>
          <w:marBottom w:val="0"/>
          <w:divBdr>
            <w:top w:val="none" w:sz="0" w:space="0" w:color="auto"/>
            <w:left w:val="none" w:sz="0" w:space="0" w:color="auto"/>
            <w:bottom w:val="none" w:sz="0" w:space="0" w:color="auto"/>
            <w:right w:val="none" w:sz="0" w:space="0" w:color="auto"/>
          </w:divBdr>
        </w:div>
        <w:div w:id="1799370571">
          <w:marLeft w:val="0"/>
          <w:marRight w:val="0"/>
          <w:marTop w:val="0"/>
          <w:marBottom w:val="0"/>
          <w:divBdr>
            <w:top w:val="none" w:sz="0" w:space="0" w:color="auto"/>
            <w:left w:val="none" w:sz="0" w:space="0" w:color="auto"/>
            <w:bottom w:val="none" w:sz="0" w:space="0" w:color="auto"/>
            <w:right w:val="none" w:sz="0" w:space="0" w:color="auto"/>
          </w:divBdr>
        </w:div>
        <w:div w:id="1588879632">
          <w:marLeft w:val="0"/>
          <w:marRight w:val="0"/>
          <w:marTop w:val="0"/>
          <w:marBottom w:val="0"/>
          <w:divBdr>
            <w:top w:val="none" w:sz="0" w:space="0" w:color="auto"/>
            <w:left w:val="none" w:sz="0" w:space="0" w:color="auto"/>
            <w:bottom w:val="none" w:sz="0" w:space="0" w:color="auto"/>
            <w:right w:val="none" w:sz="0" w:space="0" w:color="auto"/>
          </w:divBdr>
        </w:div>
        <w:div w:id="1178737369">
          <w:marLeft w:val="0"/>
          <w:marRight w:val="0"/>
          <w:marTop w:val="0"/>
          <w:marBottom w:val="0"/>
          <w:divBdr>
            <w:top w:val="none" w:sz="0" w:space="0" w:color="auto"/>
            <w:left w:val="none" w:sz="0" w:space="0" w:color="auto"/>
            <w:bottom w:val="none" w:sz="0" w:space="0" w:color="auto"/>
            <w:right w:val="none" w:sz="0" w:space="0" w:color="auto"/>
          </w:divBdr>
        </w:div>
        <w:div w:id="2053263668">
          <w:marLeft w:val="0"/>
          <w:marRight w:val="0"/>
          <w:marTop w:val="0"/>
          <w:marBottom w:val="0"/>
          <w:divBdr>
            <w:top w:val="none" w:sz="0" w:space="0" w:color="auto"/>
            <w:left w:val="none" w:sz="0" w:space="0" w:color="auto"/>
            <w:bottom w:val="none" w:sz="0" w:space="0" w:color="auto"/>
            <w:right w:val="none" w:sz="0" w:space="0" w:color="auto"/>
          </w:divBdr>
        </w:div>
      </w:divsChild>
    </w:div>
    <w:div w:id="1774325634">
      <w:bodyDiv w:val="1"/>
      <w:marLeft w:val="0"/>
      <w:marRight w:val="0"/>
      <w:marTop w:val="0"/>
      <w:marBottom w:val="0"/>
      <w:divBdr>
        <w:top w:val="none" w:sz="0" w:space="0" w:color="auto"/>
        <w:left w:val="none" w:sz="0" w:space="0" w:color="auto"/>
        <w:bottom w:val="none" w:sz="0" w:space="0" w:color="auto"/>
        <w:right w:val="none" w:sz="0" w:space="0" w:color="auto"/>
      </w:divBdr>
      <w:divsChild>
        <w:div w:id="94060153">
          <w:marLeft w:val="0"/>
          <w:marRight w:val="0"/>
          <w:marTop w:val="0"/>
          <w:marBottom w:val="0"/>
          <w:divBdr>
            <w:top w:val="none" w:sz="0" w:space="0" w:color="auto"/>
            <w:left w:val="none" w:sz="0" w:space="0" w:color="auto"/>
            <w:bottom w:val="none" w:sz="0" w:space="0" w:color="auto"/>
            <w:right w:val="none" w:sz="0" w:space="0" w:color="auto"/>
          </w:divBdr>
        </w:div>
        <w:div w:id="1132752780">
          <w:marLeft w:val="0"/>
          <w:marRight w:val="0"/>
          <w:marTop w:val="0"/>
          <w:marBottom w:val="0"/>
          <w:divBdr>
            <w:top w:val="none" w:sz="0" w:space="0" w:color="auto"/>
            <w:left w:val="none" w:sz="0" w:space="0" w:color="auto"/>
            <w:bottom w:val="none" w:sz="0" w:space="0" w:color="auto"/>
            <w:right w:val="none" w:sz="0" w:space="0" w:color="auto"/>
          </w:divBdr>
        </w:div>
        <w:div w:id="1968923632">
          <w:marLeft w:val="0"/>
          <w:marRight w:val="0"/>
          <w:marTop w:val="0"/>
          <w:marBottom w:val="0"/>
          <w:divBdr>
            <w:top w:val="none" w:sz="0" w:space="0" w:color="auto"/>
            <w:left w:val="none" w:sz="0" w:space="0" w:color="auto"/>
            <w:bottom w:val="none" w:sz="0" w:space="0" w:color="auto"/>
            <w:right w:val="none" w:sz="0" w:space="0" w:color="auto"/>
          </w:divBdr>
        </w:div>
        <w:div w:id="274137718">
          <w:marLeft w:val="0"/>
          <w:marRight w:val="0"/>
          <w:marTop w:val="0"/>
          <w:marBottom w:val="0"/>
          <w:divBdr>
            <w:top w:val="none" w:sz="0" w:space="0" w:color="auto"/>
            <w:left w:val="none" w:sz="0" w:space="0" w:color="auto"/>
            <w:bottom w:val="none" w:sz="0" w:space="0" w:color="auto"/>
            <w:right w:val="none" w:sz="0" w:space="0" w:color="auto"/>
          </w:divBdr>
        </w:div>
        <w:div w:id="1815675843">
          <w:marLeft w:val="0"/>
          <w:marRight w:val="0"/>
          <w:marTop w:val="0"/>
          <w:marBottom w:val="0"/>
          <w:divBdr>
            <w:top w:val="none" w:sz="0" w:space="0" w:color="auto"/>
            <w:left w:val="none" w:sz="0" w:space="0" w:color="auto"/>
            <w:bottom w:val="none" w:sz="0" w:space="0" w:color="auto"/>
            <w:right w:val="none" w:sz="0" w:space="0" w:color="auto"/>
          </w:divBdr>
        </w:div>
      </w:divsChild>
    </w:div>
    <w:div w:id="19691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s://www.federalreserve.gov/pubs/feds/2003/200312/revision/200312pap.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faculty.insead.edu/fatas/fiscal.pdf" TargetMode="External"/><Relationship Id="rId2" Type="http://schemas.openxmlformats.org/officeDocument/2006/relationships/styles" Target="styles.xml"/><Relationship Id="rId16" Type="http://schemas.openxmlformats.org/officeDocument/2006/relationships/hyperlink" Target="https://www.ecb.europa.eu/pub/pdf/scpwps/ecbwp509.pdf" TargetMode="External"/><Relationship Id="rId20" Type="http://schemas.openxmlformats.org/officeDocument/2006/relationships/hyperlink" Target="https://researchers.anu.edu.au/publications/794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www.douglaslaxton.org/sitebuildercontent/sitebuilderfiles/botman_laxton_muir_2006wp0645.pdf" TargetMode="Externa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hyperlink" Target="http://www.imf.org/external/pubs/ft/issues4/issue4.pdf"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IDEC8127%20Model%20Global%20Econ\Data%20for%20midterm%20essay\datasummary%20for%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IDEC8127%20Model%20Global%20Econ\Data%20for%20midterm%20essay\datasummary%20for%20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IDEC8127%20Model%20Global%20Econ\Data%20for%20midterm%20essay\datasummary%20for%20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IDEC8127%20Model%20Global%20Econ\Data%20for%20midterm%20essay\datasummary%20for%20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IDEC8127%20Model%20Global%20Econ\Data%20for%20midterm%20essay\datasummary%20for%20gra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IDEC8127%20Model%20Global%20Econ\Data%20for%20midterm%20essay\datasummary%20for%20grap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IDEC8127%20Model%20Global%20Econ\Data%20for%20midterm%20essay\datasummary%20for%20graph.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IDEC8127%20Model%20Global%20Econ\Data%20for%20midterm%20essay\datasummary%20for%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t>United States GDP (% Deviation)</a:t>
            </a:r>
            <a:r>
              <a:rPr lang="en-AU" b="1" baseline="0"/>
              <a:t> </a:t>
            </a:r>
            <a:endParaRPr lang="en-AU" b="1"/>
          </a:p>
        </c:rich>
      </c:tx>
      <c:overlay val="0"/>
      <c:spPr>
        <a:noFill/>
        <a:ln>
          <a:noFill/>
        </a:ln>
        <a:effectLst/>
      </c:spPr>
    </c:title>
    <c:autoTitleDeleted val="0"/>
    <c:plotArea>
      <c:layout/>
      <c:lineChart>
        <c:grouping val="standard"/>
        <c:varyColors val="0"/>
        <c:ser>
          <c:idx val="0"/>
          <c:order val="0"/>
          <c:tx>
            <c:strRef>
              <c:f>GDP!$A$2</c:f>
              <c:strCache>
                <c:ptCount val="1"/>
                <c:pt idx="0">
                  <c:v>Permanent 1% cut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GDP!$B$1:$AF$1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GDP!$B$2:$AF$2</c:f>
              <c:numCache>
                <c:formatCode>General</c:formatCode>
                <c:ptCount val="31"/>
                <c:pt idx="0">
                  <c:v>0</c:v>
                </c:pt>
                <c:pt idx="1">
                  <c:v>-0.45374191394954017</c:v>
                </c:pt>
                <c:pt idx="2">
                  <c:v>-0.19544698150754017</c:v>
                </c:pt>
                <c:pt idx="3">
                  <c:v>-6.0395527592997628E-2</c:v>
                </c:pt>
                <c:pt idx="4">
                  <c:v>-8.8745006025395794E-3</c:v>
                </c:pt>
                <c:pt idx="5">
                  <c:v>1.1588043746154401E-2</c:v>
                </c:pt>
                <c:pt idx="6">
                  <c:v>2.4570377557595419E-2</c:v>
                </c:pt>
                <c:pt idx="7">
                  <c:v>3.2927281212836702E-2</c:v>
                </c:pt>
                <c:pt idx="8">
                  <c:v>3.6257335604421626E-2</c:v>
                </c:pt>
                <c:pt idx="9">
                  <c:v>3.7151161231123921E-2</c:v>
                </c:pt>
                <c:pt idx="10">
                  <c:v>3.8875472020053134E-2</c:v>
                </c:pt>
                <c:pt idx="11">
                  <c:v>4.2630041449991218E-2</c:v>
                </c:pt>
                <c:pt idx="12">
                  <c:v>4.7591268867008631E-2</c:v>
                </c:pt>
                <c:pt idx="13">
                  <c:v>5.2458429922552827E-2</c:v>
                </c:pt>
                <c:pt idx="14">
                  <c:v>5.6569050090906098E-2</c:v>
                </c:pt>
                <c:pt idx="15">
                  <c:v>5.9999598402735423E-2</c:v>
                </c:pt>
                <c:pt idx="16">
                  <c:v>6.31276352489855E-2</c:v>
                </c:pt>
                <c:pt idx="17">
                  <c:v>6.6243342122021556E-2</c:v>
                </c:pt>
                <c:pt idx="18">
                  <c:v>6.9430684196140263E-2</c:v>
                </c:pt>
                <c:pt idx="19">
                  <c:v>7.2635682250504333E-2</c:v>
                </c:pt>
                <c:pt idx="20">
                  <c:v>7.5771173388801794E-2</c:v>
                </c:pt>
                <c:pt idx="21">
                  <c:v>7.8776903961348538E-2</c:v>
                </c:pt>
                <c:pt idx="22">
                  <c:v>8.1630390820133347E-2</c:v>
                </c:pt>
                <c:pt idx="23">
                  <c:v>8.4334529071326228E-2</c:v>
                </c:pt>
                <c:pt idx="24">
                  <c:v>8.6903238920856204E-2</c:v>
                </c:pt>
                <c:pt idx="25">
                  <c:v>8.9352788551550905E-2</c:v>
                </c:pt>
                <c:pt idx="26">
                  <c:v>9.1698127945777502E-2</c:v>
                </c:pt>
                <c:pt idx="27">
                  <c:v>9.3951743416922501E-2</c:v>
                </c:pt>
                <c:pt idx="28">
                  <c:v>9.6123483092452874E-2</c:v>
                </c:pt>
                <c:pt idx="29">
                  <c:v>9.8220789182760157E-2</c:v>
                </c:pt>
                <c:pt idx="30">
                  <c:v>0.10024914199828806</c:v>
                </c:pt>
              </c:numCache>
            </c:numRef>
          </c:val>
          <c:smooth val="0"/>
          <c:extLst>
            <c:ext xmlns:c16="http://schemas.microsoft.com/office/drawing/2014/chart" uri="{C3380CC4-5D6E-409C-BE32-E72D297353CC}">
              <c16:uniqueId val="{00000000-87E9-43D6-B6BB-028A7D580B58}"/>
            </c:ext>
          </c:extLst>
        </c:ser>
        <c:ser>
          <c:idx val="1"/>
          <c:order val="1"/>
          <c:tx>
            <c:strRef>
              <c:f>GDP!$A$3</c:f>
              <c:strCache>
                <c:ptCount val="1"/>
                <c:pt idx="0">
                  <c:v>Gradual phase</c:v>
                </c:pt>
              </c:strCache>
            </c:strRef>
          </c:tx>
          <c:spPr>
            <a:ln w="28575" cap="rnd">
              <a:solidFill>
                <a:schemeClr val="accent1">
                  <a:lumMod val="50000"/>
                </a:schemeClr>
              </a:solidFill>
              <a:round/>
            </a:ln>
            <a:effectLst/>
          </c:spPr>
          <c:marker>
            <c:symbol val="circle"/>
            <c:size val="5"/>
            <c:spPr>
              <a:noFill/>
              <a:ln w="9525">
                <a:solidFill>
                  <a:schemeClr val="accent1">
                    <a:lumMod val="50000"/>
                  </a:schemeClr>
                </a:solidFill>
              </a:ln>
              <a:effectLst/>
            </c:spPr>
          </c:marker>
          <c:cat>
            <c:numRef>
              <c:f>GDP!$B$1:$AF$1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GDP!$B$3:$AF$3</c:f>
              <c:numCache>
                <c:formatCode>General</c:formatCode>
                <c:ptCount val="31"/>
                <c:pt idx="0">
                  <c:v>0</c:v>
                </c:pt>
                <c:pt idx="1">
                  <c:v>0.72416845573083999</c:v>
                </c:pt>
                <c:pt idx="2">
                  <c:v>0.10279393921646504</c:v>
                </c:pt>
                <c:pt idx="3">
                  <c:v>-0.17608376287184499</c:v>
                </c:pt>
                <c:pt idx="4">
                  <c:v>-0.24438320246072909</c:v>
                </c:pt>
                <c:pt idx="5">
                  <c:v>-0.307494238863595</c:v>
                </c:pt>
                <c:pt idx="6">
                  <c:v>-3.4555332737882097E-2</c:v>
                </c:pt>
                <c:pt idx="7">
                  <c:v>7.0724177150618033E-3</c:v>
                </c:pt>
                <c:pt idx="8">
                  <c:v>-2.8010688488877517E-2</c:v>
                </c:pt>
                <c:pt idx="9">
                  <c:v>-4.0753997006810934E-2</c:v>
                </c:pt>
                <c:pt idx="10">
                  <c:v>-2.0505768331324111E-2</c:v>
                </c:pt>
                <c:pt idx="11">
                  <c:v>8.3904268621778685E-3</c:v>
                </c:pt>
                <c:pt idx="12">
                  <c:v>2.8978791866155599E-2</c:v>
                </c:pt>
                <c:pt idx="13">
                  <c:v>3.966573147828701E-2</c:v>
                </c:pt>
                <c:pt idx="14">
                  <c:v>4.5385415163481498E-2</c:v>
                </c:pt>
                <c:pt idx="15">
                  <c:v>4.9948618250206828E-2</c:v>
                </c:pt>
                <c:pt idx="16">
                  <c:v>5.443566884902714E-2</c:v>
                </c:pt>
                <c:pt idx="17">
                  <c:v>5.8667722810306529E-2</c:v>
                </c:pt>
                <c:pt idx="18">
                  <c:v>6.2505644786672601E-2</c:v>
                </c:pt>
                <c:pt idx="19">
                  <c:v>6.609488145931211E-2</c:v>
                </c:pt>
                <c:pt idx="20">
                  <c:v>6.9609472069294298E-2</c:v>
                </c:pt>
                <c:pt idx="21">
                  <c:v>7.3078601027573242E-2</c:v>
                </c:pt>
                <c:pt idx="22">
                  <c:v>7.6421717114800794E-2</c:v>
                </c:pt>
                <c:pt idx="23">
                  <c:v>7.9556159873747034E-2</c:v>
                </c:pt>
                <c:pt idx="24">
                  <c:v>8.2456089210660513E-2</c:v>
                </c:pt>
                <c:pt idx="25">
                  <c:v>8.5145912007678501E-2</c:v>
                </c:pt>
                <c:pt idx="26">
                  <c:v>8.7667987476591103E-2</c:v>
                </c:pt>
                <c:pt idx="27">
                  <c:v>9.0058988605075455E-2</c:v>
                </c:pt>
                <c:pt idx="28">
                  <c:v>9.2343300403387479E-2</c:v>
                </c:pt>
                <c:pt idx="29">
                  <c:v>9.45361420717096E-2</c:v>
                </c:pt>
                <c:pt idx="30">
                  <c:v>9.6648021603645107E-2</c:v>
                </c:pt>
              </c:numCache>
            </c:numRef>
          </c:val>
          <c:smooth val="0"/>
          <c:extLst>
            <c:ext xmlns:c16="http://schemas.microsoft.com/office/drawing/2014/chart" uri="{C3380CC4-5D6E-409C-BE32-E72D297353CC}">
              <c16:uniqueId val="{00000001-87E9-43D6-B6BB-028A7D580B58}"/>
            </c:ext>
          </c:extLst>
        </c:ser>
        <c:ser>
          <c:idx val="2"/>
          <c:order val="2"/>
          <c:tx>
            <c:strRef>
              <c:f>GDP!$A$4</c:f>
              <c:strCache>
                <c:ptCount val="1"/>
                <c:pt idx="0">
                  <c:v>ROW and US permananet 1% cut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GDP!$B$1:$AF$1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GDP!$B$4:$AF$4</c:f>
              <c:numCache>
                <c:formatCode>General</c:formatCode>
                <c:ptCount val="31"/>
                <c:pt idx="0">
                  <c:v>0</c:v>
                </c:pt>
                <c:pt idx="1">
                  <c:v>-0.43151533200000008</c:v>
                </c:pt>
                <c:pt idx="2">
                  <c:v>-1.7030669999999999E-3</c:v>
                </c:pt>
                <c:pt idx="3">
                  <c:v>0.10544366600000002</c:v>
                </c:pt>
                <c:pt idx="4">
                  <c:v>6.1048950999999976E-2</c:v>
                </c:pt>
                <c:pt idx="5">
                  <c:v>1.8096180999999999E-2</c:v>
                </c:pt>
                <c:pt idx="6">
                  <c:v>1.9411251000000011E-2</c:v>
                </c:pt>
                <c:pt idx="7">
                  <c:v>4.2744504000000003E-2</c:v>
                </c:pt>
                <c:pt idx="8">
                  <c:v>6.1795785999999998E-2</c:v>
                </c:pt>
                <c:pt idx="9">
                  <c:v>6.8971816000000005E-2</c:v>
                </c:pt>
                <c:pt idx="10">
                  <c:v>6.9006306000000045E-2</c:v>
                </c:pt>
                <c:pt idx="11">
                  <c:v>6.7658623000000043E-2</c:v>
                </c:pt>
                <c:pt idx="12">
                  <c:v>6.7117525000000039E-2</c:v>
                </c:pt>
                <c:pt idx="13">
                  <c:v>6.7039454999999998E-2</c:v>
                </c:pt>
                <c:pt idx="14">
                  <c:v>6.6701018000000001E-2</c:v>
                </c:pt>
                <c:pt idx="15">
                  <c:v>6.5930015000000008E-2</c:v>
                </c:pt>
                <c:pt idx="16">
                  <c:v>6.4944434000000037E-2</c:v>
                </c:pt>
                <c:pt idx="17">
                  <c:v>6.3960405000000012E-2</c:v>
                </c:pt>
                <c:pt idx="18">
                  <c:v>6.3033082000000004E-2</c:v>
                </c:pt>
                <c:pt idx="19">
                  <c:v>6.2111359999999997E-2</c:v>
                </c:pt>
                <c:pt idx="20">
                  <c:v>6.1135620000000022E-2</c:v>
                </c:pt>
                <c:pt idx="21">
                  <c:v>6.0082977000000044E-2</c:v>
                </c:pt>
                <c:pt idx="22">
                  <c:v>5.8962216000000033E-2</c:v>
                </c:pt>
                <c:pt idx="23">
                  <c:v>5.7793971000000069E-2</c:v>
                </c:pt>
                <c:pt idx="24">
                  <c:v>5.6598210000000003E-2</c:v>
                </c:pt>
                <c:pt idx="25">
                  <c:v>5.5391199000000023E-2</c:v>
                </c:pt>
                <c:pt idx="26">
                  <c:v>5.4186241000000031E-2</c:v>
                </c:pt>
                <c:pt idx="27">
                  <c:v>5.2994188000000012E-2</c:v>
                </c:pt>
                <c:pt idx="28">
                  <c:v>5.1823167000000003E-2</c:v>
                </c:pt>
                <c:pt idx="29">
                  <c:v>5.0678358999999958E-2</c:v>
                </c:pt>
                <c:pt idx="30">
                  <c:v>4.9562325000000025E-2</c:v>
                </c:pt>
              </c:numCache>
            </c:numRef>
          </c:val>
          <c:smooth val="0"/>
          <c:extLst>
            <c:ext xmlns:c16="http://schemas.microsoft.com/office/drawing/2014/chart" uri="{C3380CC4-5D6E-409C-BE32-E72D297353CC}">
              <c16:uniqueId val="{00000002-87E9-43D6-B6BB-028A7D580B58}"/>
            </c:ext>
          </c:extLst>
        </c:ser>
        <c:dLbls>
          <c:showLegendKey val="0"/>
          <c:showVal val="0"/>
          <c:showCatName val="0"/>
          <c:showSerName val="0"/>
          <c:showPercent val="0"/>
          <c:showBubbleSize val="0"/>
        </c:dLbls>
        <c:marker val="1"/>
        <c:smooth val="0"/>
        <c:axId val="22383656"/>
        <c:axId val="22385616"/>
      </c:lineChart>
      <c:dateAx>
        <c:axId val="223836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TW"/>
          </a:p>
        </c:txPr>
        <c:crossAx val="22385616"/>
        <c:crosses val="autoZero"/>
        <c:auto val="0"/>
        <c:lblOffset val="100"/>
        <c:baseTimeUnit val="days"/>
      </c:dateAx>
      <c:valAx>
        <c:axId val="22385616"/>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TW"/>
          </a:p>
        </c:txPr>
        <c:crossAx val="22383656"/>
        <c:crosses val="autoZero"/>
        <c:crossBetween val="between"/>
        <c:majorUnit val="0.15000000000000011"/>
      </c:valAx>
      <c:spPr>
        <a:noFill/>
        <a:ln>
          <a:noFill/>
        </a:ln>
        <a:effectLst/>
      </c:spPr>
    </c:plotArea>
    <c:legend>
      <c:legendPos val="b"/>
      <c:layout>
        <c:manualLayout>
          <c:xMode val="edge"/>
          <c:yMode val="edge"/>
          <c:x val="0.17496273788499281"/>
          <c:y val="0.91534247586586037"/>
          <c:w val="0.69701897945851066"/>
          <c:h val="8.36296553229549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t>United</a:t>
            </a:r>
            <a:r>
              <a:rPr lang="en-AU" b="1" baseline="0"/>
              <a:t> States Real 10-Year Treasury Yield (PCT)</a:t>
            </a:r>
            <a:endParaRPr lang="en-AU" b="1"/>
          </a:p>
        </c:rich>
      </c:tx>
      <c:overlay val="0"/>
      <c:spPr>
        <a:noFill/>
        <a:ln>
          <a:noFill/>
        </a:ln>
        <a:effectLst/>
      </c:spPr>
    </c:title>
    <c:autoTitleDeleted val="0"/>
    <c:plotArea>
      <c:layout/>
      <c:lineChart>
        <c:grouping val="standard"/>
        <c:varyColors val="0"/>
        <c:ser>
          <c:idx val="0"/>
          <c:order val="0"/>
          <c:tx>
            <c:strRef>
              <c:f>'10 Year yield'!$A$2</c:f>
              <c:strCache>
                <c:ptCount val="1"/>
                <c:pt idx="0">
                  <c:v>US Permanent 1% cut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'10 Year yield'!$B$1:$AF$1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'10 Year yield'!$B$2:$AF$2</c:f>
              <c:numCache>
                <c:formatCode>General</c:formatCode>
                <c:ptCount val="31"/>
                <c:pt idx="0">
                  <c:v>0</c:v>
                </c:pt>
                <c:pt idx="1">
                  <c:v>-0.116446555795544</c:v>
                </c:pt>
                <c:pt idx="2">
                  <c:v>-0.12334688511368402</c:v>
                </c:pt>
                <c:pt idx="3">
                  <c:v>-0.12776893263770808</c:v>
                </c:pt>
                <c:pt idx="4">
                  <c:v>-0.13146290339798608</c:v>
                </c:pt>
                <c:pt idx="5">
                  <c:v>-0.13469870541395892</c:v>
                </c:pt>
                <c:pt idx="6">
                  <c:v>-0.13745375631118201</c:v>
                </c:pt>
                <c:pt idx="7">
                  <c:v>-0.13980080403377793</c:v>
                </c:pt>
                <c:pt idx="8">
                  <c:v>-0.14184320427794309</c:v>
                </c:pt>
                <c:pt idx="9">
                  <c:v>-0.14363036746634408</c:v>
                </c:pt>
                <c:pt idx="10">
                  <c:v>-0.145174187065054</c:v>
                </c:pt>
                <c:pt idx="11">
                  <c:v>-0.14649741315722128</c:v>
                </c:pt>
                <c:pt idx="12">
                  <c:v>-0.14764893140153007</c:v>
                </c:pt>
                <c:pt idx="13">
                  <c:v>-0.14868574067228499</c:v>
                </c:pt>
                <c:pt idx="14">
                  <c:v>-0.14965110065082099</c:v>
                </c:pt>
                <c:pt idx="15">
                  <c:v>-0.15056729994508899</c:v>
                </c:pt>
                <c:pt idx="16">
                  <c:v>-0.15144162353469012</c:v>
                </c:pt>
                <c:pt idx="17">
                  <c:v>-0.15227576384486699</c:v>
                </c:pt>
                <c:pt idx="18">
                  <c:v>-0.15307184567197499</c:v>
                </c:pt>
                <c:pt idx="19">
                  <c:v>-0.15383399778971901</c:v>
                </c:pt>
                <c:pt idx="20">
                  <c:v>-0.15456750156593013</c:v>
                </c:pt>
                <c:pt idx="21">
                  <c:v>-0.15527757417999399</c:v>
                </c:pt>
                <c:pt idx="22">
                  <c:v>-0.15596867336036113</c:v>
                </c:pt>
                <c:pt idx="23">
                  <c:v>-0.15664431690825301</c:v>
                </c:pt>
                <c:pt idx="24">
                  <c:v>-0.15730714514565899</c:v>
                </c:pt>
                <c:pt idx="25">
                  <c:v>-0.15795904184305312</c:v>
                </c:pt>
                <c:pt idx="26">
                  <c:v>-0.15860125984745613</c:v>
                </c:pt>
                <c:pt idx="27">
                  <c:v>-0.15923455290458297</c:v>
                </c:pt>
                <c:pt idx="28">
                  <c:v>-0.15985931329706912</c:v>
                </c:pt>
                <c:pt idx="29">
                  <c:v>-0.16047570210850692</c:v>
                </c:pt>
                <c:pt idx="30">
                  <c:v>-0.16108375687364393</c:v>
                </c:pt>
              </c:numCache>
            </c:numRef>
          </c:val>
          <c:smooth val="0"/>
          <c:extLst>
            <c:ext xmlns:c16="http://schemas.microsoft.com/office/drawing/2014/chart" uri="{C3380CC4-5D6E-409C-BE32-E72D297353CC}">
              <c16:uniqueId val="{00000000-0186-4E22-B6F7-C6336100C063}"/>
            </c:ext>
          </c:extLst>
        </c:ser>
        <c:ser>
          <c:idx val="1"/>
          <c:order val="1"/>
          <c:tx>
            <c:strRef>
              <c:f>'10 Year yield'!$A$3</c:f>
              <c:strCache>
                <c:ptCount val="1"/>
                <c:pt idx="0">
                  <c:v>US Gradual Phase</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'10 Year yield'!$B$1:$AF$1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'10 Year yield'!$B$3:$AF$3</c:f>
              <c:numCache>
                <c:formatCode>General</c:formatCode>
                <c:ptCount val="31"/>
                <c:pt idx="0">
                  <c:v>0</c:v>
                </c:pt>
                <c:pt idx="1">
                  <c:v>-4.3298481483740022E-3</c:v>
                </c:pt>
                <c:pt idx="2">
                  <c:v>-2.9800760262155314E-2</c:v>
                </c:pt>
                <c:pt idx="3">
                  <c:v>-5.5526329610901599E-2</c:v>
                </c:pt>
                <c:pt idx="4">
                  <c:v>-7.6882012841286651E-2</c:v>
                </c:pt>
                <c:pt idx="5">
                  <c:v>-9.3411326576164008E-2</c:v>
                </c:pt>
                <c:pt idx="6">
                  <c:v>-0.10427712588021806</c:v>
                </c:pt>
                <c:pt idx="7">
                  <c:v>-0.11433940383843</c:v>
                </c:pt>
                <c:pt idx="8">
                  <c:v>-0.12348265197130306</c:v>
                </c:pt>
                <c:pt idx="9">
                  <c:v>-0.130639853119078</c:v>
                </c:pt>
                <c:pt idx="10">
                  <c:v>-0.13564889349610809</c:v>
                </c:pt>
                <c:pt idx="11">
                  <c:v>-0.13910013102260699</c:v>
                </c:pt>
                <c:pt idx="12">
                  <c:v>-0.141661824614433</c:v>
                </c:pt>
                <c:pt idx="13">
                  <c:v>-0.14373989304321699</c:v>
                </c:pt>
                <c:pt idx="14">
                  <c:v>-0.145504268960055</c:v>
                </c:pt>
                <c:pt idx="15">
                  <c:v>-0.147023965741751</c:v>
                </c:pt>
                <c:pt idx="16">
                  <c:v>-0.14834854565502209</c:v>
                </c:pt>
                <c:pt idx="17">
                  <c:v>-0.14952353315909109</c:v>
                </c:pt>
                <c:pt idx="18">
                  <c:v>-0.15058345439505208</c:v>
                </c:pt>
                <c:pt idx="19">
                  <c:v>-0.15155046068546613</c:v>
                </c:pt>
                <c:pt idx="20">
                  <c:v>-0.15244009326858299</c:v>
                </c:pt>
                <c:pt idx="21">
                  <c:v>-0.15326663497650508</c:v>
                </c:pt>
                <c:pt idx="22">
                  <c:v>-0.15404436658965409</c:v>
                </c:pt>
                <c:pt idx="23">
                  <c:v>-0.15478614650368508</c:v>
                </c:pt>
                <c:pt idx="24">
                  <c:v>-0.15550194935911801</c:v>
                </c:pt>
                <c:pt idx="25">
                  <c:v>-0.15619857957993108</c:v>
                </c:pt>
                <c:pt idx="26">
                  <c:v>-0.15688030407885301</c:v>
                </c:pt>
                <c:pt idx="27">
                  <c:v>-0.15754970673551308</c:v>
                </c:pt>
                <c:pt idx="28">
                  <c:v>-0.15820834002515313</c:v>
                </c:pt>
                <c:pt idx="29">
                  <c:v>-0.15885711390122109</c:v>
                </c:pt>
                <c:pt idx="30">
                  <c:v>-0.1594965234924052</c:v>
                </c:pt>
              </c:numCache>
            </c:numRef>
          </c:val>
          <c:smooth val="0"/>
          <c:extLst>
            <c:ext xmlns:c16="http://schemas.microsoft.com/office/drawing/2014/chart" uri="{C3380CC4-5D6E-409C-BE32-E72D297353CC}">
              <c16:uniqueId val="{00000001-0186-4E22-B6F7-C6336100C063}"/>
            </c:ext>
          </c:extLst>
        </c:ser>
        <c:ser>
          <c:idx val="2"/>
          <c:order val="2"/>
          <c:tx>
            <c:strRef>
              <c:f>'10 Year yield'!$A$4</c:f>
              <c:strCache>
                <c:ptCount val="1"/>
                <c:pt idx="0">
                  <c:v>Both (US)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'10 Year yield'!$B$1:$AF$1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'10 Year yield'!$B$4:$AF$4</c:f>
              <c:numCache>
                <c:formatCode>General</c:formatCode>
                <c:ptCount val="31"/>
                <c:pt idx="0">
                  <c:v>0</c:v>
                </c:pt>
                <c:pt idx="1">
                  <c:v>-0.14075894999999999</c:v>
                </c:pt>
                <c:pt idx="2">
                  <c:v>-0.15244468200000016</c:v>
                </c:pt>
                <c:pt idx="3">
                  <c:v>-0.16384440400000008</c:v>
                </c:pt>
                <c:pt idx="4">
                  <c:v>-0.17575468699999999</c:v>
                </c:pt>
                <c:pt idx="5">
                  <c:v>-0.18658033400000007</c:v>
                </c:pt>
                <c:pt idx="6">
                  <c:v>-0.1953859779999999</c:v>
                </c:pt>
                <c:pt idx="7">
                  <c:v>-0.20236310599999999</c:v>
                </c:pt>
                <c:pt idx="8">
                  <c:v>-0.208128548</c:v>
                </c:pt>
                <c:pt idx="9">
                  <c:v>-0.213154125</c:v>
                </c:pt>
                <c:pt idx="10">
                  <c:v>-0.21765927700000001</c:v>
                </c:pt>
                <c:pt idx="11">
                  <c:v>-0.22173604899999999</c:v>
                </c:pt>
                <c:pt idx="12">
                  <c:v>-0.22545900699999999</c:v>
                </c:pt>
                <c:pt idx="13">
                  <c:v>-0.22891055799999999</c:v>
                </c:pt>
                <c:pt idx="14">
                  <c:v>-0.232163075</c:v>
                </c:pt>
                <c:pt idx="15">
                  <c:v>-0.23526482300000001</c:v>
                </c:pt>
                <c:pt idx="16">
                  <c:v>-0.23824254200000008</c:v>
                </c:pt>
                <c:pt idx="17">
                  <c:v>-0.24111165400000001</c:v>
                </c:pt>
                <c:pt idx="18">
                  <c:v>-0.24388413100000009</c:v>
                </c:pt>
                <c:pt idx="19">
                  <c:v>-0.24657130199999999</c:v>
                </c:pt>
                <c:pt idx="20">
                  <c:v>-0.24918364600000001</c:v>
                </c:pt>
                <c:pt idx="21">
                  <c:v>-0.25173008399999997</c:v>
                </c:pt>
                <c:pt idx="22">
                  <c:v>-0.25421776200000001</c:v>
                </c:pt>
                <c:pt idx="23">
                  <c:v>-0.25665225000000003</c:v>
                </c:pt>
                <c:pt idx="24">
                  <c:v>-0.259037829</c:v>
                </c:pt>
                <c:pt idx="25">
                  <c:v>-0.26137771100000018</c:v>
                </c:pt>
                <c:pt idx="26">
                  <c:v>-0.26367422699999998</c:v>
                </c:pt>
                <c:pt idx="27">
                  <c:v>-0.26592902300000015</c:v>
                </c:pt>
                <c:pt idx="28">
                  <c:v>-0.26814325899999986</c:v>
                </c:pt>
                <c:pt idx="29">
                  <c:v>-0.27031779700000036</c:v>
                </c:pt>
                <c:pt idx="30">
                  <c:v>-0.27245333300000002</c:v>
                </c:pt>
              </c:numCache>
            </c:numRef>
          </c:val>
          <c:smooth val="0"/>
          <c:extLst>
            <c:ext xmlns:c16="http://schemas.microsoft.com/office/drawing/2014/chart" uri="{C3380CC4-5D6E-409C-BE32-E72D297353CC}">
              <c16:uniqueId val="{00000002-0186-4E22-B6F7-C6336100C063}"/>
            </c:ext>
          </c:extLst>
        </c:ser>
        <c:dLbls>
          <c:showLegendKey val="0"/>
          <c:showVal val="0"/>
          <c:showCatName val="0"/>
          <c:showSerName val="0"/>
          <c:showPercent val="0"/>
          <c:showBubbleSize val="0"/>
        </c:dLbls>
        <c:marker val="1"/>
        <c:smooth val="0"/>
        <c:axId val="22383264"/>
        <c:axId val="22384048"/>
      </c:lineChart>
      <c:catAx>
        <c:axId val="223832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84048"/>
        <c:crosses val="autoZero"/>
        <c:auto val="1"/>
        <c:lblAlgn val="ctr"/>
        <c:lblOffset val="100"/>
        <c:noMultiLvlLbl val="0"/>
      </c:catAx>
      <c:valAx>
        <c:axId val="2238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8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t>United States Real Exchange Rate (% Deviation)</a:t>
            </a:r>
          </a:p>
        </c:rich>
      </c:tx>
      <c:overlay val="0"/>
      <c:spPr>
        <a:noFill/>
        <a:ln>
          <a:noFill/>
        </a:ln>
        <a:effectLst/>
      </c:spPr>
    </c:title>
    <c:autoTitleDeleted val="0"/>
    <c:plotArea>
      <c:layout/>
      <c:lineChart>
        <c:grouping val="standard"/>
        <c:varyColors val="0"/>
        <c:ser>
          <c:idx val="0"/>
          <c:order val="0"/>
          <c:tx>
            <c:strRef>
              <c:f>REER!$A$2</c:f>
              <c:strCache>
                <c:ptCount val="1"/>
                <c:pt idx="0">
                  <c:v>Permanent 1% cut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REER!$B$1:$AF$1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REER!$B$2:$AF$2</c:f>
              <c:numCache>
                <c:formatCode>General</c:formatCode>
                <c:ptCount val="31"/>
                <c:pt idx="0">
                  <c:v>0</c:v>
                </c:pt>
                <c:pt idx="1">
                  <c:v>-2.2294940300072099</c:v>
                </c:pt>
                <c:pt idx="2">
                  <c:v>-2.0164082995077872</c:v>
                </c:pt>
                <c:pt idx="3">
                  <c:v>-1.9315445740130601</c:v>
                </c:pt>
                <c:pt idx="4">
                  <c:v>-1.86127771685595</c:v>
                </c:pt>
                <c:pt idx="5">
                  <c:v>-1.7767257803702499</c:v>
                </c:pt>
                <c:pt idx="6">
                  <c:v>-1.6835823710588806</c:v>
                </c:pt>
                <c:pt idx="7">
                  <c:v>-1.5918860609602201</c:v>
                </c:pt>
                <c:pt idx="8">
                  <c:v>-1.5058789651706199</c:v>
                </c:pt>
                <c:pt idx="9">
                  <c:v>-1.4248167445483699</c:v>
                </c:pt>
                <c:pt idx="10">
                  <c:v>-1.3464826740823006</c:v>
                </c:pt>
                <c:pt idx="11">
                  <c:v>-1.2694119090344893</c:v>
                </c:pt>
                <c:pt idx="12">
                  <c:v>-1.1932751570374598</c:v>
                </c:pt>
                <c:pt idx="13">
                  <c:v>-1.1183252458829398</c:v>
                </c:pt>
                <c:pt idx="14">
                  <c:v>-1.0448115247515213</c:v>
                </c:pt>
                <c:pt idx="15">
                  <c:v>-0.97274400888084134</c:v>
                </c:pt>
                <c:pt idx="16">
                  <c:v>-0.90195855520506496</c:v>
                </c:pt>
                <c:pt idx="17">
                  <c:v>-0.83228178114153661</c:v>
                </c:pt>
                <c:pt idx="18">
                  <c:v>-0.7636428325917668</c:v>
                </c:pt>
                <c:pt idx="19">
                  <c:v>-0.69608768978281366</c:v>
                </c:pt>
                <c:pt idx="20">
                  <c:v>-0.62972793659789883</c:v>
                </c:pt>
                <c:pt idx="21">
                  <c:v>-0.56467629158101029</c:v>
                </c:pt>
                <c:pt idx="22">
                  <c:v>-0.50100433589567261</c:v>
                </c:pt>
                <c:pt idx="23">
                  <c:v>-0.43873150712511499</c:v>
                </c:pt>
                <c:pt idx="24">
                  <c:v>-0.37783637974028234</c:v>
                </c:pt>
                <c:pt idx="25">
                  <c:v>-0.31827595417702897</c:v>
                </c:pt>
                <c:pt idx="26">
                  <c:v>-0.26000218517702617</c:v>
                </c:pt>
                <c:pt idx="27">
                  <c:v>-0.20297130802297408</c:v>
                </c:pt>
                <c:pt idx="28">
                  <c:v>-0.147146501628245</c:v>
                </c:pt>
                <c:pt idx="29">
                  <c:v>-9.2496647464554299E-2</c:v>
                </c:pt>
                <c:pt idx="30">
                  <c:v>-3.899391637636402E-2</c:v>
                </c:pt>
              </c:numCache>
            </c:numRef>
          </c:val>
          <c:smooth val="0"/>
          <c:extLst>
            <c:ext xmlns:c16="http://schemas.microsoft.com/office/drawing/2014/chart" uri="{C3380CC4-5D6E-409C-BE32-E72D297353CC}">
              <c16:uniqueId val="{00000000-20A0-42CA-81B5-88D68C2C464B}"/>
            </c:ext>
          </c:extLst>
        </c:ser>
        <c:ser>
          <c:idx val="1"/>
          <c:order val="1"/>
          <c:tx>
            <c:strRef>
              <c:f>REER!$A$3</c:f>
              <c:strCache>
                <c:ptCount val="1"/>
                <c:pt idx="0">
                  <c:v>Gradual phase</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REER!$B$1:$AF$1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REER!$B$3:$AF$3</c:f>
              <c:numCache>
                <c:formatCode>General</c:formatCode>
                <c:ptCount val="31"/>
                <c:pt idx="0">
                  <c:v>0</c:v>
                </c:pt>
                <c:pt idx="1">
                  <c:v>-1.3047166549175599</c:v>
                </c:pt>
                <c:pt idx="2">
                  <c:v>-1.1343707663110707</c:v>
                </c:pt>
                <c:pt idx="3">
                  <c:v>-1.2674531971065199</c:v>
                </c:pt>
                <c:pt idx="4">
                  <c:v>-1.5007952259351798</c:v>
                </c:pt>
                <c:pt idx="5">
                  <c:v>-1.7231521981018001</c:v>
                </c:pt>
                <c:pt idx="6">
                  <c:v>-1.7710606900840387</c:v>
                </c:pt>
                <c:pt idx="7">
                  <c:v>-1.69910444678095</c:v>
                </c:pt>
                <c:pt idx="8">
                  <c:v>-1.5888697525381192</c:v>
                </c:pt>
                <c:pt idx="9">
                  <c:v>-1.4854138219938207</c:v>
                </c:pt>
                <c:pt idx="10">
                  <c:v>-1.4014425687035401</c:v>
                </c:pt>
                <c:pt idx="11">
                  <c:v>-1.3324734697643401</c:v>
                </c:pt>
                <c:pt idx="12">
                  <c:v>-1.2698061508530598</c:v>
                </c:pt>
                <c:pt idx="13">
                  <c:v>-1.2071037383839098</c:v>
                </c:pt>
                <c:pt idx="14">
                  <c:v>-1.1417595006491099</c:v>
                </c:pt>
                <c:pt idx="15">
                  <c:v>-1.0737680188032799</c:v>
                </c:pt>
                <c:pt idx="16">
                  <c:v>-1.0041949911419599</c:v>
                </c:pt>
                <c:pt idx="17">
                  <c:v>-0.93417419602454033</c:v>
                </c:pt>
                <c:pt idx="18">
                  <c:v>-0.86452178746751729</c:v>
                </c:pt>
                <c:pt idx="19">
                  <c:v>-0.79572189907474034</c:v>
                </c:pt>
                <c:pt idx="20">
                  <c:v>-0.7280354862503795</c:v>
                </c:pt>
                <c:pt idx="21">
                  <c:v>-0.66159939091711195</c:v>
                </c:pt>
                <c:pt idx="22">
                  <c:v>-0.59648233960210439</c:v>
                </c:pt>
                <c:pt idx="23">
                  <c:v>-0.53271053927117895</c:v>
                </c:pt>
                <c:pt idx="24">
                  <c:v>-0.47028136937698217</c:v>
                </c:pt>
                <c:pt idx="25">
                  <c:v>-0.40917442696711098</c:v>
                </c:pt>
                <c:pt idx="26">
                  <c:v>-0.34936099278480842</c:v>
                </c:pt>
                <c:pt idx="27">
                  <c:v>-0.29081037734868342</c:v>
                </c:pt>
                <c:pt idx="28">
                  <c:v>-0.23349263726198699</c:v>
                </c:pt>
                <c:pt idx="29">
                  <c:v>-0.17737875748100601</c:v>
                </c:pt>
                <c:pt idx="30">
                  <c:v>-0.12243996419379194</c:v>
                </c:pt>
              </c:numCache>
            </c:numRef>
          </c:val>
          <c:smooth val="0"/>
          <c:extLst>
            <c:ext xmlns:c16="http://schemas.microsoft.com/office/drawing/2014/chart" uri="{C3380CC4-5D6E-409C-BE32-E72D297353CC}">
              <c16:uniqueId val="{00000001-20A0-42CA-81B5-88D68C2C464B}"/>
            </c:ext>
          </c:extLst>
        </c:ser>
        <c:ser>
          <c:idx val="2"/>
          <c:order val="2"/>
          <c:tx>
            <c:strRef>
              <c:f>REER!$A$4</c:f>
              <c:strCache>
                <c:ptCount val="1"/>
                <c:pt idx="0">
                  <c:v>ROW and US permananet 1% cut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REER!$B$1:$AF$1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REER!$B$4:$AF$4</c:f>
              <c:numCache>
                <c:formatCode>General</c:formatCode>
                <c:ptCount val="31"/>
                <c:pt idx="0">
                  <c:v>0</c:v>
                </c:pt>
                <c:pt idx="1">
                  <c:v>-1.3842900000000008E-4</c:v>
                </c:pt>
                <c:pt idx="2">
                  <c:v>-1.24776E-4</c:v>
                </c:pt>
                <c:pt idx="3">
                  <c:v>-1.2664300000000001E-4</c:v>
                </c:pt>
                <c:pt idx="4">
                  <c:v>-1.3221900000000007E-4</c:v>
                </c:pt>
                <c:pt idx="5">
                  <c:v>-1.3869700000000007E-4</c:v>
                </c:pt>
                <c:pt idx="6">
                  <c:v>-1.4574700000000003E-4</c:v>
                </c:pt>
                <c:pt idx="7">
                  <c:v>-1.5293699999999999E-4</c:v>
                </c:pt>
                <c:pt idx="8">
                  <c:v>-1.5968100000000011E-4</c:v>
                </c:pt>
                <c:pt idx="9">
                  <c:v>-1.6566000000000015E-4</c:v>
                </c:pt>
                <c:pt idx="10">
                  <c:v>-1.7087500000000007E-4</c:v>
                </c:pt>
                <c:pt idx="11">
                  <c:v>-1.7547300000000007E-4</c:v>
                </c:pt>
                <c:pt idx="12">
                  <c:v>-1.7959400000000007E-4</c:v>
                </c:pt>
                <c:pt idx="13">
                  <c:v>-1.8333000000000008E-4</c:v>
                </c:pt>
                <c:pt idx="14">
                  <c:v>-1.8674600000000009E-4</c:v>
                </c:pt>
                <c:pt idx="15">
                  <c:v>-1.8989300000000011E-4</c:v>
                </c:pt>
                <c:pt idx="16">
                  <c:v>-1.9281400000000022E-4</c:v>
                </c:pt>
                <c:pt idx="17">
                  <c:v>-1.9553600000000011E-4</c:v>
                </c:pt>
                <c:pt idx="18">
                  <c:v>-1.9807500000000022E-4</c:v>
                </c:pt>
                <c:pt idx="19">
                  <c:v>-2.0043700000000014E-4</c:v>
                </c:pt>
                <c:pt idx="20">
                  <c:v>-2.0262700000000006E-4</c:v>
                </c:pt>
                <c:pt idx="21">
                  <c:v>-2.0464999999999999E-4</c:v>
                </c:pt>
                <c:pt idx="22">
                  <c:v>-2.0651400000000014E-4</c:v>
                </c:pt>
                <c:pt idx="23">
                  <c:v>-2.0822599999999997E-4</c:v>
                </c:pt>
                <c:pt idx="24">
                  <c:v>-2.0979300000000022E-4</c:v>
                </c:pt>
                <c:pt idx="25">
                  <c:v>-2.1122599999999988E-4</c:v>
                </c:pt>
                <c:pt idx="26">
                  <c:v>-2.1253100000000015E-4</c:v>
                </c:pt>
                <c:pt idx="27">
                  <c:v>-2.1371700000000015E-4</c:v>
                </c:pt>
                <c:pt idx="28">
                  <c:v>-2.1479000000000027E-4</c:v>
                </c:pt>
                <c:pt idx="29">
                  <c:v>-2.1575700000000015E-4</c:v>
                </c:pt>
                <c:pt idx="30">
                  <c:v>-2.1662499999999999E-4</c:v>
                </c:pt>
              </c:numCache>
            </c:numRef>
          </c:val>
          <c:smooth val="0"/>
          <c:extLst>
            <c:ext xmlns:c16="http://schemas.microsoft.com/office/drawing/2014/chart" uri="{C3380CC4-5D6E-409C-BE32-E72D297353CC}">
              <c16:uniqueId val="{00000002-20A0-42CA-81B5-88D68C2C464B}"/>
            </c:ext>
          </c:extLst>
        </c:ser>
        <c:dLbls>
          <c:showLegendKey val="0"/>
          <c:showVal val="0"/>
          <c:showCatName val="0"/>
          <c:showSerName val="0"/>
          <c:showPercent val="0"/>
          <c:showBubbleSize val="0"/>
        </c:dLbls>
        <c:marker val="1"/>
        <c:smooth val="0"/>
        <c:axId val="22385224"/>
        <c:axId val="22387184"/>
      </c:lineChart>
      <c:catAx>
        <c:axId val="2238522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87184"/>
        <c:crosses val="autoZero"/>
        <c:auto val="1"/>
        <c:lblAlgn val="ctr"/>
        <c:lblOffset val="100"/>
        <c:noMultiLvlLbl val="0"/>
      </c:catAx>
      <c:valAx>
        <c:axId val="2238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85224"/>
        <c:crosses val="autoZero"/>
        <c:crossBetween val="between"/>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t>United States Consumption (% Deviation)</a:t>
            </a:r>
          </a:p>
        </c:rich>
      </c:tx>
      <c:layout>
        <c:manualLayout>
          <c:xMode val="edge"/>
          <c:yMode val="edge"/>
          <c:x val="0.20706049846930544"/>
          <c:y val="5.5555555555555518E-2"/>
        </c:manualLayout>
      </c:layout>
      <c:overlay val="0"/>
      <c:spPr>
        <a:noFill/>
        <a:ln>
          <a:noFill/>
        </a:ln>
        <a:effectLst/>
      </c:spPr>
    </c:title>
    <c:autoTitleDeleted val="0"/>
    <c:plotArea>
      <c:layout/>
      <c:lineChart>
        <c:grouping val="standard"/>
        <c:varyColors val="0"/>
        <c:ser>
          <c:idx val="0"/>
          <c:order val="0"/>
          <c:tx>
            <c:strRef>
              <c:f>Consumption!$A$2</c:f>
              <c:strCache>
                <c:ptCount val="1"/>
                <c:pt idx="0">
                  <c:v>Permanent 1% cut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Consumption!$B$1:$AF$1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Consumption!$B$2:$AF$2</c:f>
              <c:numCache>
                <c:formatCode>General</c:formatCode>
                <c:ptCount val="31"/>
                <c:pt idx="0">
                  <c:v>0</c:v>
                </c:pt>
                <c:pt idx="1">
                  <c:v>0.45662376623181916</c:v>
                </c:pt>
                <c:pt idx="2">
                  <c:v>0.37093904463813671</c:v>
                </c:pt>
                <c:pt idx="3">
                  <c:v>0.24440370558928112</c:v>
                </c:pt>
                <c:pt idx="4">
                  <c:v>0.17885685353564101</c:v>
                </c:pt>
                <c:pt idx="5">
                  <c:v>0.18407274872868393</c:v>
                </c:pt>
                <c:pt idx="6">
                  <c:v>0.23415673244505</c:v>
                </c:pt>
                <c:pt idx="7">
                  <c:v>0.30313889232088526</c:v>
                </c:pt>
                <c:pt idx="8">
                  <c:v>0.37416460402737317</c:v>
                </c:pt>
                <c:pt idx="9">
                  <c:v>0.43835204367229325</c:v>
                </c:pt>
                <c:pt idx="10">
                  <c:v>0.492629606425108</c:v>
                </c:pt>
                <c:pt idx="11">
                  <c:v>0.53785009433758535</c:v>
                </c:pt>
                <c:pt idx="12">
                  <c:v>0.57668191279985836</c:v>
                </c:pt>
                <c:pt idx="13">
                  <c:v>0.61170484383526302</c:v>
                </c:pt>
                <c:pt idx="14">
                  <c:v>0.64443140399900734</c:v>
                </c:pt>
                <c:pt idx="15">
                  <c:v>0.67533806934706297</c:v>
                </c:pt>
                <c:pt idx="16">
                  <c:v>0.70439750078966268</c:v>
                </c:pt>
                <c:pt idx="17">
                  <c:v>0.73156019037290865</c:v>
                </c:pt>
                <c:pt idx="18">
                  <c:v>0.75694757767329479</c:v>
                </c:pt>
                <c:pt idx="19">
                  <c:v>0.78081278003706944</c:v>
                </c:pt>
                <c:pt idx="20">
                  <c:v>0.80342580806054631</c:v>
                </c:pt>
                <c:pt idx="21">
                  <c:v>0.82499288301851048</c:v>
                </c:pt>
                <c:pt idx="22">
                  <c:v>0.84563706083430701</c:v>
                </c:pt>
                <c:pt idx="23">
                  <c:v>0.865418428357553</c:v>
                </c:pt>
                <c:pt idx="24">
                  <c:v>0.88436428995128946</c:v>
                </c:pt>
                <c:pt idx="25">
                  <c:v>0.90249208101521239</c:v>
                </c:pt>
                <c:pt idx="26">
                  <c:v>0.91982102979005997</c:v>
                </c:pt>
                <c:pt idx="27">
                  <c:v>0.93637543599633899</c:v>
                </c:pt>
                <c:pt idx="28">
                  <c:v>0.95218371933897505</c:v>
                </c:pt>
                <c:pt idx="29">
                  <c:v>0.96727622413339731</c:v>
                </c:pt>
                <c:pt idx="30">
                  <c:v>0.98168328991198339</c:v>
                </c:pt>
              </c:numCache>
            </c:numRef>
          </c:val>
          <c:smooth val="0"/>
          <c:extLst>
            <c:ext xmlns:c16="http://schemas.microsoft.com/office/drawing/2014/chart" uri="{C3380CC4-5D6E-409C-BE32-E72D297353CC}">
              <c16:uniqueId val="{00000000-3B2F-4D33-98C0-0F40814C9AFD}"/>
            </c:ext>
          </c:extLst>
        </c:ser>
        <c:ser>
          <c:idx val="1"/>
          <c:order val="1"/>
          <c:tx>
            <c:strRef>
              <c:f>Consumption!$A$3</c:f>
              <c:strCache>
                <c:ptCount val="1"/>
                <c:pt idx="0">
                  <c:v>Gradual phase</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Consumption!$B$1:$AF$1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Consumption!$B$3:$AF$3</c:f>
              <c:numCache>
                <c:formatCode>General</c:formatCode>
                <c:ptCount val="31"/>
                <c:pt idx="0">
                  <c:v>0</c:v>
                </c:pt>
                <c:pt idx="1">
                  <c:v>0.11851363652126802</c:v>
                </c:pt>
                <c:pt idx="2">
                  <c:v>0.22674266567838797</c:v>
                </c:pt>
                <c:pt idx="3">
                  <c:v>0.30233861202886125</c:v>
                </c:pt>
                <c:pt idx="4">
                  <c:v>0.23919775706860497</c:v>
                </c:pt>
                <c:pt idx="5">
                  <c:v>0.14241667692823101</c:v>
                </c:pt>
                <c:pt idx="6">
                  <c:v>5.0706149673213602E-2</c:v>
                </c:pt>
                <c:pt idx="7">
                  <c:v>7.3577304130070006E-2</c:v>
                </c:pt>
                <c:pt idx="8">
                  <c:v>0.18314236083111213</c:v>
                </c:pt>
                <c:pt idx="9">
                  <c:v>0.29713489281971617</c:v>
                </c:pt>
                <c:pt idx="10">
                  <c:v>0.37869142198228717</c:v>
                </c:pt>
                <c:pt idx="11">
                  <c:v>0.43374342738254118</c:v>
                </c:pt>
                <c:pt idx="12">
                  <c:v>0.47881786036935736</c:v>
                </c:pt>
                <c:pt idx="13">
                  <c:v>0.52283334652115399</c:v>
                </c:pt>
                <c:pt idx="14">
                  <c:v>0.56646135877734238</c:v>
                </c:pt>
                <c:pt idx="15">
                  <c:v>0.60755646387390272</c:v>
                </c:pt>
                <c:pt idx="16">
                  <c:v>0.64471973138182348</c:v>
                </c:pt>
                <c:pt idx="17">
                  <c:v>0.67786633886575098</c:v>
                </c:pt>
                <c:pt idx="18">
                  <c:v>0.70755781731137934</c:v>
                </c:pt>
                <c:pt idx="19">
                  <c:v>0.73445369800587834</c:v>
                </c:pt>
                <c:pt idx="20">
                  <c:v>0.75914292082753498</c:v>
                </c:pt>
                <c:pt idx="21">
                  <c:v>0.78213323191015771</c:v>
                </c:pt>
                <c:pt idx="22">
                  <c:v>0.8038341946983153</c:v>
                </c:pt>
                <c:pt idx="23">
                  <c:v>0.82452752060086298</c:v>
                </c:pt>
                <c:pt idx="24">
                  <c:v>0.84436637365306799</c:v>
                </c:pt>
                <c:pt idx="25">
                  <c:v>0.86341159883332297</c:v>
                </c:pt>
                <c:pt idx="26">
                  <c:v>0.88168007306729002</c:v>
                </c:pt>
                <c:pt idx="27">
                  <c:v>0.8991801180329424</c:v>
                </c:pt>
                <c:pt idx="28">
                  <c:v>0.91592645156405805</c:v>
                </c:pt>
                <c:pt idx="29">
                  <c:v>0.93194106902395402</c:v>
                </c:pt>
                <c:pt idx="30">
                  <c:v>0.9472493974787195</c:v>
                </c:pt>
              </c:numCache>
            </c:numRef>
          </c:val>
          <c:smooth val="0"/>
          <c:extLst>
            <c:ext xmlns:c16="http://schemas.microsoft.com/office/drawing/2014/chart" uri="{C3380CC4-5D6E-409C-BE32-E72D297353CC}">
              <c16:uniqueId val="{00000001-3B2F-4D33-98C0-0F40814C9AFD}"/>
            </c:ext>
          </c:extLst>
        </c:ser>
        <c:ser>
          <c:idx val="2"/>
          <c:order val="2"/>
          <c:tx>
            <c:strRef>
              <c:f>Consumption!$A$4</c:f>
              <c:strCache>
                <c:ptCount val="1"/>
                <c:pt idx="0">
                  <c:v>ROW and US permananet 1% cut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Consumption!$B$1:$AF$1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Consumption!$B$4:$AF$4</c:f>
              <c:numCache>
                <c:formatCode>General</c:formatCode>
                <c:ptCount val="31"/>
                <c:pt idx="0">
                  <c:v>0</c:v>
                </c:pt>
                <c:pt idx="1">
                  <c:v>1.3349332059999994</c:v>
                </c:pt>
                <c:pt idx="2">
                  <c:v>1.1374543949999998</c:v>
                </c:pt>
                <c:pt idx="3">
                  <c:v>1.0193065269999999</c:v>
                </c:pt>
                <c:pt idx="4">
                  <c:v>1.017412507</c:v>
                </c:pt>
                <c:pt idx="5">
                  <c:v>1.0590251069999999</c:v>
                </c:pt>
                <c:pt idx="6">
                  <c:v>1.0925528600000007</c:v>
                </c:pt>
                <c:pt idx="7">
                  <c:v>1.1116949219999999</c:v>
                </c:pt>
                <c:pt idx="8">
                  <c:v>1.1276496229999993</c:v>
                </c:pt>
                <c:pt idx="9">
                  <c:v>1.146283097</c:v>
                </c:pt>
                <c:pt idx="10">
                  <c:v>1.1649729810000007</c:v>
                </c:pt>
                <c:pt idx="11">
                  <c:v>1.1788313029999993</c:v>
                </c:pt>
                <c:pt idx="12">
                  <c:v>1.1854476110000001</c:v>
                </c:pt>
                <c:pt idx="13">
                  <c:v>1.1853723229999999</c:v>
                </c:pt>
                <c:pt idx="14">
                  <c:v>1.1804997049999999</c:v>
                </c:pt>
                <c:pt idx="15">
                  <c:v>1.1726676549999999</c:v>
                </c:pt>
                <c:pt idx="16">
                  <c:v>1.1631741969999998</c:v>
                </c:pt>
                <c:pt idx="17">
                  <c:v>1.1528554410000007</c:v>
                </c:pt>
                <c:pt idx="18">
                  <c:v>1.142261505</c:v>
                </c:pt>
                <c:pt idx="19">
                  <c:v>1.1317488869999999</c:v>
                </c:pt>
                <c:pt idx="20">
                  <c:v>1.1215137079999993</c:v>
                </c:pt>
                <c:pt idx="21">
                  <c:v>1.1116240109999989</c:v>
                </c:pt>
                <c:pt idx="22">
                  <c:v>1.1020669080000001</c:v>
                </c:pt>
                <c:pt idx="23">
                  <c:v>1.0927954949999998</c:v>
                </c:pt>
                <c:pt idx="24">
                  <c:v>1.0837604059999992</c:v>
                </c:pt>
                <c:pt idx="25">
                  <c:v>1.074923544</c:v>
                </c:pt>
                <c:pt idx="26">
                  <c:v>1.0662601210000007</c:v>
                </c:pt>
                <c:pt idx="27">
                  <c:v>1.0577558810000001</c:v>
                </c:pt>
                <c:pt idx="28">
                  <c:v>1.0494035469999998</c:v>
                </c:pt>
                <c:pt idx="29">
                  <c:v>1.0411998449999993</c:v>
                </c:pt>
                <c:pt idx="30">
                  <c:v>1.03314332</c:v>
                </c:pt>
              </c:numCache>
            </c:numRef>
          </c:val>
          <c:smooth val="0"/>
          <c:extLst>
            <c:ext xmlns:c16="http://schemas.microsoft.com/office/drawing/2014/chart" uri="{C3380CC4-5D6E-409C-BE32-E72D297353CC}">
              <c16:uniqueId val="{00000002-3B2F-4D33-98C0-0F40814C9AFD}"/>
            </c:ext>
          </c:extLst>
        </c:ser>
        <c:dLbls>
          <c:showLegendKey val="0"/>
          <c:showVal val="0"/>
          <c:showCatName val="0"/>
          <c:showSerName val="0"/>
          <c:showPercent val="0"/>
          <c:showBubbleSize val="0"/>
        </c:dLbls>
        <c:marker val="1"/>
        <c:smooth val="0"/>
        <c:axId val="22386008"/>
        <c:axId val="22379736"/>
      </c:lineChart>
      <c:catAx>
        <c:axId val="2238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79736"/>
        <c:crosses val="autoZero"/>
        <c:auto val="1"/>
        <c:lblAlgn val="ctr"/>
        <c:lblOffset val="100"/>
        <c:noMultiLvlLbl val="0"/>
      </c:catAx>
      <c:valAx>
        <c:axId val="22379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8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t>United States Capital Good Demanded</a:t>
            </a:r>
            <a:r>
              <a:rPr lang="en-AU" b="1" baseline="0"/>
              <a:t> (% Deviation)</a:t>
            </a:r>
            <a:endParaRPr lang="en-AU" b="1"/>
          </a:p>
        </c:rich>
      </c:tx>
      <c:layout>
        <c:manualLayout>
          <c:xMode val="edge"/>
          <c:yMode val="edge"/>
          <c:x val="0.22114643077022791"/>
          <c:y val="4.1666666666666664E-2"/>
        </c:manualLayout>
      </c:layout>
      <c:overlay val="0"/>
      <c:spPr>
        <a:noFill/>
        <a:ln>
          <a:noFill/>
        </a:ln>
        <a:effectLst/>
      </c:spPr>
    </c:title>
    <c:autoTitleDeleted val="0"/>
    <c:plotArea>
      <c:layout/>
      <c:lineChart>
        <c:grouping val="standard"/>
        <c:varyColors val="0"/>
        <c:ser>
          <c:idx val="0"/>
          <c:order val="0"/>
          <c:tx>
            <c:strRef>
              <c:f>'cap good demanded'!$A$2</c:f>
              <c:strCache>
                <c:ptCount val="1"/>
                <c:pt idx="0">
                  <c:v>Permanent 1% cut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'cap good demanded'!$B$1:$AF$1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'cap good demanded'!$B$2:$AF$2</c:f>
              <c:numCache>
                <c:formatCode>General</c:formatCode>
                <c:ptCount val="31"/>
                <c:pt idx="0">
                  <c:v>0</c:v>
                </c:pt>
                <c:pt idx="1">
                  <c:v>-0.79588113097500202</c:v>
                </c:pt>
                <c:pt idx="2">
                  <c:v>-2.9366045897246082</c:v>
                </c:pt>
                <c:pt idx="3">
                  <c:v>-3.17496911785627</c:v>
                </c:pt>
                <c:pt idx="4">
                  <c:v>-1.5239291257354493</c:v>
                </c:pt>
                <c:pt idx="5">
                  <c:v>0.68823846471941197</c:v>
                </c:pt>
                <c:pt idx="6">
                  <c:v>2.2992261986936198</c:v>
                </c:pt>
                <c:pt idx="7">
                  <c:v>2.5433949249920014</c:v>
                </c:pt>
                <c:pt idx="8">
                  <c:v>2.0427318775241714</c:v>
                </c:pt>
                <c:pt idx="9">
                  <c:v>1.5299514069436999</c:v>
                </c:pt>
                <c:pt idx="10">
                  <c:v>1.2649058665316106</c:v>
                </c:pt>
                <c:pt idx="11">
                  <c:v>1.1854964699015607</c:v>
                </c:pt>
                <c:pt idx="12">
                  <c:v>1.17167267408512</c:v>
                </c:pt>
                <c:pt idx="13">
                  <c:v>1.16167424496161</c:v>
                </c:pt>
                <c:pt idx="14">
                  <c:v>1.1457047321938998</c:v>
                </c:pt>
                <c:pt idx="15">
                  <c:v>1.1298949072441486</c:v>
                </c:pt>
                <c:pt idx="16">
                  <c:v>1.1177758256458201</c:v>
                </c:pt>
                <c:pt idx="17">
                  <c:v>1.1093009807619401</c:v>
                </c:pt>
                <c:pt idx="18">
                  <c:v>1.10418338131468</c:v>
                </c:pt>
                <c:pt idx="19">
                  <c:v>1.1028345245108506</c:v>
                </c:pt>
                <c:pt idx="20">
                  <c:v>1.1054234849811</c:v>
                </c:pt>
                <c:pt idx="21">
                  <c:v>1.11120859854223</c:v>
                </c:pt>
                <c:pt idx="22">
                  <c:v>1.11882231126081</c:v>
                </c:pt>
                <c:pt idx="23">
                  <c:v>1.1269433450711699</c:v>
                </c:pt>
                <c:pt idx="24">
                  <c:v>1.1347223154678898</c:v>
                </c:pt>
                <c:pt idx="25">
                  <c:v>1.1418080908921893</c:v>
                </c:pt>
                <c:pt idx="26">
                  <c:v>1.1481601240546506</c:v>
                </c:pt>
                <c:pt idx="27">
                  <c:v>1.1538581607250806</c:v>
                </c:pt>
                <c:pt idx="28">
                  <c:v>1.1589978465272401</c:v>
                </c:pt>
                <c:pt idx="29">
                  <c:v>1.1636592745897101</c:v>
                </c:pt>
                <c:pt idx="30">
                  <c:v>1.1679067348787207</c:v>
                </c:pt>
              </c:numCache>
            </c:numRef>
          </c:val>
          <c:smooth val="0"/>
          <c:extLst>
            <c:ext xmlns:c16="http://schemas.microsoft.com/office/drawing/2014/chart" uri="{C3380CC4-5D6E-409C-BE32-E72D297353CC}">
              <c16:uniqueId val="{00000000-5717-446F-9A13-6F9B48E90BC0}"/>
            </c:ext>
          </c:extLst>
        </c:ser>
        <c:ser>
          <c:idx val="1"/>
          <c:order val="1"/>
          <c:tx>
            <c:strRef>
              <c:f>'cap good demanded'!$A$3</c:f>
              <c:strCache>
                <c:ptCount val="1"/>
                <c:pt idx="0">
                  <c:v>Gradual phase</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'cap good demanded'!$B$1:$AF$1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'cap good demanded'!$B$3:$AF$3</c:f>
              <c:numCache>
                <c:formatCode>General</c:formatCode>
                <c:ptCount val="31"/>
                <c:pt idx="0">
                  <c:v>0</c:v>
                </c:pt>
                <c:pt idx="1">
                  <c:v>-0.45666874335048324</c:v>
                </c:pt>
                <c:pt idx="2">
                  <c:v>-3.0463796067489515E-3</c:v>
                </c:pt>
                <c:pt idx="3">
                  <c:v>0.65867660535361461</c:v>
                </c:pt>
                <c:pt idx="4">
                  <c:v>1.1003440536200499</c:v>
                </c:pt>
                <c:pt idx="5">
                  <c:v>1.3146134592512206</c:v>
                </c:pt>
                <c:pt idx="6">
                  <c:v>1.3798060504902099</c:v>
                </c:pt>
                <c:pt idx="7">
                  <c:v>1.3535239562656498</c:v>
                </c:pt>
                <c:pt idx="8">
                  <c:v>1.28063411083676</c:v>
                </c:pt>
                <c:pt idx="9">
                  <c:v>1.2021271141577401</c:v>
                </c:pt>
                <c:pt idx="10">
                  <c:v>1.1455917755818499</c:v>
                </c:pt>
                <c:pt idx="11">
                  <c:v>1.118040535813831</c:v>
                </c:pt>
                <c:pt idx="12">
                  <c:v>1.1113266948541092</c:v>
                </c:pt>
                <c:pt idx="13">
                  <c:v>1.1135572942763501</c:v>
                </c:pt>
                <c:pt idx="14">
                  <c:v>1.1169974064802901</c:v>
                </c:pt>
                <c:pt idx="15">
                  <c:v>1.1194480337965806</c:v>
                </c:pt>
                <c:pt idx="16">
                  <c:v>1.12178347545617</c:v>
                </c:pt>
                <c:pt idx="17">
                  <c:v>1.1252690400750898</c:v>
                </c:pt>
                <c:pt idx="18">
                  <c:v>1.130345563558371</c:v>
                </c:pt>
                <c:pt idx="19">
                  <c:v>1.1366838193192501</c:v>
                </c:pt>
                <c:pt idx="20">
                  <c:v>1.1436766335773199</c:v>
                </c:pt>
                <c:pt idx="21">
                  <c:v>1.1508018385416501</c:v>
                </c:pt>
                <c:pt idx="22">
                  <c:v>1.15773093260787</c:v>
                </c:pt>
                <c:pt idx="23">
                  <c:v>1.1642898413948006</c:v>
                </c:pt>
                <c:pt idx="24">
                  <c:v>1.1703925690923307</c:v>
                </c:pt>
                <c:pt idx="25">
                  <c:v>1.17600040834439</c:v>
                </c:pt>
                <c:pt idx="26">
                  <c:v>1.1811062694698</c:v>
                </c:pt>
                <c:pt idx="27">
                  <c:v>1.1857282736538599</c:v>
                </c:pt>
                <c:pt idx="28">
                  <c:v>1.1899026354143798</c:v>
                </c:pt>
                <c:pt idx="29">
                  <c:v>1.19367449418381</c:v>
                </c:pt>
                <c:pt idx="30">
                  <c:v>1.19708923789778</c:v>
                </c:pt>
              </c:numCache>
            </c:numRef>
          </c:val>
          <c:smooth val="0"/>
          <c:extLst>
            <c:ext xmlns:c16="http://schemas.microsoft.com/office/drawing/2014/chart" uri="{C3380CC4-5D6E-409C-BE32-E72D297353CC}">
              <c16:uniqueId val="{00000001-5717-446F-9A13-6F9B48E90BC0}"/>
            </c:ext>
          </c:extLst>
        </c:ser>
        <c:ser>
          <c:idx val="2"/>
          <c:order val="2"/>
          <c:tx>
            <c:strRef>
              <c:f>'cap good demanded'!$A$4</c:f>
              <c:strCache>
                <c:ptCount val="1"/>
                <c:pt idx="0">
                  <c:v>ROW and US permananet 1% cut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'cap good demanded'!$B$1:$AF$1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'cap good demanded'!$B$4:$AF$4</c:f>
              <c:numCache>
                <c:formatCode>General</c:formatCode>
                <c:ptCount val="31"/>
                <c:pt idx="0">
                  <c:v>0</c:v>
                </c:pt>
                <c:pt idx="1">
                  <c:v>2.0209444809999999</c:v>
                </c:pt>
                <c:pt idx="2">
                  <c:v>3.8910544969999985</c:v>
                </c:pt>
                <c:pt idx="3">
                  <c:v>4.1752695649999998</c:v>
                </c:pt>
                <c:pt idx="4">
                  <c:v>3.4727737199999997</c:v>
                </c:pt>
                <c:pt idx="5">
                  <c:v>2.7026649229999999</c:v>
                </c:pt>
                <c:pt idx="6">
                  <c:v>2.2527764919999997</c:v>
                </c:pt>
                <c:pt idx="7">
                  <c:v>2.0639804720000012</c:v>
                </c:pt>
                <c:pt idx="8">
                  <c:v>1.9696099579999993</c:v>
                </c:pt>
                <c:pt idx="9">
                  <c:v>1.8805237539999993</c:v>
                </c:pt>
                <c:pt idx="10">
                  <c:v>1.7885745979999994</c:v>
                </c:pt>
                <c:pt idx="11">
                  <c:v>1.710584186</c:v>
                </c:pt>
                <c:pt idx="12">
                  <c:v>1.6539858839999999</c:v>
                </c:pt>
                <c:pt idx="13">
                  <c:v>1.6141334260000006</c:v>
                </c:pt>
                <c:pt idx="14">
                  <c:v>1.5834636399999993</c:v>
                </c:pt>
                <c:pt idx="15">
                  <c:v>1.5574201649999999</c:v>
                </c:pt>
                <c:pt idx="16">
                  <c:v>1.534652042</c:v>
                </c:pt>
                <c:pt idx="17">
                  <c:v>1.5149906939999989</c:v>
                </c:pt>
                <c:pt idx="18">
                  <c:v>1.4980889129999999</c:v>
                </c:pt>
                <c:pt idx="19">
                  <c:v>1.4832424069999999</c:v>
                </c:pt>
                <c:pt idx="20">
                  <c:v>1.4697175210000006</c:v>
                </c:pt>
                <c:pt idx="21">
                  <c:v>1.4569923859999994</c:v>
                </c:pt>
                <c:pt idx="22">
                  <c:v>1.4447765899999998</c:v>
                </c:pt>
                <c:pt idx="23">
                  <c:v>1.4329251999999992</c:v>
                </c:pt>
                <c:pt idx="24">
                  <c:v>1.421362434</c:v>
                </c:pt>
                <c:pt idx="25">
                  <c:v>1.4100471080000001</c:v>
                </c:pt>
                <c:pt idx="26">
                  <c:v>1.3989622159999993</c:v>
                </c:pt>
                <c:pt idx="27">
                  <c:v>1.3881083400000001</c:v>
                </c:pt>
                <c:pt idx="28">
                  <c:v>1.3774948069999993</c:v>
                </c:pt>
                <c:pt idx="29">
                  <c:v>1.3671313569999992</c:v>
                </c:pt>
                <c:pt idx="30">
                  <c:v>1.3570233579999988</c:v>
                </c:pt>
              </c:numCache>
            </c:numRef>
          </c:val>
          <c:smooth val="0"/>
          <c:extLst>
            <c:ext xmlns:c16="http://schemas.microsoft.com/office/drawing/2014/chart" uri="{C3380CC4-5D6E-409C-BE32-E72D297353CC}">
              <c16:uniqueId val="{00000002-5717-446F-9A13-6F9B48E90BC0}"/>
            </c:ext>
          </c:extLst>
        </c:ser>
        <c:dLbls>
          <c:showLegendKey val="0"/>
          <c:showVal val="0"/>
          <c:showCatName val="0"/>
          <c:showSerName val="0"/>
          <c:showPercent val="0"/>
          <c:showBubbleSize val="0"/>
        </c:dLbls>
        <c:marker val="1"/>
        <c:smooth val="0"/>
        <c:axId val="22380912"/>
        <c:axId val="22381696"/>
      </c:lineChart>
      <c:catAx>
        <c:axId val="2238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81696"/>
        <c:crosses val="autoZero"/>
        <c:auto val="1"/>
        <c:lblAlgn val="ctr"/>
        <c:lblOffset val="100"/>
        <c:noMultiLvlLbl val="0"/>
      </c:catAx>
      <c:valAx>
        <c:axId val="2238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8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t>United</a:t>
            </a:r>
            <a:r>
              <a:rPr lang="en-AU" b="1" baseline="0"/>
              <a:t> States Trade Balance (% Deviation)</a:t>
            </a:r>
            <a:endParaRPr lang="en-AU" b="1"/>
          </a:p>
        </c:rich>
      </c:tx>
      <c:layout>
        <c:manualLayout>
          <c:xMode val="edge"/>
          <c:yMode val="edge"/>
          <c:x val="0.22564839880036408"/>
          <c:y val="4.6296296296296328E-2"/>
        </c:manualLayout>
      </c:layout>
      <c:overlay val="0"/>
      <c:spPr>
        <a:noFill/>
        <a:ln>
          <a:noFill/>
        </a:ln>
        <a:effectLst/>
      </c:spPr>
    </c:title>
    <c:autoTitleDeleted val="0"/>
    <c:plotArea>
      <c:layout/>
      <c:lineChart>
        <c:grouping val="standard"/>
        <c:varyColors val="0"/>
        <c:ser>
          <c:idx val="0"/>
          <c:order val="0"/>
          <c:tx>
            <c:strRef>
              <c:f>'TBAL (Trade Surplus)'!$A$2</c:f>
              <c:strCache>
                <c:ptCount val="1"/>
                <c:pt idx="0">
                  <c:v>Permanent 1% cut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'TBAL (Trade Surplus)'!$B$1:$AF$1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'TBAL (Trade Surplus)'!$B$2:$AF$2</c:f>
              <c:numCache>
                <c:formatCode>General</c:formatCode>
                <c:ptCount val="31"/>
                <c:pt idx="0">
                  <c:v>0</c:v>
                </c:pt>
                <c:pt idx="1">
                  <c:v>0.414231171908167</c:v>
                </c:pt>
                <c:pt idx="2">
                  <c:v>0.40119158165499702</c:v>
                </c:pt>
                <c:pt idx="3">
                  <c:v>0.36864536964977318</c:v>
                </c:pt>
                <c:pt idx="4">
                  <c:v>0.33282838267115034</c:v>
                </c:pt>
                <c:pt idx="5">
                  <c:v>0.30316178336196226</c:v>
                </c:pt>
                <c:pt idx="6">
                  <c:v>0.28138251921948643</c:v>
                </c:pt>
                <c:pt idx="7">
                  <c:v>0.26509379008421602</c:v>
                </c:pt>
                <c:pt idx="8">
                  <c:v>0.25125338811183884</c:v>
                </c:pt>
                <c:pt idx="9">
                  <c:v>0.23790055024569001</c:v>
                </c:pt>
                <c:pt idx="10">
                  <c:v>0.22434390832369991</c:v>
                </c:pt>
                <c:pt idx="11">
                  <c:v>0.210655747423731</c:v>
                </c:pt>
                <c:pt idx="12">
                  <c:v>0.197134338604633</c:v>
                </c:pt>
                <c:pt idx="13">
                  <c:v>0.18400563181780513</c:v>
                </c:pt>
                <c:pt idx="14">
                  <c:v>0.171354070068404</c:v>
                </c:pt>
                <c:pt idx="15">
                  <c:v>0.15916857366149309</c:v>
                </c:pt>
                <c:pt idx="16">
                  <c:v>0.14740600003050508</c:v>
                </c:pt>
                <c:pt idx="17">
                  <c:v>0.136028635328796</c:v>
                </c:pt>
                <c:pt idx="18">
                  <c:v>0.12501369502080201</c:v>
                </c:pt>
                <c:pt idx="19">
                  <c:v>0.11434860237165904</c:v>
                </c:pt>
                <c:pt idx="20">
                  <c:v>0.10402422769873504</c:v>
                </c:pt>
                <c:pt idx="21">
                  <c:v>9.4031262771904225E-2</c:v>
                </c:pt>
                <c:pt idx="22">
                  <c:v>8.435966419398197E-2</c:v>
                </c:pt>
                <c:pt idx="23">
                  <c:v>7.4999320297052294E-2</c:v>
                </c:pt>
                <c:pt idx="24">
                  <c:v>6.5940547812349495E-2</c:v>
                </c:pt>
                <c:pt idx="25">
                  <c:v>5.7174040035281197E-2</c:v>
                </c:pt>
                <c:pt idx="26">
                  <c:v>4.8690525866219095E-2</c:v>
                </c:pt>
                <c:pt idx="27">
                  <c:v>4.0480503617617798E-2</c:v>
                </c:pt>
                <c:pt idx="28">
                  <c:v>3.253422408251281E-2</c:v>
                </c:pt>
                <c:pt idx="29">
                  <c:v>2.4841884082871718E-2</c:v>
                </c:pt>
                <c:pt idx="30">
                  <c:v>1.7393890576841098E-2</c:v>
                </c:pt>
              </c:numCache>
            </c:numRef>
          </c:val>
          <c:smooth val="0"/>
          <c:extLst>
            <c:ext xmlns:c16="http://schemas.microsoft.com/office/drawing/2014/chart" uri="{C3380CC4-5D6E-409C-BE32-E72D297353CC}">
              <c16:uniqueId val="{00000000-9EF1-4274-B328-FA4877AC1D93}"/>
            </c:ext>
          </c:extLst>
        </c:ser>
        <c:ser>
          <c:idx val="1"/>
          <c:order val="1"/>
          <c:tx>
            <c:strRef>
              <c:f>'TBAL (Trade Surplus)'!$A$3</c:f>
              <c:strCache>
                <c:ptCount val="1"/>
                <c:pt idx="0">
                  <c:v>Gradual phase</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'TBAL (Trade Surplus)'!$B$1:$AF$1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'TBAL (Trade Surplus)'!$B$3:$AF$3</c:f>
              <c:numCache>
                <c:formatCode>General</c:formatCode>
                <c:ptCount val="31"/>
                <c:pt idx="0">
                  <c:v>0</c:v>
                </c:pt>
                <c:pt idx="1">
                  <c:v>0.15869944175063516</c:v>
                </c:pt>
                <c:pt idx="2">
                  <c:v>0.24357785382010799</c:v>
                </c:pt>
                <c:pt idx="3">
                  <c:v>0.29615775024060298</c:v>
                </c:pt>
                <c:pt idx="4">
                  <c:v>0.32360921988513502</c:v>
                </c:pt>
                <c:pt idx="5">
                  <c:v>0.33891786418233033</c:v>
                </c:pt>
                <c:pt idx="6">
                  <c:v>0.29795098616009036</c:v>
                </c:pt>
                <c:pt idx="7">
                  <c:v>0.27259268883452398</c:v>
                </c:pt>
                <c:pt idx="8">
                  <c:v>0.25882898056400433</c:v>
                </c:pt>
                <c:pt idx="9">
                  <c:v>0.24954477934272312</c:v>
                </c:pt>
                <c:pt idx="10">
                  <c:v>0.23985480082623509</c:v>
                </c:pt>
                <c:pt idx="11">
                  <c:v>0.22811560210042509</c:v>
                </c:pt>
                <c:pt idx="12">
                  <c:v>0.21478010094267408</c:v>
                </c:pt>
                <c:pt idx="13">
                  <c:v>0.20094509394321708</c:v>
                </c:pt>
                <c:pt idx="14">
                  <c:v>0.18746173380505313</c:v>
                </c:pt>
                <c:pt idx="15">
                  <c:v>0.17468786113186099</c:v>
                </c:pt>
                <c:pt idx="16">
                  <c:v>0.16261309318396799</c:v>
                </c:pt>
                <c:pt idx="17">
                  <c:v>0.15107664121475092</c:v>
                </c:pt>
                <c:pt idx="18">
                  <c:v>0.13992366334427001</c:v>
                </c:pt>
                <c:pt idx="19">
                  <c:v>0.12906663528192408</c:v>
                </c:pt>
                <c:pt idx="20">
                  <c:v>0.118481163941326</c:v>
                </c:pt>
                <c:pt idx="21">
                  <c:v>0.108177168006464</c:v>
                </c:pt>
                <c:pt idx="22">
                  <c:v>9.8172509659263843E-2</c:v>
                </c:pt>
                <c:pt idx="23">
                  <c:v>8.8478712248703864E-2</c:v>
                </c:pt>
                <c:pt idx="24">
                  <c:v>7.9097382593519519E-2</c:v>
                </c:pt>
                <c:pt idx="25">
                  <c:v>7.0022317712123638E-2</c:v>
                </c:pt>
                <c:pt idx="26">
                  <c:v>6.1243047552449796E-2</c:v>
                </c:pt>
                <c:pt idx="27">
                  <c:v>5.2747649454524502E-2</c:v>
                </c:pt>
                <c:pt idx="28">
                  <c:v>4.4524328508045101E-2</c:v>
                </c:pt>
                <c:pt idx="29">
                  <c:v>3.6562047488855824E-2</c:v>
                </c:pt>
                <c:pt idx="30">
                  <c:v>2.8850640898882788E-2</c:v>
                </c:pt>
              </c:numCache>
            </c:numRef>
          </c:val>
          <c:smooth val="0"/>
          <c:extLst>
            <c:ext xmlns:c16="http://schemas.microsoft.com/office/drawing/2014/chart" uri="{C3380CC4-5D6E-409C-BE32-E72D297353CC}">
              <c16:uniqueId val="{00000001-9EF1-4274-B328-FA4877AC1D93}"/>
            </c:ext>
          </c:extLst>
        </c:ser>
        <c:ser>
          <c:idx val="2"/>
          <c:order val="2"/>
          <c:tx>
            <c:strRef>
              <c:f>'TBAL (Trade Surplus)'!$A$4</c:f>
              <c:strCache>
                <c:ptCount val="1"/>
                <c:pt idx="0">
                  <c:v>ROW and US permananet 1% cut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'TBAL (Trade Surplus)'!$B$1:$AF$1</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'TBAL (Trade Surplus)'!$B$4:$AF$4</c:f>
              <c:numCache>
                <c:formatCode>0.00E+00</c:formatCode>
                <c:ptCount val="31"/>
                <c:pt idx="0" formatCode="General">
                  <c:v>0</c:v>
                </c:pt>
                <c:pt idx="1">
                  <c:v>7.8943049188831535E-5</c:v>
                </c:pt>
                <c:pt idx="2">
                  <c:v>3.5767438790305412E-5</c:v>
                </c:pt>
                <c:pt idx="3">
                  <c:v>4.4442562965916938E-5</c:v>
                </c:pt>
                <c:pt idx="4">
                  <c:v>6.7798843938064252E-5</c:v>
                </c:pt>
                <c:pt idx="5">
                  <c:v>8.2833634069847095E-5</c:v>
                </c:pt>
                <c:pt idx="6">
                  <c:v>8.625834874491569E-5</c:v>
                </c:pt>
                <c:pt idx="7">
                  <c:v>8.3500894921972245E-5</c:v>
                </c:pt>
                <c:pt idx="8">
                  <c:v>7.9338446327835806E-5</c:v>
                </c:pt>
                <c:pt idx="9">
                  <c:v>7.5491620369639881E-5</c:v>
                </c:pt>
                <c:pt idx="10">
                  <c:v>7.2034931000730388E-5</c:v>
                </c:pt>
                <c:pt idx="11">
                  <c:v>6.8901514353173263E-5</c:v>
                </c:pt>
                <c:pt idx="12">
                  <c:v>6.6277248820694628E-5</c:v>
                </c:pt>
                <c:pt idx="13">
                  <c:v>6.4364550279787539E-5</c:v>
                </c:pt>
                <c:pt idx="14">
                  <c:v>6.3169626313231547E-5</c:v>
                </c:pt>
                <c:pt idx="15">
                  <c:v>6.2516324669256062E-5</c:v>
                </c:pt>
                <c:pt idx="16">
                  <c:v>6.2173520071264404E-5</c:v>
                </c:pt>
                <c:pt idx="17">
                  <c:v>6.1955566490536513E-5</c:v>
                </c:pt>
                <c:pt idx="18">
                  <c:v>6.1751852055679009E-5</c:v>
                </c:pt>
                <c:pt idx="19">
                  <c:v>6.15114126912601E-5</c:v>
                </c:pt>
                <c:pt idx="20">
                  <c:v>6.1218210937184653E-5</c:v>
                </c:pt>
                <c:pt idx="21">
                  <c:v>6.0873794500310659E-5</c:v>
                </c:pt>
                <c:pt idx="22">
                  <c:v>6.048796344461294E-5</c:v>
                </c:pt>
                <c:pt idx="23">
                  <c:v>6.0073456413253124E-5</c:v>
                </c:pt>
                <c:pt idx="24">
                  <c:v>5.9642351589133833E-5</c:v>
                </c:pt>
                <c:pt idx="25">
                  <c:v>5.9203883127752529E-5</c:v>
                </c:pt>
                <c:pt idx="26">
                  <c:v>5.8763773253159663E-5</c:v>
                </c:pt>
                <c:pt idx="27">
                  <c:v>5.8324730248304269E-5</c:v>
                </c:pt>
                <c:pt idx="28">
                  <c:v>5.7887459062718147E-5</c:v>
                </c:pt>
                <c:pt idx="29">
                  <c:v>5.7451639750995868E-5</c:v>
                </c:pt>
                <c:pt idx="30">
                  <c:v>5.7016621205104491E-5</c:v>
                </c:pt>
              </c:numCache>
            </c:numRef>
          </c:val>
          <c:smooth val="0"/>
          <c:extLst>
            <c:ext xmlns:c16="http://schemas.microsoft.com/office/drawing/2014/chart" uri="{C3380CC4-5D6E-409C-BE32-E72D297353CC}">
              <c16:uniqueId val="{00000002-9EF1-4274-B328-FA4877AC1D93}"/>
            </c:ext>
          </c:extLst>
        </c:ser>
        <c:dLbls>
          <c:showLegendKey val="0"/>
          <c:showVal val="0"/>
          <c:showCatName val="0"/>
          <c:showSerName val="0"/>
          <c:showPercent val="0"/>
          <c:showBubbleSize val="0"/>
        </c:dLbls>
        <c:marker val="1"/>
        <c:smooth val="0"/>
        <c:axId val="258007272"/>
        <c:axId val="258006880"/>
      </c:lineChart>
      <c:catAx>
        <c:axId val="258007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58006880"/>
        <c:crosses val="autoZero"/>
        <c:auto val="1"/>
        <c:lblAlgn val="ctr"/>
        <c:lblOffset val="100"/>
        <c:noMultiLvlLbl val="0"/>
      </c:catAx>
      <c:valAx>
        <c:axId val="25800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58007272"/>
        <c:crosses val="autoZero"/>
        <c:crossBetween val="between"/>
        <c:majorUnit val="5.0000000000000024E-2"/>
        <c:minorUnit val="2.500000000000001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t>Real Exchange Rate</a:t>
            </a:r>
            <a:r>
              <a:rPr lang="en-AU" b="1" baseline="0"/>
              <a:t> (% Deviation)</a:t>
            </a:r>
            <a:endParaRPr lang="en-AU" b="1"/>
          </a:p>
        </c:rich>
      </c:tx>
      <c:overlay val="0"/>
      <c:spPr>
        <a:noFill/>
        <a:ln>
          <a:noFill/>
        </a:ln>
        <a:effectLst/>
      </c:spPr>
    </c:title>
    <c:autoTitleDeleted val="0"/>
    <c:plotArea>
      <c:layout/>
      <c:lineChart>
        <c:grouping val="standard"/>
        <c:varyColors val="0"/>
        <c:ser>
          <c:idx val="0"/>
          <c:order val="0"/>
          <c:tx>
            <c:strRef>
              <c:f>REER!$A$6</c:f>
              <c:strCache>
                <c:ptCount val="1"/>
                <c:pt idx="0">
                  <c:v>US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REER!$B$5:$AF$5</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REER!$B$6:$AF$6</c:f>
              <c:numCache>
                <c:formatCode>General</c:formatCode>
                <c:ptCount val="31"/>
                <c:pt idx="0">
                  <c:v>0</c:v>
                </c:pt>
                <c:pt idx="1">
                  <c:v>-1.3842900000000008E-4</c:v>
                </c:pt>
                <c:pt idx="2">
                  <c:v>-1.24776E-4</c:v>
                </c:pt>
                <c:pt idx="3">
                  <c:v>-1.2664300000000001E-4</c:v>
                </c:pt>
                <c:pt idx="4">
                  <c:v>-1.3221900000000007E-4</c:v>
                </c:pt>
                <c:pt idx="5">
                  <c:v>-1.3869700000000007E-4</c:v>
                </c:pt>
                <c:pt idx="6">
                  <c:v>-1.4574700000000003E-4</c:v>
                </c:pt>
                <c:pt idx="7">
                  <c:v>-1.5293699999999999E-4</c:v>
                </c:pt>
                <c:pt idx="8">
                  <c:v>-1.5968100000000011E-4</c:v>
                </c:pt>
                <c:pt idx="9">
                  <c:v>-1.6566000000000015E-4</c:v>
                </c:pt>
                <c:pt idx="10">
                  <c:v>-1.7087500000000007E-4</c:v>
                </c:pt>
                <c:pt idx="11">
                  <c:v>-1.7547300000000007E-4</c:v>
                </c:pt>
                <c:pt idx="12">
                  <c:v>-1.7959400000000007E-4</c:v>
                </c:pt>
                <c:pt idx="13">
                  <c:v>-1.8333000000000008E-4</c:v>
                </c:pt>
                <c:pt idx="14">
                  <c:v>-1.8674600000000009E-4</c:v>
                </c:pt>
                <c:pt idx="15">
                  <c:v>-1.8989300000000011E-4</c:v>
                </c:pt>
                <c:pt idx="16">
                  <c:v>-1.9281400000000022E-4</c:v>
                </c:pt>
                <c:pt idx="17">
                  <c:v>-1.9553600000000011E-4</c:v>
                </c:pt>
                <c:pt idx="18">
                  <c:v>-1.9807500000000022E-4</c:v>
                </c:pt>
                <c:pt idx="19">
                  <c:v>-2.0043700000000014E-4</c:v>
                </c:pt>
                <c:pt idx="20">
                  <c:v>-2.0262700000000006E-4</c:v>
                </c:pt>
                <c:pt idx="21">
                  <c:v>-2.0464999999999999E-4</c:v>
                </c:pt>
                <c:pt idx="22">
                  <c:v>-2.0651400000000014E-4</c:v>
                </c:pt>
                <c:pt idx="23">
                  <c:v>-2.0822599999999997E-4</c:v>
                </c:pt>
                <c:pt idx="24">
                  <c:v>-2.0979300000000022E-4</c:v>
                </c:pt>
                <c:pt idx="25">
                  <c:v>-2.1122599999999988E-4</c:v>
                </c:pt>
                <c:pt idx="26">
                  <c:v>-2.1253100000000015E-4</c:v>
                </c:pt>
                <c:pt idx="27">
                  <c:v>-2.1371700000000015E-4</c:v>
                </c:pt>
                <c:pt idx="28">
                  <c:v>-2.1479000000000027E-4</c:v>
                </c:pt>
                <c:pt idx="29">
                  <c:v>-2.1575700000000015E-4</c:v>
                </c:pt>
                <c:pt idx="30">
                  <c:v>-2.1662499999999999E-4</c:v>
                </c:pt>
              </c:numCache>
            </c:numRef>
          </c:val>
          <c:smooth val="0"/>
          <c:extLst>
            <c:ext xmlns:c16="http://schemas.microsoft.com/office/drawing/2014/chart" uri="{C3380CC4-5D6E-409C-BE32-E72D297353CC}">
              <c16:uniqueId val="{00000000-9618-4EE0-AC3A-E906C8B1BAE0}"/>
            </c:ext>
          </c:extLst>
        </c:ser>
        <c:ser>
          <c:idx val="1"/>
          <c:order val="1"/>
          <c:tx>
            <c:strRef>
              <c:f>REER!$A$7</c:f>
              <c:strCache>
                <c:ptCount val="1"/>
                <c:pt idx="0">
                  <c:v>ROW</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REER!$B$5:$AF$5</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REER!$B$7:$AF$7</c:f>
              <c:numCache>
                <c:formatCode>General</c:formatCode>
                <c:ptCount val="31"/>
                <c:pt idx="0">
                  <c:v>0</c:v>
                </c:pt>
                <c:pt idx="1">
                  <c:v>1.3842900000000008E-4</c:v>
                </c:pt>
                <c:pt idx="2">
                  <c:v>1.24776E-4</c:v>
                </c:pt>
                <c:pt idx="3">
                  <c:v>1.2664300000000001E-4</c:v>
                </c:pt>
                <c:pt idx="4">
                  <c:v>1.3221900000000007E-4</c:v>
                </c:pt>
                <c:pt idx="5">
                  <c:v>1.3869700000000007E-4</c:v>
                </c:pt>
                <c:pt idx="6">
                  <c:v>1.4574700000000003E-4</c:v>
                </c:pt>
                <c:pt idx="7">
                  <c:v>1.5293699999999999E-4</c:v>
                </c:pt>
                <c:pt idx="8">
                  <c:v>1.5968100000000011E-4</c:v>
                </c:pt>
                <c:pt idx="9">
                  <c:v>1.6566000000000015E-4</c:v>
                </c:pt>
                <c:pt idx="10">
                  <c:v>1.7087500000000007E-4</c:v>
                </c:pt>
                <c:pt idx="11">
                  <c:v>1.7547300000000007E-4</c:v>
                </c:pt>
                <c:pt idx="12">
                  <c:v>1.7959400000000007E-4</c:v>
                </c:pt>
                <c:pt idx="13">
                  <c:v>1.8333000000000008E-4</c:v>
                </c:pt>
                <c:pt idx="14">
                  <c:v>1.8674600000000009E-4</c:v>
                </c:pt>
                <c:pt idx="15">
                  <c:v>1.8989300000000011E-4</c:v>
                </c:pt>
                <c:pt idx="16">
                  <c:v>1.9281400000000022E-4</c:v>
                </c:pt>
                <c:pt idx="17">
                  <c:v>1.9553600000000011E-4</c:v>
                </c:pt>
                <c:pt idx="18">
                  <c:v>1.9807500000000022E-4</c:v>
                </c:pt>
                <c:pt idx="19">
                  <c:v>2.0043700000000014E-4</c:v>
                </c:pt>
                <c:pt idx="20">
                  <c:v>2.0262700000000006E-4</c:v>
                </c:pt>
                <c:pt idx="21">
                  <c:v>2.0464999999999999E-4</c:v>
                </c:pt>
                <c:pt idx="22">
                  <c:v>2.0651400000000014E-4</c:v>
                </c:pt>
                <c:pt idx="23">
                  <c:v>2.0822599999999997E-4</c:v>
                </c:pt>
                <c:pt idx="24">
                  <c:v>2.0979300000000022E-4</c:v>
                </c:pt>
                <c:pt idx="25">
                  <c:v>2.1122599999999988E-4</c:v>
                </c:pt>
                <c:pt idx="26">
                  <c:v>2.1253100000000015E-4</c:v>
                </c:pt>
                <c:pt idx="27">
                  <c:v>2.1371700000000015E-4</c:v>
                </c:pt>
                <c:pt idx="28">
                  <c:v>2.1479000000000027E-4</c:v>
                </c:pt>
                <c:pt idx="29">
                  <c:v>2.1575700000000015E-4</c:v>
                </c:pt>
                <c:pt idx="30">
                  <c:v>2.1662499999999999E-4</c:v>
                </c:pt>
              </c:numCache>
            </c:numRef>
          </c:val>
          <c:smooth val="0"/>
          <c:extLst>
            <c:ext xmlns:c16="http://schemas.microsoft.com/office/drawing/2014/chart" uri="{C3380CC4-5D6E-409C-BE32-E72D297353CC}">
              <c16:uniqueId val="{00000001-9618-4EE0-AC3A-E906C8B1BAE0}"/>
            </c:ext>
          </c:extLst>
        </c:ser>
        <c:dLbls>
          <c:showLegendKey val="0"/>
          <c:showVal val="0"/>
          <c:showCatName val="0"/>
          <c:showSerName val="0"/>
          <c:showPercent val="0"/>
          <c:showBubbleSize val="0"/>
        </c:dLbls>
        <c:marker val="1"/>
        <c:smooth val="0"/>
        <c:axId val="290642592"/>
        <c:axId val="290641808"/>
      </c:lineChart>
      <c:catAx>
        <c:axId val="2906425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90641808"/>
        <c:crosses val="autoZero"/>
        <c:auto val="1"/>
        <c:lblAlgn val="ctr"/>
        <c:lblOffset val="100"/>
        <c:noMultiLvlLbl val="0"/>
      </c:catAx>
      <c:valAx>
        <c:axId val="29064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9064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t>Trade Balance</a:t>
            </a:r>
            <a:r>
              <a:rPr lang="en-AU" b="1" baseline="0"/>
              <a:t> (% Deviation)</a:t>
            </a:r>
            <a:endParaRPr lang="en-AU" b="1"/>
          </a:p>
        </c:rich>
      </c:tx>
      <c:overlay val="0"/>
      <c:spPr>
        <a:noFill/>
        <a:ln>
          <a:noFill/>
        </a:ln>
        <a:effectLst/>
      </c:spPr>
    </c:title>
    <c:autoTitleDeleted val="0"/>
    <c:plotArea>
      <c:layout/>
      <c:lineChart>
        <c:grouping val="standard"/>
        <c:varyColors val="0"/>
        <c:ser>
          <c:idx val="0"/>
          <c:order val="0"/>
          <c:tx>
            <c:strRef>
              <c:f>'TBAL (Trade Surplus)'!$A$6</c:f>
              <c:strCache>
                <c:ptCount val="1"/>
                <c:pt idx="0">
                  <c:v>US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'TBAL (Trade Surplus)'!$B$5:$AF$5</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'TBAL (Trade Surplus)'!$B$6:$AF$6</c:f>
              <c:numCache>
                <c:formatCode>0.00E+00</c:formatCode>
                <c:ptCount val="31"/>
                <c:pt idx="0" formatCode="General">
                  <c:v>0</c:v>
                </c:pt>
                <c:pt idx="1">
                  <c:v>7.8943049188831535E-5</c:v>
                </c:pt>
                <c:pt idx="2">
                  <c:v>3.5767438790305412E-5</c:v>
                </c:pt>
                <c:pt idx="3">
                  <c:v>4.4442562965916938E-5</c:v>
                </c:pt>
                <c:pt idx="4">
                  <c:v>6.7798843938064252E-5</c:v>
                </c:pt>
                <c:pt idx="5">
                  <c:v>8.2833634069847095E-5</c:v>
                </c:pt>
                <c:pt idx="6">
                  <c:v>8.625834874491569E-5</c:v>
                </c:pt>
                <c:pt idx="7">
                  <c:v>8.3500894921972245E-5</c:v>
                </c:pt>
                <c:pt idx="8">
                  <c:v>7.9338446327835806E-5</c:v>
                </c:pt>
                <c:pt idx="9">
                  <c:v>7.5491620369639881E-5</c:v>
                </c:pt>
                <c:pt idx="10">
                  <c:v>7.2034931000730388E-5</c:v>
                </c:pt>
                <c:pt idx="11">
                  <c:v>6.8901514353173263E-5</c:v>
                </c:pt>
                <c:pt idx="12">
                  <c:v>6.6277248820694628E-5</c:v>
                </c:pt>
                <c:pt idx="13">
                  <c:v>6.4364550279787539E-5</c:v>
                </c:pt>
                <c:pt idx="14">
                  <c:v>6.3169626313231547E-5</c:v>
                </c:pt>
                <c:pt idx="15">
                  <c:v>6.2516324669256062E-5</c:v>
                </c:pt>
                <c:pt idx="16">
                  <c:v>6.2173520071264404E-5</c:v>
                </c:pt>
                <c:pt idx="17">
                  <c:v>6.1955566490536513E-5</c:v>
                </c:pt>
                <c:pt idx="18">
                  <c:v>6.1751852055679009E-5</c:v>
                </c:pt>
                <c:pt idx="19">
                  <c:v>6.15114126912601E-5</c:v>
                </c:pt>
                <c:pt idx="20">
                  <c:v>6.1218210937184653E-5</c:v>
                </c:pt>
                <c:pt idx="21">
                  <c:v>6.0873794500310659E-5</c:v>
                </c:pt>
                <c:pt idx="22">
                  <c:v>6.048796344461294E-5</c:v>
                </c:pt>
                <c:pt idx="23">
                  <c:v>6.0073456413253124E-5</c:v>
                </c:pt>
                <c:pt idx="24">
                  <c:v>5.9642351589133833E-5</c:v>
                </c:pt>
                <c:pt idx="25">
                  <c:v>5.9203883127752529E-5</c:v>
                </c:pt>
                <c:pt idx="26">
                  <c:v>5.8763773253159663E-5</c:v>
                </c:pt>
                <c:pt idx="27">
                  <c:v>5.8324730248304269E-5</c:v>
                </c:pt>
                <c:pt idx="28">
                  <c:v>5.7887459062718147E-5</c:v>
                </c:pt>
                <c:pt idx="29">
                  <c:v>5.7451639750995868E-5</c:v>
                </c:pt>
                <c:pt idx="30">
                  <c:v>5.7016621205104491E-5</c:v>
                </c:pt>
              </c:numCache>
            </c:numRef>
          </c:val>
          <c:smooth val="0"/>
          <c:extLst>
            <c:ext xmlns:c16="http://schemas.microsoft.com/office/drawing/2014/chart" uri="{C3380CC4-5D6E-409C-BE32-E72D297353CC}">
              <c16:uniqueId val="{00000000-BE59-4582-A82F-E68BA179D56A}"/>
            </c:ext>
          </c:extLst>
        </c:ser>
        <c:ser>
          <c:idx val="1"/>
          <c:order val="1"/>
          <c:tx>
            <c:strRef>
              <c:f>'TBAL (Trade Surplus)'!$A$7</c:f>
              <c:strCache>
                <c:ptCount val="1"/>
                <c:pt idx="0">
                  <c:v>ROW</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'TBAL (Trade Surplus)'!$B$5:$AF$5</c:f>
              <c:numCache>
                <c:formatCode>General</c:formatCode>
                <c:ptCount val="3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numCache>
            </c:numRef>
          </c:cat>
          <c:val>
            <c:numRef>
              <c:f>'TBAL (Trade Surplus)'!$B$7:$AF$7</c:f>
              <c:numCache>
                <c:formatCode>0.00E+00</c:formatCode>
                <c:ptCount val="31"/>
                <c:pt idx="0" formatCode="General">
                  <c:v>0</c:v>
                </c:pt>
                <c:pt idx="1">
                  <c:v>3.7100000000000034E-5</c:v>
                </c:pt>
                <c:pt idx="2">
                  <c:v>-1.3400000000000014E-5</c:v>
                </c:pt>
                <c:pt idx="3">
                  <c:v>-4.710000000000004E-6</c:v>
                </c:pt>
                <c:pt idx="4">
                  <c:v>2.0100000000000011E-5</c:v>
                </c:pt>
                <c:pt idx="5">
                  <c:v>3.5200000000000029E-5</c:v>
                </c:pt>
                <c:pt idx="6">
                  <c:v>3.7300000000000026E-5</c:v>
                </c:pt>
                <c:pt idx="7">
                  <c:v>3.260000000000004E-5</c:v>
                </c:pt>
                <c:pt idx="8">
                  <c:v>2.6600000000000023E-5</c:v>
                </c:pt>
                <c:pt idx="9">
                  <c:v>2.1100000000000015E-5</c:v>
                </c:pt>
                <c:pt idx="10">
                  <c:v>1.6200000000000018E-5</c:v>
                </c:pt>
                <c:pt idx="11">
                  <c:v>1.2000000000000009E-5</c:v>
                </c:pt>
                <c:pt idx="12">
                  <c:v>8.5100000000000117E-6</c:v>
                </c:pt>
                <c:pt idx="13">
                  <c:v>5.9500000000000066E-6</c:v>
                </c:pt>
                <c:pt idx="14">
                  <c:v>4.2400000000000051E-6</c:v>
                </c:pt>
                <c:pt idx="15">
                  <c:v>3.1600000000000028E-6</c:v>
                </c:pt>
                <c:pt idx="16">
                  <c:v>2.4400000000000016E-6</c:v>
                </c:pt>
                <c:pt idx="17">
                  <c:v>1.8900000000000018E-6</c:v>
                </c:pt>
                <c:pt idx="18">
                  <c:v>1.4000000000000008E-6</c:v>
                </c:pt>
                <c:pt idx="19">
                  <c:v>9.1100000000000068E-7</c:v>
                </c:pt>
                <c:pt idx="20">
                  <c:v>4.1400000000000029E-7</c:v>
                </c:pt>
                <c:pt idx="21">
                  <c:v>-9.0400000000000082E-8</c:v>
                </c:pt>
                <c:pt idx="22">
                  <c:v>-5.9500000000000066E-7</c:v>
                </c:pt>
                <c:pt idx="23">
                  <c:v>-1.0899999999999999E-6</c:v>
                </c:pt>
                <c:pt idx="24">
                  <c:v>-1.5600000000000014E-6</c:v>
                </c:pt>
                <c:pt idx="25">
                  <c:v>-2.0100000000000019E-6</c:v>
                </c:pt>
                <c:pt idx="26">
                  <c:v>-2.4200000000000018E-6</c:v>
                </c:pt>
                <c:pt idx="27">
                  <c:v>-2.8100000000000015E-6</c:v>
                </c:pt>
                <c:pt idx="28">
                  <c:v>-3.1700000000000027E-6</c:v>
                </c:pt>
                <c:pt idx="29">
                  <c:v>-3.5000000000000033E-6</c:v>
                </c:pt>
                <c:pt idx="30">
                  <c:v>-3.8100000000000021E-6</c:v>
                </c:pt>
              </c:numCache>
            </c:numRef>
          </c:val>
          <c:smooth val="0"/>
          <c:extLst>
            <c:ext xmlns:c16="http://schemas.microsoft.com/office/drawing/2014/chart" uri="{C3380CC4-5D6E-409C-BE32-E72D297353CC}">
              <c16:uniqueId val="{00000001-BE59-4582-A82F-E68BA179D56A}"/>
            </c:ext>
          </c:extLst>
        </c:ser>
        <c:dLbls>
          <c:showLegendKey val="0"/>
          <c:showVal val="0"/>
          <c:showCatName val="0"/>
          <c:showSerName val="0"/>
          <c:showPercent val="0"/>
          <c:showBubbleSize val="0"/>
        </c:dLbls>
        <c:marker val="1"/>
        <c:smooth val="0"/>
        <c:axId val="290635144"/>
        <c:axId val="290635928"/>
      </c:lineChart>
      <c:catAx>
        <c:axId val="29063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90635928"/>
        <c:crosses val="autoZero"/>
        <c:auto val="1"/>
        <c:lblAlgn val="ctr"/>
        <c:lblOffset val="100"/>
        <c:noMultiLvlLbl val="0"/>
      </c:catAx>
      <c:valAx>
        <c:axId val="290635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90635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DB17-F08B-4140-A7CC-7A0A89CC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12</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Chi-Sheng Lo</dc:creator>
  <cp:keywords/>
  <dc:description/>
  <cp:lastModifiedBy>Irving Lo</cp:lastModifiedBy>
  <cp:revision>741</cp:revision>
  <dcterms:created xsi:type="dcterms:W3CDTF">2016-08-19T12:58:00Z</dcterms:created>
  <dcterms:modified xsi:type="dcterms:W3CDTF">2022-03-03T01:30:00Z</dcterms:modified>
</cp:coreProperties>
</file>