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Calibri" w:cs="Calibri" w:eastAsia="Calibri" w:hAnsi="Calibri"/>
          <w:b/>
          <w:bCs/>
          <w:sz w:val="30"/>
          <w:szCs w:val="30"/>
        </w:rPr>
        <w:t xml:space="preserve">Universidad del Valle de Guatemala</w:t>
      </w:r>
    </w:p>
    <w:p>
      <w:pPr>
        <w:spacing w:after="60"/>
        <w:jc w:val="center"/>
      </w:pPr>
      <w:r>
        <w:rPr>
          <w:rFonts w:ascii="Calibri" w:cs="Calibri" w:eastAsia="Calibri" w:hAnsi="Calibri"/>
          <w:sz w:val="24"/>
          <w:szCs w:val="24"/>
        </w:rPr>
        <w:t xml:space="preserve">Facultad de Ingeniería</w:t>
      </w:r>
    </w:p>
    <w:p>
      <w:pPr>
        <w:spacing w:after="60"/>
        <w:jc w:val="center"/>
      </w:pPr>
      <w:r>
        <w:rPr>
          <w:rFonts w:ascii="Calibri" w:cs="Calibri" w:eastAsia="Calibri" w:hAnsi="Calibri"/>
          <w:sz w:val="24"/>
          <w:szCs w:val="24"/>
        </w:rPr>
        <w:t xml:space="preserve">Departamento de Ciencias de la Computación</w:t>
      </w:r>
    </w:p>
    <w:p>
      <w:pPr>
        <w:spacing w:after="600"/>
        <w:jc w:val="center"/>
      </w:pPr>
      <w:r>
        <w:rPr>
          <w:rFonts w:ascii="Calibri" w:cs="Calibri" w:eastAsia="Calibri" w:hAnsi="Calibri"/>
          <w:sz w:val="24"/>
          <w:szCs w:val="24"/>
        </w:rPr>
        <w:t xml:space="preserve">CC3067 Redes</w:t>
      </w:r>
    </w:p>
    <w:p>
      <w:pPr>
        <w:spacing w:after="120" w:before="800"/>
        <w:jc w:val="center"/>
      </w:pPr>
      <w:r>
        <w:rPr>
          <w:rFonts w:ascii="Calibri" w:cs="Calibri" w:eastAsia="Calibri" w:hAnsi="Calibri"/>
          <w:b/>
          <w:bCs/>
          <w:color w:val="084D4B"/>
          <w:sz w:val="40"/>
          <w:szCs w:val="40"/>
        </w:rPr>
        <w:t xml:space="preserve">Proyecto 1</w:t>
      </w:r>
    </w:p>
    <w:p>
      <w:pPr>
        <w:spacing w:after="60"/>
        <w:jc w:val="center"/>
      </w:pPr>
      <w:r>
        <w:rPr>
          <w:rFonts w:ascii="Calibri" w:cs="Calibri" w:eastAsia="Calibri" w:hAnsi="Calibri"/>
          <w:color w:val="0D716B"/>
          <w:sz w:val="28"/>
          <w:szCs w:val="28"/>
        </w:rPr>
        <w:t xml:space="preserve">Uso de un protocolo existente</w:t>
      </w:r>
    </w:p>
    <w:p>
      <w:pPr>
        <w:spacing w:after="1000"/>
        <w:jc w:val="center"/>
      </w:pPr>
      <w:r>
        <w:rPr>
          <w:rFonts w:ascii="Calibri" w:cs="Calibri" w:eastAsia="Calibri" w:hAnsi="Calibri"/>
          <w:i/>
          <w:iCs/>
          <w:sz w:val="24"/>
          <w:szCs w:val="24"/>
        </w:rPr>
        <w:t xml:space="preserve">QuantDesk — Asistente de Gen AI para análisis cuantitativo de portafolios</w:t>
      </w:r>
    </w:p>
    <w:p>
      <w:pPr>
        <w:spacing w:after="60" w:before="1400"/>
        <w:jc w:val="center"/>
      </w:pPr>
      <w:r>
        <w:rPr>
          <w:rFonts w:ascii="Calibri" w:cs="Calibri" w:eastAsia="Calibri" w:hAnsi="Calibri"/>
          <w:b/>
          <w:bCs/>
          <w:sz w:val="24"/>
          <w:szCs w:val="24"/>
        </w:rPr>
        <w:t xml:space="preserve">Robert Najera</w:t>
      </w:r>
    </w:p>
    <w:p>
      <w:pPr>
        <w:spacing w:after="60"/>
        <w:jc w:val="center"/>
      </w:pPr>
      <w:r>
        <w:rPr>
          <w:rFonts w:ascii="Calibri" w:cs="Calibri" w:eastAsia="Calibri" w:hAnsi="Calibri"/>
          <w:sz w:val="22"/>
          <w:szCs w:val="22"/>
        </w:rPr>
        <w:t xml:space="preserve">Septiembre 2026</w:t>
      </w:r>
    </w:p>
    <w:p>
      <w:r>
        <w:br w:type="page"/>
      </w:r>
    </w:p>
    <w:p>
      <w:pPr>
        <w:pStyle w:val="Heading1"/>
        <w:spacing w:after="160" w:before="360"/>
      </w:pPr>
      <w:r>
        <w:rPr>
          <w:b/>
          <w:bCs/>
          <w:color w:val="084D4B"/>
          <w:sz w:val="30"/>
          <w:szCs w:val="30"/>
        </w:rPr>
        <w:t xml:space="preserve">1. Introducción</w:t>
      </w:r>
    </w:p>
    <w:p>
      <w:pPr>
        <w:spacing w:after="180" w:line="300"/>
        <w:jc w:val="both"/>
      </w:pPr>
      <w:r>
        <w:rPr>
          <w:rFonts w:ascii="Calibri" w:cs="Calibri" w:eastAsia="Calibri" w:hAnsi="Calibri"/>
          <w:i w:val="false"/>
          <w:iCs w:val="false"/>
          <w:sz w:val="22"/>
          <w:szCs w:val="22"/>
        </w:rPr>
        <w:t xml:space="preserve">Este documento reporta el desarrollo del Proyecto 1 del curso CC3067 Redes: la implementación de un chatbot anfitrión (host) que utiliza el Model Context Protocol (MCP) para conectar un modelo de lenguaje (LLM) con herramientas externas — servidores MCP propios, oficiales, y de otros compañeros del curso. El proyecto, nombrado QuantDesk, está orientado a finanzas cuantitativas: un asistente que permite a un analista de portafolios consultar métricas de riesgo y retorno calculadas realmente sobre datos históricos de precios, en vez de que el LLM las estime por su cuenta.</w:t>
      </w:r>
    </w:p>
    <w:p>
      <w:pPr>
        <w:spacing w:after="180" w:line="300"/>
        <w:jc w:val="both"/>
      </w:pPr>
      <w:r>
        <w:rPr>
          <w:rFonts w:ascii="Calibri" w:cs="Calibri" w:eastAsia="Calibri" w:hAnsi="Calibri"/>
          <w:i w:val="false"/>
          <w:iCs w:val="false"/>
          <w:sz w:val="22"/>
          <w:szCs w:val="22"/>
        </w:rPr>
        <w:t xml:space="preserve">Durante el desarrollo, el alcance del proyecto cambió respecto a la guía original: el punto 7 (despliegue de un servidor MCP remoto en la nube) fue retirado del enunciado por el catedrático, y en consecuencia el punto 8 (análisis de tráfico con WireShark, que dependía de la existencia de ese servidor remoto) tampoco se desarrolla en este reporte. Adicionalmente, por decisión propia, el proyecto migró de usar exclusivamente la API de Anthropic (Claude) a soportar también la API de Gemini (Google), lo cual introdujo un reto técnico no trivial: adaptar el protocolo de tool-calling de MCP a un segundo proveedor de LLM con una API distinta.</w:t>
      </w:r>
    </w:p>
    <w:p>
      <w:pPr>
        <w:pStyle w:val="Heading1"/>
        <w:spacing w:after="160" w:before="360"/>
      </w:pPr>
      <w:r>
        <w:rPr>
          <w:b/>
          <w:bCs/>
          <w:color w:val="084D4B"/>
          <w:sz w:val="30"/>
          <w:szCs w:val="30"/>
        </w:rPr>
        <w:t xml:space="preserve">2. Caso de negocio: QuantDesk</w:t>
      </w:r>
    </w:p>
    <w:p>
      <w:pPr>
        <w:spacing w:after="180" w:line="300"/>
        <w:jc w:val="both"/>
      </w:pPr>
      <w:r>
        <w:rPr>
          <w:rFonts w:ascii="Calibri" w:cs="Calibri" w:eastAsia="Calibri" w:hAnsi="Calibri"/>
          <w:i w:val="false"/>
          <w:iCs w:val="false"/>
          <w:sz w:val="22"/>
          <w:szCs w:val="22"/>
        </w:rPr>
        <w:t xml:space="preserve">QuantDesk está dirigido a analistas y gestores de portafolio que necesitan calcular métricas de riesgo y retorno sin depender de hojas de cálculo dispersas o terminales especializadas costosas. El chatbot mantiene contexto conversacional y responde preguntas como "¿cuál es el VaR al 95% de este portafolio?" o "¿qué tan correlacionadas están mis posiciones en tecnología?", delegando el cálculo real — nunca una estimación del modelo de lenguaje — a un servidor MCP propio que opera sobre datos históricos de precios.</w:t>
      </w:r>
    </w:p>
    <w:p>
      <w:pPr>
        <w:spacing w:after="180" w:line="300"/>
        <w:jc w:val="both"/>
      </w:pPr>
      <w:r>
        <w:rPr>
          <w:rFonts w:ascii="Calibri" w:cs="Calibri" w:eastAsia="Calibri" w:hAnsi="Calibri"/>
          <w:i w:val="false"/>
          <w:iCs w:val="false"/>
          <w:sz w:val="22"/>
          <w:szCs w:val="22"/>
        </w:rPr>
        <w:t xml:space="preserve">Este caso de uso se eligió específicamente por no coincidir con ningún otro tema propuesto por los compañeros del curso en el foro de la clase (restaurantes, inventarios, RRHH, logística, aerolíneas, deportes, etc.), y por exigir un cálculo genuinamente no trivial — matemática financiera real (anualización de volatilidad, percentiles para VaR histórico, matrices de covarianza) — que satisface el requisito de que el servidor MCP propio no sea una funcionalidad trivial.</w:t>
      </w:r>
    </w:p>
    <w:p>
      <w:pPr>
        <w:pStyle w:val="Heading1"/>
        <w:spacing w:after="160" w:before="360"/>
      </w:pPr>
      <w:r>
        <w:rPr>
          <w:b/>
          <w:bCs/>
          <w:color w:val="084D4B"/>
          <w:sz w:val="30"/>
          <w:szCs w:val="30"/>
        </w:rPr>
        <w:t xml:space="preserve">3. Arquitectura general</w:t>
      </w:r>
    </w:p>
    <w:p>
      <w:pPr>
        <w:spacing w:after="180" w:line="300"/>
        <w:jc w:val="both"/>
      </w:pPr>
      <w:r>
        <w:rPr>
          <w:rFonts w:ascii="Calibri" w:cs="Calibri" w:eastAsia="Calibri" w:hAnsi="Calibri"/>
          <w:i w:val="false"/>
          <w:iCs w:val="false"/>
          <w:sz w:val="22"/>
          <w:szCs w:val="22"/>
        </w:rPr>
        <w:t xml:space="preserve">El sistema se organiza en tres capas: el chatbot anfitrión (host), la capa de interceptación y registro de mensajes JSON-RPC, y los servidores MCP conectados. El host es agnóstico del proveedor de LLM: la lógica de conexión a servidores MCP, descubrimiento de herramientas y registro de tráfico es completamente independiente de si el modelo coordinador es Claude o Gemini.</w:t>
      </w:r>
    </w:p>
    <w:p>
      <w:pPr>
        <w:pStyle w:val="Heading2"/>
        <w:spacing w:after="120" w:before="280"/>
      </w:pPr>
      <w:r>
        <w:rPr>
          <w:b/>
          <w:bCs/>
          <w:color w:val="0D716B"/>
          <w:sz w:val="25"/>
          <w:szCs w:val="25"/>
        </w:rPr>
        <w:t xml:space="preserve">3.1 Componentes principales</w:t>
      </w:r>
    </w:p>
    <w:p>
      <w:pPr>
        <w:pStyle w:val="ListParagraph"/>
        <w:numPr>
          <w:ilvl w:val="0"/>
          <w:numId w:val="2"/>
        </w:numPr>
        <w:spacing w:after="100"/>
      </w:pPr>
      <w:r>
        <w:rPr>
          <w:rFonts w:ascii="Calibri" w:cs="Calibri" w:eastAsia="Calibri" w:hAnsi="Calibri"/>
          <w:sz w:val="22"/>
          <w:szCs w:val="22"/>
        </w:rPr>
        <w:t xml:space="preserve">host/main.py — punto de entrada; decide el proveedor de LLM (LLM_PROVIDER) y la interfaz (UI_MODE: terminal o web) a partir de variables de entorno, y orquesta la conexión a los servidores MCP configurados.</w:t>
      </w:r>
    </w:p>
    <w:p>
      <w:pPr>
        <w:pStyle w:val="ListParagraph"/>
        <w:numPr>
          <w:ilvl w:val="0"/>
          <w:numId w:val="2"/>
        </w:numPr>
        <w:spacing w:after="100"/>
      </w:pPr>
      <w:r>
        <w:rPr>
          <w:rFonts w:ascii="Calibri" w:cs="Calibri" w:eastAsia="Calibri" w:hAnsi="Calibri"/>
          <w:sz w:val="22"/>
          <w:szCs w:val="22"/>
        </w:rPr>
        <w:t xml:space="preserve">host/config.py — lista de servidores MCP a conectar (StdioServerConfig / HttpServerConfig), selección de proveedor y modelo, e inicialización automática del repositorio Git de trabajo.</w:t>
      </w:r>
    </w:p>
    <w:p>
      <w:pPr>
        <w:pStyle w:val="ListParagraph"/>
        <w:numPr>
          <w:ilvl w:val="0"/>
          <w:numId w:val="2"/>
        </w:numPr>
        <w:spacing w:after="100"/>
      </w:pPr>
      <w:r>
        <w:rPr>
          <w:rFonts w:ascii="Calibri" w:cs="Calibri" w:eastAsia="Calibri" w:hAnsi="Calibri"/>
          <w:sz w:val="22"/>
          <w:szCs w:val="22"/>
        </w:rPr>
        <w:t xml:space="preserve">host/mcp_client_manager.py — conecta cada servidor configurado, descubre sus herramientas (list_tools), las expone con nombres namespaced ("servidor__herramienta") para la ruta de Anthropic, y enruta cada llamada de vuelta al servidor correcto.</w:t>
      </w:r>
    </w:p>
    <w:p>
      <w:pPr>
        <w:pStyle w:val="ListParagraph"/>
        <w:numPr>
          <w:ilvl w:val="0"/>
          <w:numId w:val="2"/>
        </w:numPr>
        <w:spacing w:after="100"/>
      </w:pPr>
      <w:r>
        <w:rPr>
          <w:rFonts w:ascii="Calibri" w:cs="Calibri" w:eastAsia="Calibri" w:hAnsi="Calibri"/>
          <w:sz w:val="22"/>
          <w:szCs w:val="22"/>
        </w:rPr>
        <w:t xml:space="preserve">host/jsonrpc_tap.py + host/logger.py — interceptan de forma transparente cada mensaje JSON-RPC (solicitud, respuesta, notificación) entre el host y cada servidor, y lo registran en consola y en el archivo mcp_log.jsonl.</w:t>
      </w:r>
    </w:p>
    <w:p>
      <w:pPr>
        <w:pStyle w:val="ListParagraph"/>
        <w:numPr>
          <w:ilvl w:val="0"/>
          <w:numId w:val="2"/>
        </w:numPr>
        <w:spacing w:after="100"/>
      </w:pPr>
      <w:r>
        <w:rPr>
          <w:rFonts w:ascii="Calibri" w:cs="Calibri" w:eastAsia="Calibri" w:hAnsi="Calibri"/>
          <w:sz w:val="22"/>
          <w:szCs w:val="22"/>
        </w:rPr>
        <w:t xml:space="preserve">host/providers/anthropic_provider.py y host/providers/gemini_provider.py — implementan el ciclo de conversación específico de cada proveedor de LLM (ver sección 7).</w:t>
      </w:r>
    </w:p>
    <w:p>
      <w:pPr>
        <w:pStyle w:val="ListParagraph"/>
        <w:numPr>
          <w:ilvl w:val="0"/>
          <w:numId w:val="2"/>
        </w:numPr>
        <w:spacing w:after="100"/>
      </w:pPr>
      <w:r>
        <w:rPr>
          <w:rFonts w:ascii="Calibri" w:cs="Calibri" w:eastAsia="Calibri" w:hAnsi="Calibri"/>
          <w:sz w:val="22"/>
          <w:szCs w:val="22"/>
        </w:rPr>
        <w:t xml:space="preserve">host/web_ui.py — interfaz web opcional (aiohttp) que reutiliza las mismas sesiones MCP ya conectadas por el manager, ofreciendo una alternativa gráfica a la consola.</w:t>
      </w:r>
    </w:p>
    <w:p>
      <w:pPr>
        <w:pStyle w:val="ListParagraph"/>
        <w:numPr>
          <w:ilvl w:val="0"/>
          <w:numId w:val="2"/>
        </w:numPr>
        <w:spacing w:after="100"/>
      </w:pPr>
      <w:r>
        <w:rPr>
          <w:rFonts w:ascii="Calibri" w:cs="Calibri" w:eastAsia="Calibri" w:hAnsi="Calibri"/>
          <w:sz w:val="22"/>
          <w:szCs w:val="22"/>
        </w:rPr>
        <w:t xml:space="preserve">servers/quant_mcp/ — el servidor MCP propio (ver sección 5).</w:t>
      </w:r>
    </w:p>
    <w:p>
      <w:pPr>
        <w:pStyle w:val="Heading2"/>
        <w:spacing w:after="120" w:before="280"/>
      </w:pPr>
      <w:r>
        <w:rPr>
          <w:b/>
          <w:bCs/>
          <w:color w:val="0D716B"/>
          <w:sz w:val="25"/>
          <w:szCs w:val="25"/>
        </w:rPr>
        <w:t xml:space="preserve">3.2 Servidores MCP conectados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800"/>
      </w:tblGrid>
      <w:tr>
        <w:tc>
          <w:tcPr>
            <w:tcW w:type="dxa" w:w="2600"/>
            <w:shd w:fill="0D716B" w:val="clear"/>
            <w:tcMar>
              <w:top w:type="dxa" w:w="80"/>
              <w:left w:type="dxa" w:w="100"/>
              <w:bottom w:type="dxa" w:w="80"/>
              <w:right w:type="dxa" w:w="100"/>
            </w:tcMar>
          </w:tcPr>
          <w:p>
            <w:r>
              <w:rPr>
                <w:rFonts w:ascii="Calibri" w:cs="Calibri" w:eastAsia="Calibri" w:hAnsi="Calibri"/>
                <w:b/>
                <w:bCs/>
                <w:color w:val="FFFFFF"/>
                <w:sz w:val="20"/>
                <w:szCs w:val="20"/>
              </w:rPr>
              <w:t xml:space="preserve">Servidor</w:t>
            </w:r>
          </w:p>
        </w:tc>
        <w:tc>
          <w:tcPr>
            <w:tcW w:type="dxa" w:w="1800"/>
            <w:shd w:fill="0D716B" w:val="clear"/>
            <w:tcMar>
              <w:top w:type="dxa" w:w="80"/>
              <w:left w:type="dxa" w:w="100"/>
              <w:bottom w:type="dxa" w:w="80"/>
              <w:right w:type="dxa" w:w="100"/>
            </w:tcMar>
          </w:tcPr>
          <w:p>
            <w:r>
              <w:rPr>
                <w:rFonts w:ascii="Calibri" w:cs="Calibri" w:eastAsia="Calibri" w:hAnsi="Calibri"/>
                <w:b/>
                <w:bCs/>
                <w:color w:val="FFFFFF"/>
                <w:sz w:val="20"/>
                <w:szCs w:val="20"/>
              </w:rPr>
              <w:t xml:space="preserve">Origen</w:t>
            </w:r>
          </w:p>
        </w:tc>
        <w:tc>
          <w:tcPr>
            <w:tcW w:type="dxa" w:w="5800"/>
            <w:shd w:fill="0D716B" w:val="clear"/>
            <w:tcMar>
              <w:top w:type="dxa" w:w="80"/>
              <w:left w:type="dxa" w:w="100"/>
              <w:bottom w:type="dxa" w:w="80"/>
              <w:right w:type="dxa" w:w="100"/>
            </w:tcMar>
          </w:tcPr>
          <w:p>
            <w:r>
              <w:rPr>
                <w:rFonts w:ascii="Calibri" w:cs="Calibri" w:eastAsia="Calibri" w:hAnsi="Calibri"/>
                <w:b/>
                <w:bCs/>
                <w:color w:val="FFFFFF"/>
                <w:sz w:val="20"/>
                <w:szCs w:val="20"/>
              </w:rPr>
              <w:t xml:space="preserve">Rol en el proyecto</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20"/>
                <w:szCs w:val="20"/>
              </w:rPr>
              <w:t xml:space="preserve">filesystem</w:t>
            </w:r>
          </w:p>
        </w:tc>
        <w:tc>
          <w:tcPr>
            <w:tcW w:type="dxa" w:w="1800"/>
            <w:tcMar>
              <w:top w:type="dxa" w:w="80"/>
              <w:left w:type="dxa" w:w="100"/>
              <w:bottom w:type="dxa" w:w="80"/>
              <w:right w:type="dxa" w:w="100"/>
            </w:tcMar>
          </w:tcPr>
          <w:p>
            <w:r>
              <w:rPr>
                <w:rFonts w:ascii="Calibri" w:cs="Calibri" w:eastAsia="Calibri" w:hAnsi="Calibri"/>
                <w:b w:val="false"/>
                <w:bCs w:val="false"/>
                <w:color w:val="1A1A1A"/>
                <w:sz w:val="20"/>
                <w:szCs w:val="20"/>
              </w:rPr>
              <w:t xml:space="preserve">Oficial (Anthropic)</w:t>
            </w:r>
          </w:p>
        </w:tc>
        <w:tc>
          <w:tcPr>
            <w:tcW w:type="dxa" w:w="5800"/>
            <w:tcMar>
              <w:top w:type="dxa" w:w="80"/>
              <w:left w:type="dxa" w:w="100"/>
              <w:bottom w:type="dxa" w:w="80"/>
              <w:right w:type="dxa" w:w="100"/>
            </w:tcMar>
          </w:tcPr>
          <w:p>
            <w:r>
              <w:rPr>
                <w:rFonts w:ascii="Calibri" w:cs="Calibri" w:eastAsia="Calibri" w:hAnsi="Calibri"/>
                <w:b w:val="false"/>
                <w:bCs w:val="false"/>
                <w:color w:val="1A1A1A"/>
                <w:sz w:val="20"/>
                <w:szCs w:val="20"/>
              </w:rPr>
              <w:t xml:space="preserve">Lectura/escritura de archivos en un workspace acotado, usado para exportar reportes de análisis.</w:t>
            </w:r>
          </w:p>
        </w:tc>
      </w:tr>
      <w:tr>
        <w:tc>
          <w:tcPr>
            <w:tcW w:type="dxa" w:w="26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git</w:t>
            </w:r>
          </w:p>
        </w:tc>
        <w:tc>
          <w:tcPr>
            <w:tcW w:type="dxa" w:w="18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Oficial (Anthropic)</w:t>
            </w:r>
          </w:p>
        </w:tc>
        <w:tc>
          <w:tcPr>
            <w:tcW w:type="dxa" w:w="58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Control de versiones del workspace (status, add, commit, log, branch).</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20"/>
                <w:szCs w:val="20"/>
              </w:rPr>
              <w:t xml:space="preserve">quant-mcp</w:t>
            </w:r>
          </w:p>
        </w:tc>
        <w:tc>
          <w:tcPr>
            <w:tcW w:type="dxa" w:w="1800"/>
            <w:tcMar>
              <w:top w:type="dxa" w:w="80"/>
              <w:left w:type="dxa" w:w="100"/>
              <w:bottom w:type="dxa" w:w="80"/>
              <w:right w:type="dxa" w:w="100"/>
            </w:tcMar>
          </w:tcPr>
          <w:p>
            <w:r>
              <w:rPr>
                <w:rFonts w:ascii="Calibri" w:cs="Calibri" w:eastAsia="Calibri" w:hAnsi="Calibri"/>
                <w:b w:val="false"/>
                <w:bCs w:val="false"/>
                <w:color w:val="1A1A1A"/>
                <w:sz w:val="20"/>
                <w:szCs w:val="20"/>
              </w:rPr>
              <w:t xml:space="preserve">Propio</w:t>
            </w:r>
          </w:p>
        </w:tc>
        <w:tc>
          <w:tcPr>
            <w:tcW w:type="dxa" w:w="5800"/>
            <w:tcMar>
              <w:top w:type="dxa" w:w="80"/>
              <w:left w:type="dxa" w:w="100"/>
              <w:bottom w:type="dxa" w:w="80"/>
              <w:right w:type="dxa" w:w="100"/>
            </w:tcMar>
          </w:tcPr>
          <w:p>
            <w:r>
              <w:rPr>
                <w:rFonts w:ascii="Calibri" w:cs="Calibri" w:eastAsia="Calibri" w:hAnsi="Calibri"/>
                <w:b w:val="false"/>
                <w:bCs w:val="false"/>
                <w:color w:val="1A1A1A"/>
                <w:sz w:val="20"/>
                <w:szCs w:val="20"/>
              </w:rPr>
              <w:t xml:space="preserve">Cálculos financieros reales sobre datos históricos (ver sección 5).</w:t>
            </w:r>
          </w:p>
        </w:tc>
      </w:tr>
      <w:tr>
        <w:tc>
          <w:tcPr>
            <w:tcW w:type="dxa" w:w="26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mcp-server-rrhh-construccion</w:t>
            </w:r>
          </w:p>
        </w:tc>
        <w:tc>
          <w:tcPr>
            <w:tcW w:type="dxa" w:w="18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Compañero (NESHGP04)</w:t>
            </w:r>
          </w:p>
        </w:tc>
        <w:tc>
          <w:tcPr>
            <w:tcW w:type="dxa" w:w="58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Servidor de RRHH para una constructora ficticia; probado exitosamente desde el host.</w:t>
            </w:r>
          </w:p>
        </w:tc>
      </w:tr>
      <w:tr>
        <w:tc>
          <w:tcPr>
            <w:tcW w:type="dxa" w:w="2600"/>
            <w:tcMar>
              <w:top w:type="dxa" w:w="80"/>
              <w:left w:type="dxa" w:w="100"/>
              <w:bottom w:type="dxa" w:w="80"/>
              <w:right w:type="dxa" w:w="100"/>
            </w:tcMar>
          </w:tcPr>
          <w:p>
            <w:r>
              <w:rPr>
                <w:rFonts w:ascii="Calibri" w:cs="Calibri" w:eastAsia="Calibri" w:hAnsi="Calibri"/>
                <w:b w:val="false"/>
                <w:bCs w:val="false"/>
                <w:color w:val="1A1A1A"/>
                <w:sz w:val="20"/>
                <w:szCs w:val="20"/>
              </w:rPr>
              <w:t xml:space="preserve">delivery-mcp-server</w:t>
            </w:r>
          </w:p>
        </w:tc>
        <w:tc>
          <w:tcPr>
            <w:tcW w:type="dxa" w:w="1800"/>
            <w:tcMar>
              <w:top w:type="dxa" w:w="80"/>
              <w:left w:type="dxa" w:w="100"/>
              <w:bottom w:type="dxa" w:w="80"/>
              <w:right w:type="dxa" w:w="100"/>
            </w:tcMar>
          </w:tcPr>
          <w:p>
            <w:r>
              <w:rPr>
                <w:rFonts w:ascii="Calibri" w:cs="Calibri" w:eastAsia="Calibri" w:hAnsi="Calibri"/>
                <w:b w:val="false"/>
                <w:bCs w:val="false"/>
                <w:color w:val="1A1A1A"/>
                <w:sz w:val="20"/>
                <w:szCs w:val="20"/>
              </w:rPr>
              <w:t xml:space="preserve">Compañero (JPLopez23)</w:t>
            </w:r>
          </w:p>
        </w:tc>
        <w:tc>
          <w:tcPr>
            <w:tcW w:type="dxa" w:w="5800"/>
            <w:tcMar>
              <w:top w:type="dxa" w:w="80"/>
              <w:left w:type="dxa" w:w="100"/>
              <w:bottom w:type="dxa" w:w="80"/>
              <w:right w:type="dxa" w:w="100"/>
            </w:tcMar>
          </w:tcPr>
          <w:p>
            <w:r>
              <w:rPr>
                <w:rFonts w:ascii="Calibri" w:cs="Calibri" w:eastAsia="Calibri" w:hAnsi="Calibri"/>
                <w:b w:val="false"/>
                <w:bCs w:val="false"/>
                <w:color w:val="1A1A1A"/>
                <w:sz w:val="20"/>
                <w:szCs w:val="20"/>
              </w:rPr>
              <w:t xml:space="preserve">Servidor de ruteo de flotas de reparto (CVRPTW); probado exitosamente desde el host.</w:t>
            </w:r>
          </w:p>
        </w:tc>
      </w:tr>
    </w:tbl>
    <w:p>
      <w:pPr>
        <w:spacing w:after="220"/>
        <w:jc w:val="center"/>
      </w:pPr>
      <w:r>
        <w:rPr>
          <w:i/>
          <w:iCs/>
          <w:color w:val="666666"/>
          <w:sz w:val="19"/>
          <w:szCs w:val="19"/>
        </w:rPr>
        <w:t xml:space="preserve">Tabla 1. Servidores MCP conectados por el host y su origen.</w:t>
      </w:r>
    </w:p>
    <w:p>
      <w:pPr>
        <w:pStyle w:val="Heading1"/>
        <w:spacing w:after="160" w:before="360"/>
      </w:pPr>
      <w:r>
        <w:rPr>
          <w:b/>
          <w:bCs/>
          <w:color w:val="084D4B"/>
          <w:sz w:val="30"/>
          <w:szCs w:val="30"/>
        </w:rPr>
        <w:t xml:space="preserve">4. Funcionalidades implementadas</w:t>
      </w:r>
    </w:p>
    <w:p>
      <w:pPr>
        <w:spacing w:after="180" w:line="300"/>
        <w:jc w:val="both"/>
      </w:pPr>
      <w:r>
        <w:rPr>
          <w:rFonts w:ascii="Calibri" w:cs="Calibri" w:eastAsia="Calibri" w:hAnsi="Calibri"/>
          <w:i w:val="false"/>
          <w:iCs w:val="false"/>
          <w:sz w:val="22"/>
          <w:szCs w:val="22"/>
        </w:rPr>
        <w:t xml:space="preserve">La siguiente tabla resume el cumplimiento de los requisitos funcionales de la guía del proyecto, indicando cuáles se implementaron y cuáles quedaron fuera de alcance por los cambios ya descritos.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00"/>
        <w:gridCol w:w="6600"/>
        <w:gridCol w:w="2900"/>
      </w:tblGrid>
      <w:tr>
        <w:tc>
          <w:tcPr>
            <w:tcW w:type="dxa" w:w="700"/>
            <w:shd w:fill="0D716B"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6600"/>
            <w:shd w:fill="0D716B" w:val="clear"/>
            <w:tcMar>
              <w:top w:type="dxa" w:w="80"/>
              <w:left w:type="dxa" w:w="100"/>
              <w:bottom w:type="dxa" w:w="80"/>
              <w:right w:type="dxa" w:w="100"/>
            </w:tcMar>
          </w:tcPr>
          <w:p>
            <w:r>
              <w:rPr>
                <w:rFonts w:ascii="Calibri" w:cs="Calibri" w:eastAsia="Calibri" w:hAnsi="Calibri"/>
                <w:b/>
                <w:bCs/>
                <w:color w:val="FFFFFF"/>
                <w:sz w:val="20"/>
                <w:szCs w:val="20"/>
              </w:rPr>
              <w:t xml:space="preserve">Requisito</w:t>
            </w:r>
          </w:p>
        </w:tc>
        <w:tc>
          <w:tcPr>
            <w:tcW w:type="dxa" w:w="2900"/>
            <w:shd w:fill="0D716B" w:val="clear"/>
            <w:tcMar>
              <w:top w:type="dxa" w:w="80"/>
              <w:left w:type="dxa" w:w="100"/>
              <w:bottom w:type="dxa" w:w="80"/>
              <w:right w:type="dxa" w:w="100"/>
            </w:tcMar>
          </w:tcPr>
          <w:p>
            <w:r>
              <w:rPr>
                <w:rFonts w:ascii="Calibri" w:cs="Calibri" w:eastAsia="Calibri" w:hAnsi="Calibri"/>
                <w:b/>
                <w:bCs/>
                <w:color w:val="FFFFFF"/>
                <w:sz w:val="20"/>
                <w:szCs w:val="20"/>
              </w:rPr>
              <w:t xml:space="preserve">Estado</w:t>
            </w:r>
          </w:p>
        </w:tc>
      </w:tr>
      <w:tr>
        <w:tc>
          <w:tcPr>
            <w:tcW w:type="dxa" w:w="700"/>
            <w:tcMar>
              <w:top w:type="dxa" w:w="80"/>
              <w:left w:type="dxa" w:w="100"/>
              <w:bottom w:type="dxa" w:w="80"/>
              <w:right w:type="dxa" w:w="100"/>
            </w:tcMar>
          </w:tcPr>
          <w:p>
            <w:r>
              <w:rPr>
                <w:rFonts w:ascii="Calibri" w:cs="Calibri" w:eastAsia="Calibri" w:hAnsi="Calibri"/>
                <w:b w:val="false"/>
                <w:bCs w:val="false"/>
                <w:color w:val="1A1A1A"/>
                <w:sz w:val="20"/>
                <w:szCs w:val="20"/>
              </w:rPr>
              <w:t xml:space="preserve">1</w:t>
            </w:r>
          </w:p>
        </w:tc>
        <w:tc>
          <w:tcPr>
            <w:tcW w:type="dxa" w:w="6600"/>
            <w:tcMar>
              <w:top w:type="dxa" w:w="80"/>
              <w:left w:type="dxa" w:w="100"/>
              <w:bottom w:type="dxa" w:w="80"/>
              <w:right w:type="dxa" w:w="100"/>
            </w:tcMar>
          </w:tcPr>
          <w:p>
            <w:r>
              <w:rPr>
                <w:rFonts w:ascii="Calibri" w:cs="Calibri" w:eastAsia="Calibri" w:hAnsi="Calibri"/>
                <w:b w:val="false"/>
                <w:bCs w:val="false"/>
                <w:color w:val="1A1A1A"/>
                <w:sz w:val="20"/>
                <w:szCs w:val="20"/>
              </w:rPr>
              <w:t xml:space="preserve">Conexión con un LLM a nivel de API, incluyendo preguntas generales.</w:t>
            </w:r>
          </w:p>
        </w:tc>
        <w:tc>
          <w:tcPr>
            <w:tcW w:type="dxa" w:w="2900"/>
            <w:tcMar>
              <w:top w:type="dxa" w:w="80"/>
              <w:left w:type="dxa" w:w="100"/>
              <w:bottom w:type="dxa" w:w="80"/>
              <w:right w:type="dxa" w:w="100"/>
            </w:tcMar>
          </w:tcPr>
          <w:p>
            <w:r>
              <w:rPr>
                <w:rFonts w:ascii="Calibri" w:cs="Calibri" w:eastAsia="Calibri" w:hAnsi="Calibri"/>
                <w:b w:val="false"/>
                <w:bCs w:val="false"/>
                <w:color w:val="1A1A1A"/>
                <w:sz w:val="20"/>
                <w:szCs w:val="20"/>
              </w:rPr>
              <w:t xml:space="preserve">Implementado (ambos proveedores)</w:t>
            </w:r>
          </w:p>
        </w:tc>
      </w:tr>
      <w:tr>
        <w:tc>
          <w:tcPr>
            <w:tcW w:type="dxa" w:w="7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2</w:t>
            </w:r>
          </w:p>
        </w:tc>
        <w:tc>
          <w:tcPr>
            <w:tcW w:type="dxa" w:w="66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Mantener contexto en una sesión de conversación.</w:t>
            </w:r>
          </w:p>
        </w:tc>
        <w:tc>
          <w:tcPr>
            <w:tcW w:type="dxa" w:w="29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Implementado (ambos proveedores)</w:t>
            </w:r>
          </w:p>
        </w:tc>
      </w:tr>
      <w:tr>
        <w:tc>
          <w:tcPr>
            <w:tcW w:type="dxa" w:w="700"/>
            <w:tcMar>
              <w:top w:type="dxa" w:w="80"/>
              <w:left w:type="dxa" w:w="100"/>
              <w:bottom w:type="dxa" w:w="80"/>
              <w:right w:type="dxa" w:w="100"/>
            </w:tcMar>
          </w:tcPr>
          <w:p>
            <w:r>
              <w:rPr>
                <w:rFonts w:ascii="Calibri" w:cs="Calibri" w:eastAsia="Calibri" w:hAnsi="Calibri"/>
                <w:b w:val="false"/>
                <w:bCs w:val="false"/>
                <w:color w:val="1A1A1A"/>
                <w:sz w:val="20"/>
                <w:szCs w:val="20"/>
              </w:rPr>
              <w:t xml:space="preserve">3</w:t>
            </w:r>
          </w:p>
        </w:tc>
        <w:tc>
          <w:tcPr>
            <w:tcW w:type="dxa" w:w="6600"/>
            <w:tcMar>
              <w:top w:type="dxa" w:w="80"/>
              <w:left w:type="dxa" w:w="100"/>
              <w:bottom w:type="dxa" w:w="80"/>
              <w:right w:type="dxa" w:w="100"/>
            </w:tcMar>
          </w:tcPr>
          <w:p>
            <w:r>
              <w:rPr>
                <w:rFonts w:ascii="Calibri" w:cs="Calibri" w:eastAsia="Calibri" w:hAnsi="Calibri"/>
                <w:b w:val="false"/>
                <w:bCs w:val="false"/>
                <w:color w:val="1A1A1A"/>
                <w:sz w:val="20"/>
                <w:szCs w:val="20"/>
              </w:rPr>
              <w:t xml:space="preserve">Log de todas las interacciones (solicitudes y respuestas) con los servidores MCP.</w:t>
            </w:r>
          </w:p>
        </w:tc>
        <w:tc>
          <w:tcPr>
            <w:tcW w:type="dxa" w:w="2900"/>
            <w:tcMar>
              <w:top w:type="dxa" w:w="80"/>
              <w:left w:type="dxa" w:w="100"/>
              <w:bottom w:type="dxa" w:w="80"/>
              <w:right w:type="dxa" w:w="100"/>
            </w:tcMar>
          </w:tcPr>
          <w:p>
            <w:r>
              <w:rPr>
                <w:rFonts w:ascii="Calibri" w:cs="Calibri" w:eastAsia="Calibri" w:hAnsi="Calibri"/>
                <w:b w:val="false"/>
                <w:bCs w:val="false"/>
                <w:color w:val="1A1A1A"/>
                <w:sz w:val="20"/>
                <w:szCs w:val="20"/>
              </w:rPr>
              <w:t xml:space="preserve">Implementado (JSON-RPC real, consola + archivo)</w:t>
            </w:r>
          </w:p>
        </w:tc>
      </w:tr>
      <w:tr>
        <w:tc>
          <w:tcPr>
            <w:tcW w:type="dxa" w:w="7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4</w:t>
            </w:r>
          </w:p>
        </w:tc>
        <w:tc>
          <w:tcPr>
            <w:tcW w:type="dxa" w:w="66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Uso de servidores MCP locales oficiales (Filesystem y Git).</w:t>
            </w:r>
          </w:p>
        </w:tc>
        <w:tc>
          <w:tcPr>
            <w:tcW w:type="dxa" w:w="29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Implementado</w:t>
            </w:r>
          </w:p>
        </w:tc>
      </w:tr>
      <w:tr>
        <w:tc>
          <w:tcPr>
            <w:tcW w:type="dxa" w:w="700"/>
            <w:tcMar>
              <w:top w:type="dxa" w:w="80"/>
              <w:left w:type="dxa" w:w="100"/>
              <w:bottom w:type="dxa" w:w="80"/>
              <w:right w:type="dxa" w:w="100"/>
            </w:tcMar>
          </w:tcPr>
          <w:p>
            <w:r>
              <w:rPr>
                <w:rFonts w:ascii="Calibri" w:cs="Calibri" w:eastAsia="Calibri" w:hAnsi="Calibri"/>
                <w:b w:val="false"/>
                <w:bCs w:val="false"/>
                <w:color w:val="1A1A1A"/>
                <w:sz w:val="20"/>
                <w:szCs w:val="20"/>
              </w:rPr>
              <w:t xml:space="preserve">5</w:t>
            </w:r>
          </w:p>
        </w:tc>
        <w:tc>
          <w:tcPr>
            <w:tcW w:type="dxa" w:w="6600"/>
            <w:tcMar>
              <w:top w:type="dxa" w:w="80"/>
              <w:left w:type="dxa" w:w="100"/>
              <w:bottom w:type="dxa" w:w="80"/>
              <w:right w:type="dxa" w:w="100"/>
            </w:tcMar>
          </w:tcPr>
          <w:p>
            <w:r>
              <w:rPr>
                <w:rFonts w:ascii="Calibri" w:cs="Calibri" w:eastAsia="Calibri" w:hAnsi="Calibri"/>
                <w:b w:val="false"/>
                <w:bCs w:val="false"/>
                <w:color w:val="1A1A1A"/>
                <w:sz w:val="20"/>
                <w:szCs w:val="20"/>
              </w:rPr>
              <w:t xml:space="preserve">Servidor MCP propio, local, no trivial.</w:t>
            </w:r>
          </w:p>
        </w:tc>
        <w:tc>
          <w:tcPr>
            <w:tcW w:type="dxa" w:w="2900"/>
            <w:tcMar>
              <w:top w:type="dxa" w:w="80"/>
              <w:left w:type="dxa" w:w="100"/>
              <w:bottom w:type="dxa" w:w="80"/>
              <w:right w:type="dxa" w:w="100"/>
            </w:tcMar>
          </w:tcPr>
          <w:p>
            <w:r>
              <w:rPr>
                <w:rFonts w:ascii="Calibri" w:cs="Calibri" w:eastAsia="Calibri" w:hAnsi="Calibri"/>
                <w:b w:val="false"/>
                <w:bCs w:val="false"/>
                <w:color w:val="1A1A1A"/>
                <w:sz w:val="20"/>
                <w:szCs w:val="20"/>
              </w:rPr>
              <w:t xml:space="preserve">Implementado (quant-mcp)</w:t>
            </w:r>
          </w:p>
        </w:tc>
      </w:tr>
      <w:tr>
        <w:tc>
          <w:tcPr>
            <w:tcW w:type="dxa" w:w="7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6</w:t>
            </w:r>
          </w:p>
        </w:tc>
        <w:tc>
          <w:tcPr>
            <w:tcW w:type="dxa" w:w="66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Uso de servidores MCP locales de otros compañeros (2).</w:t>
            </w:r>
          </w:p>
        </w:tc>
        <w:tc>
          <w:tcPr>
            <w:tcW w:type="dxa" w:w="29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Implementado (rrhh-construccion, delivery-mcp-server)</w:t>
            </w:r>
          </w:p>
        </w:tc>
      </w:tr>
      <w:tr>
        <w:tc>
          <w:tcPr>
            <w:tcW w:type="dxa" w:w="700"/>
            <w:tcMar>
              <w:top w:type="dxa" w:w="80"/>
              <w:left w:type="dxa" w:w="100"/>
              <w:bottom w:type="dxa" w:w="80"/>
              <w:right w:type="dxa" w:w="100"/>
            </w:tcMar>
          </w:tcPr>
          <w:p>
            <w:r>
              <w:rPr>
                <w:rFonts w:ascii="Calibri" w:cs="Calibri" w:eastAsia="Calibri" w:hAnsi="Calibri"/>
                <w:b w:val="false"/>
                <w:bCs w:val="false"/>
                <w:color w:val="1A1A1A"/>
                <w:sz w:val="20"/>
                <w:szCs w:val="20"/>
              </w:rPr>
              <w:t xml:space="preserve">7</w:t>
            </w:r>
          </w:p>
        </w:tc>
        <w:tc>
          <w:tcPr>
            <w:tcW w:type="dxa" w:w="6600"/>
            <w:tcMar>
              <w:top w:type="dxa" w:w="80"/>
              <w:left w:type="dxa" w:w="100"/>
              <w:bottom w:type="dxa" w:w="80"/>
              <w:right w:type="dxa" w:w="100"/>
            </w:tcMar>
          </w:tcPr>
          <w:p>
            <w:r>
              <w:rPr>
                <w:rFonts w:ascii="Calibri" w:cs="Calibri" w:eastAsia="Calibri" w:hAnsi="Calibri"/>
                <w:b w:val="false"/>
                <w:bCs w:val="false"/>
                <w:color w:val="1A1A1A"/>
                <w:sz w:val="20"/>
                <w:szCs w:val="20"/>
              </w:rPr>
              <w:t xml:space="preserve">Servidor MCP remoto desplegado en la nube.</w:t>
            </w:r>
          </w:p>
        </w:tc>
        <w:tc>
          <w:tcPr>
            <w:tcW w:type="dxa" w:w="2900"/>
            <w:tcMar>
              <w:top w:type="dxa" w:w="80"/>
              <w:left w:type="dxa" w:w="100"/>
              <w:bottom w:type="dxa" w:w="80"/>
              <w:right w:type="dxa" w:w="100"/>
            </w:tcMar>
          </w:tcPr>
          <w:p>
            <w:r>
              <w:rPr>
                <w:rFonts w:ascii="Calibri" w:cs="Calibri" w:eastAsia="Calibri" w:hAnsi="Calibri"/>
                <w:b w:val="false"/>
                <w:bCs w:val="false"/>
                <w:color w:val="1A1A1A"/>
                <w:sz w:val="20"/>
                <w:szCs w:val="20"/>
              </w:rPr>
              <w:t xml:space="preserve">Fuera de alcance — requisito retirado por el catedrático</w:t>
            </w:r>
          </w:p>
        </w:tc>
      </w:tr>
      <w:tr>
        <w:tc>
          <w:tcPr>
            <w:tcW w:type="dxa" w:w="7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8</w:t>
            </w:r>
          </w:p>
        </w:tc>
        <w:tc>
          <w:tcPr>
            <w:tcW w:type="dxa" w:w="66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Análisis de comunicación remota con WireShark.</w:t>
            </w:r>
          </w:p>
        </w:tc>
        <w:tc>
          <w:tcPr>
            <w:tcW w:type="dxa" w:w="29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Fuera de alcance — dependía del punto 7</w:t>
            </w:r>
          </w:p>
        </w:tc>
      </w:tr>
      <w:tr>
        <w:tc>
          <w:tcPr>
            <w:tcW w:type="dxa" w:w="700"/>
            <w:tcMar>
              <w:top w:type="dxa" w:w="80"/>
              <w:left w:type="dxa" w:w="100"/>
              <w:bottom w:type="dxa" w:w="80"/>
              <w:right w:type="dxa" w:w="100"/>
            </w:tcMar>
          </w:tcPr>
          <w:p>
            <w:r>
              <w:rPr>
                <w:rFonts w:ascii="Calibri" w:cs="Calibri" w:eastAsia="Calibri" w:hAnsi="Calibri"/>
                <w:b w:val="false"/>
                <w:bCs w:val="false"/>
                <w:color w:val="1A1A1A"/>
                <w:sz w:val="20"/>
                <w:szCs w:val="20"/>
              </w:rPr>
              <w:t xml:space="preserve">9</w:t>
            </w:r>
          </w:p>
        </w:tc>
        <w:tc>
          <w:tcPr>
            <w:tcW w:type="dxa" w:w="6600"/>
            <w:tcMar>
              <w:top w:type="dxa" w:w="80"/>
              <w:left w:type="dxa" w:w="100"/>
              <w:bottom w:type="dxa" w:w="80"/>
              <w:right w:type="dxa" w:w="100"/>
            </w:tcMar>
          </w:tcPr>
          <w:p>
            <w:r>
              <w:rPr>
                <w:rFonts w:ascii="Calibri" w:cs="Calibri" w:eastAsia="Calibri" w:hAnsi="Calibri"/>
                <w:b w:val="false"/>
                <w:bCs w:val="false"/>
                <w:color w:val="1A1A1A"/>
                <w:sz w:val="20"/>
                <w:szCs w:val="20"/>
              </w:rPr>
              <w:t xml:space="preserve">Especificación de los servidores MCP desarrollados.</w:t>
            </w:r>
          </w:p>
        </w:tc>
        <w:tc>
          <w:tcPr>
            <w:tcW w:type="dxa" w:w="2900"/>
            <w:tcMar>
              <w:top w:type="dxa" w:w="80"/>
              <w:left w:type="dxa" w:w="100"/>
              <w:bottom w:type="dxa" w:w="80"/>
              <w:right w:type="dxa" w:w="100"/>
            </w:tcMar>
          </w:tcPr>
          <w:p>
            <w:r>
              <w:rPr>
                <w:rFonts w:ascii="Calibri" w:cs="Calibri" w:eastAsia="Calibri" w:hAnsi="Calibri"/>
                <w:b w:val="false"/>
                <w:bCs w:val="false"/>
                <w:color w:val="1A1A1A"/>
                <w:sz w:val="20"/>
                <w:szCs w:val="20"/>
              </w:rPr>
              <w:t xml:space="preserve">Ver sección 5</w:t>
            </w:r>
          </w:p>
        </w:tc>
      </w:tr>
      <w:tr>
        <w:tc>
          <w:tcPr>
            <w:tcW w:type="dxa" w:w="7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10</w:t>
            </w:r>
          </w:p>
        </w:tc>
        <w:tc>
          <w:tcPr>
            <w:tcW w:type="dxa" w:w="66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Análisis de capas de red a partir del punto 8.</w:t>
            </w:r>
          </w:p>
        </w:tc>
        <w:tc>
          <w:tcPr>
            <w:tcW w:type="dxa" w:w="29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Fuera de alcance — dependía del punto 8</w:t>
            </w:r>
          </w:p>
        </w:tc>
      </w:tr>
      <w:tr>
        <w:tc>
          <w:tcPr>
            <w:tcW w:type="dxa" w:w="700"/>
            <w:tcMar>
              <w:top w:type="dxa" w:w="80"/>
              <w:left w:type="dxa" w:w="100"/>
              <w:bottom w:type="dxa" w:w="80"/>
              <w:right w:type="dxa" w:w="100"/>
            </w:tcMar>
          </w:tcPr>
          <w:p>
            <w:r>
              <w:rPr>
                <w:rFonts w:ascii="Calibri" w:cs="Calibri" w:eastAsia="Calibri" w:hAnsi="Calibri"/>
                <w:b w:val="false"/>
                <w:bCs w:val="false"/>
                <w:color w:val="1A1A1A"/>
                <w:sz w:val="20"/>
                <w:szCs w:val="20"/>
              </w:rPr>
              <w:t xml:space="preserve">11</w:t>
            </w:r>
          </w:p>
        </w:tc>
        <w:tc>
          <w:tcPr>
            <w:tcW w:type="dxa" w:w="6600"/>
            <w:tcMar>
              <w:top w:type="dxa" w:w="80"/>
              <w:left w:type="dxa" w:w="100"/>
              <w:bottom w:type="dxa" w:w="80"/>
              <w:right w:type="dxa" w:w="100"/>
            </w:tcMar>
          </w:tcPr>
          <w:p>
            <w:r>
              <w:rPr>
                <w:rFonts w:ascii="Calibri" w:cs="Calibri" w:eastAsia="Calibri" w:hAnsi="Calibri"/>
                <w:b w:val="false"/>
                <w:bCs w:val="false"/>
                <w:color w:val="1A1A1A"/>
                <w:sz w:val="20"/>
                <w:szCs w:val="20"/>
              </w:rPr>
              <w:t xml:space="preserve">Conclusiones y comentarios sobre el proyecto.</w:t>
            </w:r>
          </w:p>
        </w:tc>
        <w:tc>
          <w:tcPr>
            <w:tcW w:type="dxa" w:w="2900"/>
            <w:tcMar>
              <w:top w:type="dxa" w:w="80"/>
              <w:left w:type="dxa" w:w="100"/>
              <w:bottom w:type="dxa" w:w="80"/>
              <w:right w:type="dxa" w:w="100"/>
            </w:tcMar>
          </w:tcPr>
          <w:p>
            <w:r>
              <w:rPr>
                <w:rFonts w:ascii="Calibri" w:cs="Calibri" w:eastAsia="Calibri" w:hAnsi="Calibri"/>
                <w:b w:val="false"/>
                <w:bCs w:val="false"/>
                <w:color w:val="1A1A1A"/>
                <w:sz w:val="20"/>
                <w:szCs w:val="20"/>
              </w:rPr>
              <w:t xml:space="preserve">Ver sección 9</w:t>
            </w:r>
          </w:p>
        </w:tc>
      </w:tr>
    </w:tbl>
    <w:p>
      <w:pPr>
        <w:spacing w:after="220"/>
        <w:jc w:val="center"/>
      </w:pPr>
      <w:r>
        <w:rPr>
          <w:i/>
          <w:iCs/>
          <w:color w:val="666666"/>
          <w:sz w:val="19"/>
          <w:szCs w:val="19"/>
        </w:rPr>
        <w:t xml:space="preserve">Tabla 2. Cumplimiento de los requisitos funcionales de la guía.</w:t>
      </w:r>
    </w:p>
    <w:p>
      <w:pPr>
        <w:spacing w:after="180" w:line="300"/>
        <w:jc w:val="both"/>
      </w:pPr>
      <w:r>
        <w:rPr>
          <w:rFonts w:ascii="Calibri" w:cs="Calibri" w:eastAsia="Calibri" w:hAnsi="Calibri"/>
          <w:i w:val="false"/>
          <w:iCs w:val="false"/>
          <w:sz w:val="22"/>
          <w:szCs w:val="22"/>
        </w:rPr>
        <w:t xml:space="preserve">Como extra, se implementó una interfaz de usuario (sección 8), correspondiente al 15% adicional descrito en la guía para un proyecto con UI (terminal o web), considerando principios de HCI en su diseño. No se implementó el intercambio directo de JSON-RPC sin SDK (el otro extra posible), ya que el proyecto utiliza el SDK oficial de Python (mcp) tanto para el host como para el servidor propio.</w:t>
      </w:r>
    </w:p>
    <w:p>
      <w:pPr>
        <w:pStyle w:val="Heading1"/>
        <w:spacing w:after="160" w:before="360"/>
      </w:pPr>
      <w:r>
        <w:rPr>
          <w:b/>
          <w:bCs/>
          <w:color w:val="084D4B"/>
          <w:sz w:val="30"/>
          <w:szCs w:val="30"/>
        </w:rPr>
        <w:t xml:space="preserve">5. Especificación del servidor MCP propio: quant-mcp</w:t>
      </w:r>
    </w:p>
    <w:p>
      <w:pPr>
        <w:spacing w:after="180" w:line="300"/>
        <w:jc w:val="both"/>
      </w:pPr>
      <w:r>
        <w:rPr>
          <w:rFonts w:ascii="Calibri" w:cs="Calibri" w:eastAsia="Calibri" w:hAnsi="Calibri"/>
          <w:i w:val="false"/>
          <w:iCs w:val="false"/>
          <w:sz w:val="22"/>
          <w:szCs w:val="22"/>
        </w:rPr>
        <w:t xml:space="preserve">quant-mcp es un servidor MCP standalone que expone herramientas de análisis cuantitativo de portafolios sobre transporte stdio, construido con el SDK oficial mcp (versión 1.x, vía FastMCP). Los cálculos se realizan con pandas, numpy y scipy sobre datos históricos de precios; el LLM coordinador nunca estima estos valores — siempre invoca la herramienta correspondiente.</w:t>
      </w:r>
    </w:p>
    <w:p>
      <w:pPr>
        <w:pStyle w:val="Heading2"/>
        <w:spacing w:after="120" w:before="280"/>
      </w:pPr>
      <w:r>
        <w:rPr>
          <w:b/>
          <w:bCs/>
          <w:color w:val="0D716B"/>
          <w:sz w:val="25"/>
          <w:szCs w:val="25"/>
        </w:rPr>
        <w:t xml:space="preserve">5.1 Esquema de datos</w:t>
      </w:r>
    </w:p>
    <w:p>
      <w:pPr>
        <w:spacing w:after="180" w:line="300"/>
        <w:jc w:val="both"/>
      </w:pPr>
      <w:r>
        <w:rPr>
          <w:rFonts w:ascii="Calibri" w:cs="Calibri" w:eastAsia="Calibri" w:hAnsi="Calibri"/>
          <w:i w:val="false"/>
          <w:iCs w:val="false"/>
          <w:sz w:val="22"/>
          <w:szCs w:val="22"/>
        </w:rPr>
        <w:t xml:space="preserve">Los datos de precios históricos se almacenan como archivos CSV, uno por ticker, en servers/quant_mcp/data/, con el siguiente esquema:</w:t>
      </w:r>
    </w:p>
    <w:p>
      <w:pPr>
        <w:shd w:fill="F4F4F4" w:val="clear"/>
        <w:spacing w:after="160"/>
      </w:pPr>
      <w:r>
        <w:rPr>
          <w:rFonts w:ascii="Consolas" w:cs="Consolas" w:eastAsia="Consolas" w:hAnsi="Consolas"/>
          <w:color w:val="333333"/>
          <w:sz w:val="19"/>
          <w:szCs w:val="19"/>
        </w:rPr>
        <w:t xml:space="preserve">date,open,high,low,close,volume</w:t>
      </w:r>
    </w:p>
    <w:p>
      <w:pPr>
        <w:spacing w:after="180" w:line="300"/>
        <w:jc w:val="both"/>
      </w:pPr>
      <w:r>
        <w:rPr>
          <w:rFonts w:ascii="Calibri" w:cs="Calibri" w:eastAsia="Calibri" w:hAnsi="Calibri"/>
          <w:i w:val="false"/>
          <w:iCs w:val="false"/>
          <w:sz w:val="22"/>
          <w:szCs w:val="22"/>
        </w:rPr>
        <w:t xml:space="preserve">Los datos incluidos son sintéticos (generados con movimiento geométrico browniano y un factor de mercado común para que los tickers estén correlacionados de forma realista), ya que el entorno de desarrollo no tuvo acceso de red a proveedores de datos financieros. El esquema es agnóstico del origen de los datos, por lo que puede sustituirse por datos reales (por ejemplo, descargados con yfinance) sin modificar la lógica de cálculo.</w:t>
      </w:r>
    </w:p>
    <w:p>
      <w:pPr>
        <w:pStyle w:val="Heading2"/>
        <w:spacing w:after="120" w:before="280"/>
      </w:pPr>
      <w:r>
        <w:rPr>
          <w:b/>
          <w:bCs/>
          <w:color w:val="0D716B"/>
          <w:sz w:val="25"/>
          <w:szCs w:val="25"/>
        </w:rPr>
        <w:t xml:space="preserve">5.2 Herramientas expuestas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600"/>
      </w:tblGrid>
      <w:tr>
        <w:tc>
          <w:tcPr>
            <w:tcW w:type="dxa" w:w="2400"/>
            <w:shd w:fill="0D716B" w:val="clear"/>
            <w:tcMar>
              <w:top w:type="dxa" w:w="80"/>
              <w:left w:type="dxa" w:w="100"/>
              <w:bottom w:type="dxa" w:w="80"/>
              <w:right w:type="dxa" w:w="100"/>
            </w:tcMar>
          </w:tcPr>
          <w:p>
            <w:r>
              <w:rPr>
                <w:rFonts w:ascii="Calibri" w:cs="Calibri" w:eastAsia="Calibri" w:hAnsi="Calibri"/>
                <w:b/>
                <w:bCs/>
                <w:color w:val="FFFFFF"/>
                <w:sz w:val="20"/>
                <w:szCs w:val="20"/>
              </w:rPr>
              <w:t xml:space="preserve">Tool</w:t>
            </w:r>
          </w:p>
        </w:tc>
        <w:tc>
          <w:tcPr>
            <w:tcW w:type="dxa" w:w="4200"/>
            <w:shd w:fill="0D716B" w:val="clear"/>
            <w:tcMar>
              <w:top w:type="dxa" w:w="80"/>
              <w:left w:type="dxa" w:w="100"/>
              <w:bottom w:type="dxa" w:w="80"/>
              <w:right w:type="dxa" w:w="100"/>
            </w:tcMar>
          </w:tcPr>
          <w:p>
            <w:r>
              <w:rPr>
                <w:rFonts w:ascii="Calibri" w:cs="Calibri" w:eastAsia="Calibri" w:hAnsi="Calibri"/>
                <w:b/>
                <w:bCs/>
                <w:color w:val="FFFFFF"/>
                <w:sz w:val="20"/>
                <w:szCs w:val="20"/>
              </w:rPr>
              <w:t xml:space="preserve">Parámetros</w:t>
            </w:r>
          </w:p>
        </w:tc>
        <w:tc>
          <w:tcPr>
            <w:tcW w:type="dxa" w:w="3600"/>
            <w:shd w:fill="0D716B" w:val="clear"/>
            <w:tcMar>
              <w:top w:type="dxa" w:w="80"/>
              <w:left w:type="dxa" w:w="100"/>
              <w:bottom w:type="dxa" w:w="80"/>
              <w:right w:type="dxa" w:w="100"/>
            </w:tcMar>
          </w:tcPr>
          <w:p>
            <w:r>
              <w:rPr>
                <w:rFonts w:ascii="Calibri" w:cs="Calibri" w:eastAsia="Calibri" w:hAnsi="Calibri"/>
                <w:b/>
                <w:bCs/>
                <w:color w:val="FFFFFF"/>
                <w:sz w:val="20"/>
                <w:szCs w:val="20"/>
              </w:rPr>
              <w:t xml:space="preserve">Retorna</w:t>
            </w:r>
          </w:p>
        </w:tc>
      </w:tr>
      <w:tr>
        <w:tc>
          <w:tcPr>
            <w:tcW w:type="dxa" w:w="2400"/>
            <w:tcMar>
              <w:top w:type="dxa" w:w="80"/>
              <w:left w:type="dxa" w:w="100"/>
              <w:bottom w:type="dxa" w:w="80"/>
              <w:right w:type="dxa" w:w="100"/>
            </w:tcMar>
          </w:tcPr>
          <w:p>
            <w:r>
              <w:rPr>
                <w:rFonts w:ascii="Calibri" w:cs="Calibri" w:eastAsia="Calibri" w:hAnsi="Calibri"/>
                <w:b w:val="false"/>
                <w:bCs w:val="false"/>
                <w:color w:val="1A1A1A"/>
                <w:sz w:val="20"/>
                <w:szCs w:val="20"/>
              </w:rPr>
              <w:t xml:space="preserve">list_available_tickers</w:t>
            </w:r>
          </w:p>
        </w:tc>
        <w:tc>
          <w:tcPr>
            <w:tcW w:type="dxa" w:w="4200"/>
            <w:tcMar>
              <w:top w:type="dxa" w:w="80"/>
              <w:left w:type="dxa" w:w="100"/>
              <w:bottom w:type="dxa" w:w="80"/>
              <w:right w:type="dxa" w:w="100"/>
            </w:tcMar>
          </w:tcPr>
          <w:p>
            <w:r>
              <w:rPr>
                <w:rFonts w:ascii="Calibri" w:cs="Calibri" w:eastAsia="Calibri" w:hAnsi="Calibri"/>
                <w:b w:val="false"/>
                <w:bCs w:val="false"/>
                <w:color w:val="1A1A1A"/>
                <w:sz w:val="20"/>
                <w:szCs w:val="20"/>
              </w:rPr>
              <w:t xml:space="preserve">— (sin parámetros)</w:t>
            </w:r>
          </w:p>
        </w:tc>
        <w:tc>
          <w:tcPr>
            <w:tcW w:type="dxa" w:w="3600"/>
            <w:tcMar>
              <w:top w:type="dxa" w:w="80"/>
              <w:left w:type="dxa" w:w="100"/>
              <w:bottom w:type="dxa" w:w="80"/>
              <w:right w:type="dxa" w:w="100"/>
            </w:tcMar>
          </w:tcPr>
          <w:p>
            <w:r>
              <w:rPr>
                <w:rFonts w:ascii="Calibri" w:cs="Calibri" w:eastAsia="Calibri" w:hAnsi="Calibri"/>
                <w:b w:val="false"/>
                <w:bCs w:val="false"/>
                <w:color w:val="1A1A1A"/>
                <w:sz w:val="20"/>
                <w:szCs w:val="20"/>
              </w:rPr>
              <w:t xml:space="preserve">Lista de tickers con datos disponibles.</w:t>
            </w:r>
          </w:p>
        </w:tc>
      </w:tr>
      <w:tr>
        <w:tc>
          <w:tcPr>
            <w:tcW w:type="dxa" w:w="24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get_portfolio_summary</w:t>
            </w:r>
          </w:p>
        </w:tc>
        <w:tc>
          <w:tcPr>
            <w:tcW w:type="dxa" w:w="42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positions, risk_free_rate?, window_days?</w:t>
            </w:r>
          </w:p>
        </w:tc>
        <w:tc>
          <w:tcPr>
            <w:tcW w:type="dxa" w:w="36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Pesos por posición, retorno anualizado, volatilidad anualizada y Sharpe ratio.</w:t>
            </w:r>
          </w:p>
        </w:tc>
      </w:tr>
      <w:tr>
        <w:tc>
          <w:tcPr>
            <w:tcW w:type="dxa" w:w="2400"/>
            <w:tcMar>
              <w:top w:type="dxa" w:w="80"/>
              <w:left w:type="dxa" w:w="100"/>
              <w:bottom w:type="dxa" w:w="80"/>
              <w:right w:type="dxa" w:w="100"/>
            </w:tcMar>
          </w:tcPr>
          <w:p>
            <w:r>
              <w:rPr>
                <w:rFonts w:ascii="Calibri" w:cs="Calibri" w:eastAsia="Calibri" w:hAnsi="Calibri"/>
                <w:b w:val="false"/>
                <w:bCs w:val="false"/>
                <w:color w:val="1A1A1A"/>
                <w:sz w:val="20"/>
                <w:szCs w:val="20"/>
              </w:rPr>
              <w:t xml:space="preserve">calculate_volatility</w:t>
            </w:r>
          </w:p>
        </w:tc>
        <w:tc>
          <w:tcPr>
            <w:tcW w:type="dxa" w:w="4200"/>
            <w:tcMar>
              <w:top w:type="dxa" w:w="80"/>
              <w:left w:type="dxa" w:w="100"/>
              <w:bottom w:type="dxa" w:w="80"/>
              <w:right w:type="dxa" w:w="100"/>
            </w:tcMar>
          </w:tcPr>
          <w:p>
            <w:r>
              <w:rPr>
                <w:rFonts w:ascii="Calibri" w:cs="Calibri" w:eastAsia="Calibri" w:hAnsi="Calibri"/>
                <w:b w:val="false"/>
                <w:bCs w:val="false"/>
                <w:color w:val="1A1A1A"/>
                <w:sz w:val="20"/>
                <w:szCs w:val="20"/>
              </w:rPr>
              <w:t xml:space="preserve">positions, window_days?</w:t>
            </w:r>
          </w:p>
        </w:tc>
        <w:tc>
          <w:tcPr>
            <w:tcW w:type="dxa" w:w="3600"/>
            <w:tcMar>
              <w:top w:type="dxa" w:w="80"/>
              <w:left w:type="dxa" w:w="100"/>
              <w:bottom w:type="dxa" w:w="80"/>
              <w:right w:type="dxa" w:w="100"/>
            </w:tcMar>
          </w:tcPr>
          <w:p>
            <w:r>
              <w:rPr>
                <w:rFonts w:ascii="Calibri" w:cs="Calibri" w:eastAsia="Calibri" w:hAnsi="Calibri"/>
                <w:b w:val="false"/>
                <w:bCs w:val="false"/>
                <w:color w:val="1A1A1A"/>
                <w:sz w:val="20"/>
                <w:szCs w:val="20"/>
              </w:rPr>
              <w:t xml:space="preserve">Volatilidad anualizada del portafolio y de cada posición individual.</w:t>
            </w:r>
          </w:p>
        </w:tc>
      </w:tr>
      <w:tr>
        <w:tc>
          <w:tcPr>
            <w:tcW w:type="dxa" w:w="24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calculate_sharpe_ratio</w:t>
            </w:r>
          </w:p>
        </w:tc>
        <w:tc>
          <w:tcPr>
            <w:tcW w:type="dxa" w:w="42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positions, risk_free_rate?, window_days?</w:t>
            </w:r>
          </w:p>
        </w:tc>
        <w:tc>
          <w:tcPr>
            <w:tcW w:type="dxa" w:w="36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Sharpe ratio anualizado.</w:t>
            </w:r>
          </w:p>
        </w:tc>
      </w:tr>
      <w:tr>
        <w:tc>
          <w:tcPr>
            <w:tcW w:type="dxa" w:w="2400"/>
            <w:tcMar>
              <w:top w:type="dxa" w:w="80"/>
              <w:left w:type="dxa" w:w="100"/>
              <w:bottom w:type="dxa" w:w="80"/>
              <w:right w:type="dxa" w:w="100"/>
            </w:tcMar>
          </w:tcPr>
          <w:p>
            <w:r>
              <w:rPr>
                <w:rFonts w:ascii="Calibri" w:cs="Calibri" w:eastAsia="Calibri" w:hAnsi="Calibri"/>
                <w:b w:val="false"/>
                <w:bCs w:val="false"/>
                <w:color w:val="1A1A1A"/>
                <w:sz w:val="20"/>
                <w:szCs w:val="20"/>
              </w:rPr>
              <w:t xml:space="preserve">calculate_var</w:t>
            </w:r>
          </w:p>
        </w:tc>
        <w:tc>
          <w:tcPr>
            <w:tcW w:type="dxa" w:w="4200"/>
            <w:tcMar>
              <w:top w:type="dxa" w:w="80"/>
              <w:left w:type="dxa" w:w="100"/>
              <w:bottom w:type="dxa" w:w="80"/>
              <w:right w:type="dxa" w:w="100"/>
            </w:tcMar>
          </w:tcPr>
          <w:p>
            <w:r>
              <w:rPr>
                <w:rFonts w:ascii="Calibri" w:cs="Calibri" w:eastAsia="Calibri" w:hAnsi="Calibri"/>
                <w:b w:val="false"/>
                <w:bCs w:val="false"/>
                <w:color w:val="1A1A1A"/>
                <w:sz w:val="20"/>
                <w:szCs w:val="20"/>
              </w:rPr>
              <w:t xml:space="preserve">positions, confidence?, portfolio_value?, method?, window_days?</w:t>
            </w:r>
          </w:p>
        </w:tc>
        <w:tc>
          <w:tcPr>
            <w:tcW w:type="dxa" w:w="3600"/>
            <w:tcMar>
              <w:top w:type="dxa" w:w="80"/>
              <w:left w:type="dxa" w:w="100"/>
              <w:bottom w:type="dxa" w:w="80"/>
              <w:right w:type="dxa" w:w="100"/>
            </w:tcMar>
          </w:tcPr>
          <w:p>
            <w:r>
              <w:rPr>
                <w:rFonts w:ascii="Calibri" w:cs="Calibri" w:eastAsia="Calibri" w:hAnsi="Calibri"/>
                <w:b w:val="false"/>
                <w:bCs w:val="false"/>
                <w:color w:val="1A1A1A"/>
                <w:sz w:val="20"/>
                <w:szCs w:val="20"/>
              </w:rPr>
              <w:t xml:space="preserve">Value at Risk (histórico o paramétrico) con interpretación en lenguaje natural.</w:t>
            </w:r>
          </w:p>
        </w:tc>
      </w:tr>
      <w:tr>
        <w:tc>
          <w:tcPr>
            <w:tcW w:type="dxa" w:w="24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get_correlation_matrix</w:t>
            </w:r>
          </w:p>
        </w:tc>
        <w:tc>
          <w:tcPr>
            <w:tcW w:type="dxa" w:w="42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tickers, window_days?, top_n_pairs?</w:t>
            </w:r>
          </w:p>
        </w:tc>
        <w:tc>
          <w:tcPr>
            <w:tcW w:type="dxa" w:w="3600"/>
            <w:shd w:fill="EAF2EF" w:val="clear"/>
            <w:tcMar>
              <w:top w:type="dxa" w:w="80"/>
              <w:left w:type="dxa" w:w="100"/>
              <w:bottom w:type="dxa" w:w="80"/>
              <w:right w:type="dxa" w:w="100"/>
            </w:tcMar>
          </w:tcPr>
          <w:p>
            <w:r>
              <w:rPr>
                <w:rFonts w:ascii="Calibri" w:cs="Calibri" w:eastAsia="Calibri" w:hAnsi="Calibri"/>
                <w:b w:val="false"/>
                <w:bCs w:val="false"/>
                <w:color w:val="1A1A1A"/>
                <w:sz w:val="20"/>
                <w:szCs w:val="20"/>
              </w:rPr>
              <w:t xml:space="preserve">Matriz de correlación de Pearson y los pares más correlacionados.</w:t>
            </w:r>
          </w:p>
        </w:tc>
      </w:tr>
      <w:tr>
        <w:tc>
          <w:tcPr>
            <w:tcW w:type="dxa" w:w="2400"/>
            <w:tcMar>
              <w:top w:type="dxa" w:w="80"/>
              <w:left w:type="dxa" w:w="100"/>
              <w:bottom w:type="dxa" w:w="80"/>
              <w:right w:type="dxa" w:w="100"/>
            </w:tcMar>
          </w:tcPr>
          <w:p>
            <w:r>
              <w:rPr>
                <w:rFonts w:ascii="Calibri" w:cs="Calibri" w:eastAsia="Calibri" w:hAnsi="Calibri"/>
                <w:b w:val="false"/>
                <w:bCs w:val="false"/>
                <w:color w:val="1A1A1A"/>
                <w:sz w:val="20"/>
                <w:szCs w:val="20"/>
              </w:rPr>
              <w:t xml:space="preserve">simulate_rebalance</w:t>
            </w:r>
          </w:p>
        </w:tc>
        <w:tc>
          <w:tcPr>
            <w:tcW w:type="dxa" w:w="4200"/>
            <w:tcMar>
              <w:top w:type="dxa" w:w="80"/>
              <w:left w:type="dxa" w:w="100"/>
              <w:bottom w:type="dxa" w:w="80"/>
              <w:right w:type="dxa" w:w="100"/>
            </w:tcMar>
          </w:tcPr>
          <w:p>
            <w:r>
              <w:rPr>
                <w:rFonts w:ascii="Calibri" w:cs="Calibri" w:eastAsia="Calibri" w:hAnsi="Calibri"/>
                <w:b w:val="false"/>
                <w:bCs w:val="false"/>
                <w:color w:val="1A1A1A"/>
                <w:sz w:val="20"/>
                <w:szCs w:val="20"/>
              </w:rPr>
              <w:t xml:space="preserve">current_positions, proposed_positions, risk_free_rate?, window_days?</w:t>
            </w:r>
          </w:p>
        </w:tc>
        <w:tc>
          <w:tcPr>
            <w:tcW w:type="dxa" w:w="3600"/>
            <w:tcMar>
              <w:top w:type="dxa" w:w="80"/>
              <w:left w:type="dxa" w:w="100"/>
              <w:bottom w:type="dxa" w:w="80"/>
              <w:right w:type="dxa" w:w="100"/>
            </w:tcMar>
          </w:tcPr>
          <w:p>
            <w:r>
              <w:rPr>
                <w:rFonts w:ascii="Calibri" w:cs="Calibri" w:eastAsia="Calibri" w:hAnsi="Calibri"/>
                <w:b w:val="false"/>
                <w:bCs w:val="false"/>
                <w:color w:val="1A1A1A"/>
                <w:sz w:val="20"/>
                <w:szCs w:val="20"/>
              </w:rPr>
              <w:t xml:space="preserve">Comparación antes/después de las métricas del portafolio ante un cambio hipotético.</w:t>
            </w:r>
          </w:p>
        </w:tc>
      </w:tr>
    </w:tbl>
    <w:p>
      <w:pPr>
        <w:spacing w:after="220"/>
        <w:jc w:val="center"/>
      </w:pPr>
      <w:r>
        <w:rPr>
          <w:i/>
          <w:iCs/>
          <w:color w:val="666666"/>
          <w:sz w:val="19"/>
          <w:szCs w:val="19"/>
        </w:rPr>
        <w:t xml:space="preserve">Tabla 3. Herramientas expuestas por quant-mcp.</w:t>
      </w:r>
    </w:p>
    <w:p>
      <w:pPr>
        <w:spacing w:after="180" w:line="300"/>
        <w:jc w:val="both"/>
      </w:pPr>
      <w:r>
        <w:rPr>
          <w:rFonts w:ascii="Calibri" w:cs="Calibri" w:eastAsia="Calibri" w:hAnsi="Calibri"/>
          <w:i w:val="false"/>
          <w:iCs w:val="false"/>
          <w:sz w:val="22"/>
          <w:szCs w:val="22"/>
        </w:rPr>
        <w:t xml:space="preserve">Todas las posiciones (positions) siguen el mismo formato:</w:t>
      </w:r>
    </w:p>
    <w:p>
      <w:pPr>
        <w:shd w:fill="F4F4F4" w:val="clear"/>
        <w:spacing w:after="160"/>
      </w:pPr>
      <w:r>
        <w:rPr>
          <w:rFonts w:ascii="Consolas" w:cs="Consolas" w:eastAsia="Consolas" w:hAnsi="Consolas"/>
          <w:color w:val="333333"/>
          <w:sz w:val="19"/>
          <w:szCs w:val="19"/>
        </w:rPr>
        <w:t xml:space="preserve">{"ticker": "AAPL", "quantity": 10}</w:t>
      </w:r>
    </w:p>
    <w:p>
      <w:pPr>
        <w:pStyle w:val="Heading2"/>
        <w:spacing w:after="120" w:before="280"/>
      </w:pPr>
      <w:r>
        <w:rPr>
          <w:b/>
          <w:bCs/>
          <w:color w:val="0D716B"/>
          <w:sz w:val="25"/>
          <w:szCs w:val="25"/>
        </w:rPr>
        <w:t xml:space="preserve">5.3 Justificación de no-trivialidad</w:t>
      </w:r>
    </w:p>
    <w:p>
      <w:pPr>
        <w:spacing w:after="180" w:line="300"/>
        <w:jc w:val="both"/>
      </w:pPr>
      <w:r>
        <w:rPr>
          <w:rFonts w:ascii="Calibri" w:cs="Calibri" w:eastAsia="Calibri" w:hAnsi="Calibri"/>
          <w:i w:val="false"/>
          <w:iCs w:val="false"/>
          <w:sz w:val="22"/>
          <w:szCs w:val="22"/>
        </w:rPr>
        <w:t xml:space="preserve">El cálculo de Value at Risk (histórico y paramétrico), Sharpe ratio anualizado, y matrices de correlación requiere aplicar fórmulas de matemática financiera real — anualización con raíz cuadrada del número de días de trading, percentiles empíricos sobre series de retornos, y la distribución normal inversa para el método paramétrico — sobre datos reales cargados desde disco. Esto no es una funcionalidad que un LLM pueda simular de forma confiable mediante prompting, lo que satisface el requisito de no-trivialidad establecido en la guía del proyecto (el ejemplo explícitamente descartado como trivial, "consultar el clima", no requiere ningún procesamiento de datos históricos ni cálculo estadístico como el que sí exige este servidor).</w:t>
      </w:r>
    </w:p>
    <w:p>
      <w:pPr>
        <w:pStyle w:val="Heading2"/>
        <w:spacing w:after="120" w:before="280"/>
      </w:pPr>
      <w:r>
        <w:rPr>
          <w:b/>
          <w:bCs/>
          <w:color w:val="0D716B"/>
          <w:sz w:val="25"/>
          <w:szCs w:val="25"/>
        </w:rPr>
        <w:t xml:space="preserve">5.4 Servidores de compañeros utilizados</w:t>
      </w:r>
    </w:p>
    <w:p>
      <w:pPr>
        <w:spacing w:after="180" w:line="300"/>
        <w:jc w:val="both"/>
      </w:pPr>
      <w:r>
        <w:rPr>
          <w:rFonts w:ascii="Calibri" w:cs="Calibri" w:eastAsia="Calibri" w:hAnsi="Calibri"/>
          <w:i w:val="false"/>
          <w:iCs w:val="false"/>
          <w:sz w:val="22"/>
          <w:szCs w:val="22"/>
        </w:rPr>
        <w:t xml:space="preserve">Además del propio, el host conectó exitosamente dos servidores MCP desarrollados por compañeros del curso, cada uno publicado en un repositorio independiente:</w:t>
      </w:r>
    </w:p>
    <w:p>
      <w:pPr>
        <w:pStyle w:val="ListParagraph"/>
        <w:numPr>
          <w:ilvl w:val="0"/>
          <w:numId w:val="2"/>
        </w:numPr>
        <w:spacing w:after="100"/>
      </w:pPr>
      <w:r>
        <w:rPr>
          <w:rFonts w:ascii="Calibri" w:cs="Calibri" w:eastAsia="Calibri" w:hAnsi="Calibri"/>
          <w:sz w:val="22"/>
          <w:szCs w:val="22"/>
        </w:rPr>
        <w:t xml:space="preserve">mcp-server-rrhh-construccion (NESHGP04) — expone herramientas de recursos humanos para una constructora ficticia: consulta de empleados, saldo de vacaciones con acarreo entre años, cálculo de horas extra con multiplicadores por tipo de turno, resumen de nómina, e historial laboral completo. Construido sobre mcp 2.x (MCPServer).</w:t>
      </w:r>
    </w:p>
    <w:p>
      <w:pPr>
        <w:pStyle w:val="ListParagraph"/>
        <w:numPr>
          <w:ilvl w:val="0"/>
          <w:numId w:val="2"/>
        </w:numPr>
        <w:spacing w:after="100"/>
      </w:pPr>
      <w:r>
        <w:rPr>
          <w:rFonts w:ascii="Calibri" w:cs="Calibri" w:eastAsia="Calibri" w:hAnsi="Calibri"/>
          <w:sz w:val="22"/>
          <w:szCs w:val="22"/>
        </w:rPr>
        <w:t xml:space="preserve">delivery-mcp-server (JPLopez23) — planifica rutas de vehículos con capacidad y ventanas de tiempo (CVRPTW) para una flota de reparto, usando Google OR-Tools con un fallback en Python puro (Clarke-Wright + 2-opt). Implementa el protocolo JSON-RPC 2.0 manualmente, sin SDK de MCP.</w:t>
      </w:r>
    </w:p>
    <w:p>
      <w:pPr>
        <w:spacing w:after="180" w:line="300"/>
        <w:jc w:val="both"/>
      </w:pPr>
      <w:r>
        <w:rPr>
          <w:rFonts w:ascii="Calibri" w:cs="Calibri" w:eastAsia="Calibri" w:hAnsi="Calibri"/>
          <w:i w:val="false"/>
          <w:iCs w:val="false"/>
          <w:sz w:val="22"/>
          <w:szCs w:val="22"/>
        </w:rPr>
        <w:t xml:space="preserve">Es relevante notar que, aunque quant-mcp usa la versión 1.x del SDK mcp (FastMCP) y mcp-server-rrhh-construccion usa la versión 2.x (MCPServer), ambos se conectaron sin problema desde el mismo host. Esto confirma que la compatibilidad entre cliente y servidor MCP depende del protocolo JSON-RPC y de la versión del protocolo MCP negociada en el handshake initialize, no de que ambas partes usen la misma versión del SDK — cliente y servidor son procesos independientes que solo intercambian mensajes JSON por stdio.</w:t>
      </w:r>
    </w:p>
    <w:p>
      <w:pPr>
        <w:pStyle w:val="Heading1"/>
        <w:spacing w:after="160" w:before="360"/>
      </w:pPr>
      <w:r>
        <w:rPr>
          <w:b/>
          <w:bCs/>
          <w:color w:val="084D4B"/>
          <w:sz w:val="30"/>
          <w:szCs w:val="30"/>
        </w:rPr>
        <w:t xml:space="preserve">6. Escenarios de uso demostrados</w:t>
      </w:r>
    </w:p>
    <w:p>
      <w:pPr>
        <w:pStyle w:val="ListParagraph"/>
        <w:numPr>
          <w:ilvl w:val="0"/>
          <w:numId w:val="2"/>
        </w:numPr>
        <w:spacing w:after="100"/>
      </w:pPr>
      <w:r>
        <w:rPr>
          <w:rFonts w:ascii="Calibri" w:cs="Calibri" w:eastAsia="Calibri" w:hAnsi="Calibri"/>
          <w:sz w:val="22"/>
          <w:szCs w:val="22"/>
        </w:rPr>
        <w:t xml:space="preserve">Pregunta de conocimiento general seguida de una pregunta de seguimiento ("¿Quién fue Alan Turing?" → "¿En qué fecha nació?"), confirmando que el contexto conversacional se mantiene.</w:t>
      </w:r>
    </w:p>
    <w:p>
      <w:pPr>
        <w:pStyle w:val="ListParagraph"/>
        <w:numPr>
          <w:ilvl w:val="0"/>
          <w:numId w:val="2"/>
        </w:numPr>
        <w:spacing w:after="100"/>
      </w:pPr>
      <w:r>
        <w:rPr>
          <w:rFonts w:ascii="Calibri" w:cs="Calibri" w:eastAsia="Calibri" w:hAnsi="Calibri"/>
          <w:sz w:val="22"/>
          <w:szCs w:val="22"/>
        </w:rPr>
        <w:t xml:space="preserve">Cálculo de Sharpe ratio y VaR histórico/paramétrico sobre un portafolio de varias posiciones, usando quant-mcp.</w:t>
      </w:r>
    </w:p>
    <w:p>
      <w:pPr>
        <w:pStyle w:val="ListParagraph"/>
        <w:numPr>
          <w:ilvl w:val="0"/>
          <w:numId w:val="2"/>
        </w:numPr>
        <w:spacing w:after="100"/>
      </w:pPr>
      <w:r>
        <w:rPr>
          <w:rFonts w:ascii="Calibri" w:cs="Calibri" w:eastAsia="Calibri" w:hAnsi="Calibri"/>
          <w:sz w:val="22"/>
          <w:szCs w:val="22"/>
        </w:rPr>
        <w:t xml:space="preserve">Creación de un archivo de reporte vía filesystem, seguido de git_add y git_commit vía el servidor Git — flujo conjunto de varios servidores MCP en una sola tarea.</w:t>
      </w:r>
    </w:p>
    <w:p>
      <w:pPr>
        <w:pStyle w:val="ListParagraph"/>
        <w:numPr>
          <w:ilvl w:val="0"/>
          <w:numId w:val="2"/>
        </w:numPr>
        <w:spacing w:after="100"/>
      </w:pPr>
      <w:r>
        <w:rPr>
          <w:rFonts w:ascii="Calibri" w:cs="Calibri" w:eastAsia="Calibri" w:hAnsi="Calibri"/>
          <w:sz w:val="22"/>
          <w:szCs w:val="22"/>
        </w:rPr>
        <w:t xml:space="preserve">Consultas a los servidores de compañeros (saldo de vacaciones vía rrhh-construccion; planificación de rutas vía delivery-mcp-server), confirmando interoperabilidad entre servidores MCP de distintos autores y distintas versiones del SDK.</w:t>
      </w:r>
    </w:p>
    <w:p>
      <w:pPr>
        <w:pStyle w:val="Heading1"/>
        <w:spacing w:after="160" w:before="360"/>
      </w:pPr>
      <w:r>
        <w:rPr>
          <w:b/>
          <w:bCs/>
          <w:color w:val="084D4B"/>
          <w:sz w:val="30"/>
          <w:szCs w:val="30"/>
        </w:rPr>
        <w:t xml:space="preserve">7. Migración de proveedor de LLM: de Anthropic a Gemini</w:t>
      </w:r>
    </w:p>
    <w:p>
      <w:pPr>
        <w:spacing w:after="180" w:line="300"/>
        <w:jc w:val="both"/>
      </w:pPr>
      <w:r>
        <w:rPr>
          <w:rFonts w:ascii="Calibri" w:cs="Calibri" w:eastAsia="Calibri" w:hAnsi="Calibri"/>
          <w:i w:val="false"/>
          <w:iCs w:val="false"/>
          <w:sz w:val="22"/>
          <w:szCs w:val="22"/>
        </w:rPr>
        <w:t xml:space="preserve">El proyecto inició usando exclusivamente la API de Anthropic (Claude), con un ciclo de tool-calling manual: el host recibe explícitamente cada bloque tool_use, invoca la herramienta correspondiente vía MCPClientManager, y devuelve el resultado como tool_result. Posteriormente se agregó soporte para la API de Gemini (Google), lo cual exigió investigar cómo adaptar el protocolo de tool-calling de MCP a un segundo proveedor con una API distinta.</w:t>
      </w:r>
    </w:p>
    <w:p>
      <w:pPr>
        <w:pStyle w:val="Heading2"/>
        <w:spacing w:after="120" w:before="280"/>
      </w:pPr>
      <w:r>
        <w:rPr>
          <w:b/>
          <w:bCs/>
          <w:color w:val="0D716B"/>
          <w:sz w:val="25"/>
          <w:szCs w:val="25"/>
        </w:rPr>
        <w:t xml:space="preserve">7.1 Intento inicial: soporte nativo de MCP en el SDK de Gemini</w:t>
      </w:r>
    </w:p>
    <w:p>
      <w:pPr>
        <w:spacing w:after="180" w:line="300"/>
        <w:jc w:val="both"/>
      </w:pPr>
      <w:r>
        <w:rPr>
          <w:rFonts w:ascii="Calibri" w:cs="Calibri" w:eastAsia="Calibri" w:hAnsi="Calibri"/>
          <w:i w:val="false"/>
          <w:iCs w:val="false"/>
          <w:sz w:val="22"/>
          <w:szCs w:val="22"/>
        </w:rPr>
        <w:t xml:space="preserve">El SDK google-genai incluye soporte experimental para MCP: permite pasar una mcp.ClientSession directamente en la lista de tools, y el SDK realiza automatic function calling (AFC) — descubre las herramientas de la sesión y decide por su cuenta cuándo invocarlas, sin que el host intercepte cada llamada. La primera implementación de gemini_provider.py usó exactamente este mecanismo.</w:t>
      </w:r>
    </w:p>
    <w:p>
      <w:pPr>
        <w:spacing w:after="180" w:line="300"/>
        <w:jc w:val="both"/>
      </w:pPr>
      <w:r>
        <w:rPr>
          <w:rFonts w:ascii="Calibri" w:cs="Calibri" w:eastAsia="Calibri" w:hAnsi="Calibri"/>
          <w:i w:val="false"/>
          <w:iCs w:val="false"/>
          <w:sz w:val="22"/>
          <w:szCs w:val="22"/>
        </w:rPr>
        <w:t xml:space="preserve">Sin embargo, esta ruta presentó un problema concreto: el SDK de Gemini reprocesa (y en ciertos casos serializa) la configuración de tools en cada solicitud. Las instancias de ClientSession usadas en este proyecto son objetos de larga vida con estado de transporte asíncrono interno (incluyendo Futures de asyncio, usados por los streams de memoria de anyio que subyacen a la interceptación de JSON-RPC descrita en la sección 3). Al intentar reutilizar la misma sesión en llamadas sucesivas, esto provocó el error "cannot pickle '_asyncio.Future' object".</w:t>
      </w:r>
    </w:p>
    <w:p>
      <w:pPr>
        <w:spacing w:after="180" w:line="300"/>
        <w:jc w:val="both"/>
      </w:pPr>
      <w:r>
        <w:rPr>
          <w:rFonts w:ascii="Calibri" w:cs="Calibri" w:eastAsia="Calibri" w:hAnsi="Calibri"/>
          <w:i w:val="false"/>
          <w:iCs w:val="false"/>
          <w:sz w:val="22"/>
          <w:szCs w:val="22"/>
        </w:rPr>
        <w:t xml:space="preserve">Este hallazgo también reveló una segunda limitación del soporte nativo de MCP en Gemini: al combinar varias sesiones en tools=[...], el SDK fusiona las herramientas de todos los servidores por su nombre crudo (sin namespacing por servidor). Si dos servidores conectados exponen una herramienta con el mismo nombre, el SDK lanza ValueError("Tool &lt;nombre&gt; is already defined for the request") — un riesgo real dado que el proyecto conecta servidores de distintos compañeros cuyos nombres de herramientas no están coordinados entre sí.</w:t>
      </w:r>
    </w:p>
    <w:p>
      <w:pPr>
        <w:pStyle w:val="Heading2"/>
        <w:spacing w:after="120" w:before="280"/>
      </w:pPr>
      <w:r>
        <w:rPr>
          <w:b/>
          <w:bCs/>
          <w:color w:val="0D716B"/>
          <w:sz w:val="25"/>
          <w:szCs w:val="25"/>
        </w:rPr>
        <w:t xml:space="preserve">7.2 Solución adoptada: function-calling gestionado por el host</w:t>
      </w:r>
    </w:p>
    <w:p>
      <w:pPr>
        <w:spacing w:after="180" w:line="300"/>
        <w:jc w:val="both"/>
      </w:pPr>
      <w:r>
        <w:rPr>
          <w:rFonts w:ascii="Calibri" w:cs="Calibri" w:eastAsia="Calibri" w:hAnsi="Calibri"/>
          <w:i w:val="false"/>
          <w:iCs w:val="false"/>
          <w:sz w:val="22"/>
          <w:szCs w:val="22"/>
        </w:rPr>
        <w:t xml:space="preserve">Para evitar ambos problemas, gemini_provider.py se rediseñó para no pasar las ClientSession directamente al SDK. En su lugar:</w:t>
      </w:r>
    </w:p>
    <w:p>
      <w:pPr>
        <w:pStyle w:val="ListParagraph"/>
        <w:numPr>
          <w:ilvl w:val="0"/>
          <w:numId w:val="2"/>
        </w:numPr>
        <w:spacing w:after="100"/>
      </w:pPr>
      <w:r>
        <w:rPr>
          <w:rFonts w:ascii="Calibri" w:cs="Calibri" w:eastAsia="Calibri" w:hAnsi="Calibri"/>
          <w:sz w:val="22"/>
          <w:szCs w:val="22"/>
        </w:rPr>
        <w:t xml:space="preserve">Las herramientas de cada servidor se traducen a objetos types.FunctionDeclaration (JSON-compatible, sin estado de transporte) a partir del esquema ya descubierto por MCPClientManager.</w:t>
      </w:r>
    </w:p>
    <w:p>
      <w:pPr>
        <w:pStyle w:val="ListParagraph"/>
        <w:numPr>
          <w:ilvl w:val="0"/>
          <w:numId w:val="2"/>
        </w:numPr>
        <w:spacing w:after="100"/>
      </w:pPr>
      <w:r>
        <w:rPr>
          <w:rFonts w:ascii="Calibri" w:cs="Calibri" w:eastAsia="Calibri" w:hAnsi="Calibri"/>
          <w:sz w:val="22"/>
          <w:szCs w:val="22"/>
        </w:rPr>
        <w:t xml:space="preserve">El automatic_function_calling se desactiva explícitamente (AutomaticFunctionCallingConfig(disable=True)).</w:t>
      </w:r>
    </w:p>
    <w:p>
      <w:pPr>
        <w:pStyle w:val="ListParagraph"/>
        <w:numPr>
          <w:ilvl w:val="0"/>
          <w:numId w:val="2"/>
        </w:numPr>
        <w:spacing w:after="100"/>
      </w:pPr>
      <w:r>
        <w:rPr>
          <w:rFonts w:ascii="Calibri" w:cs="Calibri" w:eastAsia="Calibri" w:hAnsi="Calibri"/>
          <w:sz w:val="22"/>
          <w:szCs w:val="22"/>
        </w:rPr>
        <w:t xml:space="preserve">El host implementa su propio ciclo: envía el mensaje, revisa si la respuesta contiene function_calls, invoca manager.call_tool(...) por cada una, y reenvía los resultados como Part.from_function_response(...) hasta que el modelo entrega una respuesta final o se alcanza el límite de iteraciones (GEMINI_MAX_REMOTE_CALLS).</w:t>
      </w:r>
    </w:p>
    <w:p>
      <w:pPr>
        <w:spacing w:after="180" w:line="300"/>
        <w:jc w:val="both"/>
      </w:pPr>
      <w:r>
        <w:rPr>
          <w:rFonts w:ascii="Calibri" w:cs="Calibri" w:eastAsia="Calibri" w:hAnsi="Calibri"/>
          <w:i w:val="false"/>
          <w:iCs w:val="false"/>
          <w:sz w:val="22"/>
          <w:szCs w:val="22"/>
        </w:rPr>
        <w:t xml:space="preserve">Este cambio convergió el diseño de ambos proveedores hacia el mismo patrón: el host, no el SDK del LLM, es quien posee y ejecuta cada llamada a herramienta MCP. Esto tiene una ventaja adicional relevante para el punto 3 del proyecto: como el registro JSON-RPC (jsonrpc_tap.py) intercepta a nivel de transporte — por debajo de session.call_tool() —, el log de interacciones MCP funciona de forma idéntica sin importar qué proveedor de LLM esté coordinando la conversación.</w:t>
      </w:r>
    </w:p>
    <w:p>
      <w:pPr>
        <w:pStyle w:val="Heading2"/>
        <w:spacing w:after="120" w:before="280"/>
      </w:pPr>
      <w:r>
        <w:rPr>
          <w:b/>
          <w:bCs/>
          <w:color w:val="0D716B"/>
          <w:sz w:val="25"/>
          <w:szCs w:val="25"/>
        </w:rPr>
        <w:t xml:space="preserve">7.3 Otro ajuste derivado: nombres de herramientas seguros</w:t>
      </w:r>
    </w:p>
    <w:p>
      <w:pPr>
        <w:spacing w:after="180" w:line="300"/>
        <w:jc w:val="both"/>
      </w:pPr>
      <w:r>
        <w:rPr>
          <w:rFonts w:ascii="Calibri" w:cs="Calibri" w:eastAsia="Calibri" w:hAnsi="Calibri"/>
          <w:i w:val="false"/>
          <w:iCs w:val="false"/>
          <w:sz w:val="22"/>
          <w:szCs w:val="22"/>
        </w:rPr>
        <w:t xml:space="preserve">Al combinar los nombres de servidor y herramienta en un nombre calificado (por ejemplo, "delivery server__plan_routes"), algunos nombres de servidor con espacios o caracteres no alfanuméricos dejaban de ser válidos como nombre de función para las APIs de los proveedores de LLM. MCPClientManager incorpora la función _safe_tool_name(), que sustituye cualquier carácter fuera del conjunto permitido ([A-Za-z0-9_.:-]) por un guión bajo, antepone un guión bajo si el nombre no inicia con letra o guión bajo, y trunca a 128 caracteres — el límite típico de longitud de nombre de función aceptado por estas APIs.</w:t>
      </w:r>
    </w:p>
    <w:p>
      <w:pPr>
        <w:pStyle w:val="Heading1"/>
        <w:spacing w:after="160" w:before="360"/>
      </w:pPr>
      <w:r>
        <w:rPr>
          <w:b/>
          <w:bCs/>
          <w:color w:val="084D4B"/>
          <w:sz w:val="30"/>
          <w:szCs w:val="30"/>
        </w:rPr>
        <w:t xml:space="preserve">8. Interfaz web</w:t>
      </w:r>
    </w:p>
    <w:p>
      <w:pPr>
        <w:spacing w:after="180" w:line="300"/>
        <w:jc w:val="both"/>
      </w:pPr>
      <w:r>
        <w:rPr>
          <w:rFonts w:ascii="Calibri" w:cs="Calibri" w:eastAsia="Calibri" w:hAnsi="Calibri"/>
          <w:i w:val="false"/>
          <w:iCs w:val="false"/>
          <w:sz w:val="22"/>
          <w:szCs w:val="22"/>
        </w:rPr>
        <w:t xml:space="preserve">Como extra, se implementó una interfaz web opcional (host/web_ui.py, servida con aiohttp) que reutiliza las mismas sesiones MCP ya conectadas por el host — no abre conexiones adicionales a los servidores. La interfaz de consola permanece como modo por defecto; la web se activa con UI_MODE=web.</w:t>
      </w:r>
    </w:p>
    <w:p>
      <w:pPr>
        <w:spacing w:after="180" w:line="300"/>
        <w:jc w:val="both"/>
      </w:pPr>
      <w:r>
        <w:rPr>
          <w:rFonts w:ascii="Calibri" w:cs="Calibri" w:eastAsia="Calibri" w:hAnsi="Calibri"/>
          <w:i w:val="false"/>
          <w:iCs w:val="false"/>
          <w:sz w:val="22"/>
          <w:szCs w:val="22"/>
        </w:rPr>
        <w:t xml:space="preserve">El diseño visual consideró explícitamente principios de HCI mencionados en la guía: una paleta de tonos verde salvia y papel cálido transmite calma y precisión (apropiada para un contexto de análisis financiero, evitando la ansiedad visual de rojos/alertas cuando no hay un error real que comunicar), con un acento coral reservado para el usuario y utilizado con moderación. La organización de los elementos gráficos separa claramente el área de conversación (izquierda) del panel de estado (derecha, mostrando el proveedor de LLM activo y los servidores MCP conectados con su conteo de herramientas), dando visibilidad constante del estado del sistema sin que el usuario tenga que preguntarlo. Para usabilidad, los mensajes se diferencian por color y alineación (usuario a la derecha, asistente a la izquierda), y los estados de carga ("Working through the connected tools...") comunican que una operación está en curso durante las llamadas a herramientas, que pueden tardar varios segundos.</w:t>
      </w:r>
    </w:p>
    <w:p>
      <w:pPr>
        <w:pStyle w:val="Heading1"/>
        <w:spacing w:after="160" w:before="360"/>
      </w:pPr>
      <w:r>
        <w:rPr>
          <w:b/>
          <w:bCs/>
          <w:color w:val="084D4B"/>
          <w:sz w:val="30"/>
          <w:szCs w:val="30"/>
        </w:rPr>
        <w:t xml:space="preserve">9. Dificultades y lecciones aprendidas</w:t>
      </w:r>
    </w:p>
    <w:p>
      <w:pPr>
        <w:spacing w:after="180" w:line="300"/>
        <w:jc w:val="both"/>
      </w:pPr>
      <w:r>
        <w:rPr>
          <w:rFonts w:ascii="Calibri" w:cs="Calibri" w:eastAsia="Calibri" w:hAnsi="Calibri"/>
          <w:i w:val="false"/>
          <w:iCs w:val="false"/>
          <w:sz w:val="22"/>
          <w:szCs w:val="22"/>
        </w:rPr>
        <w:t xml:space="preserve">A lo largo del desarrollo se encontraron varias dificultades técnicas concretas, más allá de las ya descritas en la sección 7:</w:t>
      </w:r>
    </w:p>
    <w:p>
      <w:pPr>
        <w:pStyle w:val="Heading2"/>
        <w:spacing w:after="120" w:before="280"/>
      </w:pPr>
      <w:r>
        <w:rPr>
          <w:b/>
          <w:bCs/>
          <w:color w:val="0D716B"/>
          <w:sz w:val="25"/>
          <w:szCs w:val="25"/>
        </w:rPr>
        <w:t xml:space="preserve">9.1 Incompatibilidad entre versiones del SDK mcp</w:t>
      </w:r>
    </w:p>
    <w:p>
      <w:pPr>
        <w:spacing w:after="180" w:line="300"/>
        <w:jc w:val="both"/>
      </w:pPr>
      <w:r>
        <w:rPr>
          <w:rFonts w:ascii="Calibri" w:cs="Calibri" w:eastAsia="Calibri" w:hAnsi="Calibri"/>
          <w:i w:val="false"/>
          <w:iCs w:val="false"/>
          <w:sz w:val="22"/>
          <w:szCs w:val="22"/>
        </w:rPr>
        <w:t xml:space="preserve">El SDK oficial mcp tiene un cambio de API entre las versiones 1.x y 2.x: FastMCP (usado para construir servidores en la versión 1.x) fue renombrado a MCPServer en la versión 2.x, con otros cambios de API asociados. quant-mcp fija la versión mcp==1.29.1 explícitamente en requirements.txt para evitar este quiebre. Esto se volvió relevante de nuevo al conectar el servidor de un compañero (mcp-server-rrhh-construccion) construido sobre mcp 2.x — aunque, como se explica en la sección 5.4, esto no generó ningún problema de interoperabilidad real, ya que cliente y servidor MCP se comunican por protocolo JSON-RPC, no comparten código del SDK.</w:t>
      </w:r>
    </w:p>
    <w:p>
      <w:pPr>
        <w:pStyle w:val="Heading2"/>
        <w:spacing w:after="120" w:before="280"/>
      </w:pPr>
      <w:r>
        <w:rPr>
          <w:b/>
          <w:bCs/>
          <w:color w:val="0D716B"/>
          <w:sz w:val="25"/>
          <w:szCs w:val="25"/>
        </w:rPr>
        <w:t xml:space="preserve">9.2 El servidor oficial de Git no tiene una herramienta de inicialización</w:t>
      </w:r>
    </w:p>
    <w:p>
      <w:pPr>
        <w:spacing w:after="180" w:line="300"/>
        <w:jc w:val="both"/>
      </w:pPr>
      <w:r>
        <w:rPr>
          <w:rFonts w:ascii="Calibri" w:cs="Calibri" w:eastAsia="Calibri" w:hAnsi="Calibri"/>
          <w:i w:val="false"/>
          <w:iCs w:val="false"/>
          <w:sz w:val="22"/>
          <w:szCs w:val="22"/>
        </w:rPr>
        <w:t xml:space="preserve">El servidor de referencia mcp-server-git no expone ninguna herramienta git_init: valida al arrancar que el repositorio ya exista (git.Repo(path)) y de lo contrario falla la conexión. El host resuelve esto inicializando el repositorio de trabajo con un git init local (fuera del protocolo MCP) antes de conectar el servidor — el escenario de "crear un repositorio, crear un README, agregarlo y hacer commit" sugerido en la guía se cumple entonces con una combinación de un paso de arranque del host y operaciones reales vía los servidores Filesystem y Git.</w:t>
      </w:r>
    </w:p>
    <w:p>
      <w:pPr>
        <w:pStyle w:val="Heading2"/>
        <w:spacing w:after="120" w:before="280"/>
      </w:pPr>
      <w:r>
        <w:rPr>
          <w:b/>
          <w:bCs/>
          <w:color w:val="0D716B"/>
          <w:sz w:val="25"/>
          <w:szCs w:val="25"/>
        </w:rPr>
        <w:t xml:space="preserve">9.3 Soporte experimental de MCP en Gemini</w:t>
      </w:r>
    </w:p>
    <w:p>
      <w:pPr>
        <w:spacing w:after="180" w:line="300"/>
        <w:jc w:val="both"/>
      </w:pPr>
      <w:r>
        <w:rPr>
          <w:rFonts w:ascii="Calibri" w:cs="Calibri" w:eastAsia="Calibri" w:hAnsi="Calibri"/>
          <w:i w:val="false"/>
          <w:iCs w:val="false"/>
          <w:sz w:val="22"/>
          <w:szCs w:val="22"/>
        </w:rPr>
        <w:t xml:space="preserve">Como se detalla en la sección 7, el soporte de MCP en el SDK de Gemini está marcado explícitamente como experimental, y en la práctica presentó dos limitaciones no documentadas de forma prominente: la incompatibilidad con sesiones de larga vida que contienen estado asíncrono no serializable, y la fusión de herramientas por nombre crudo sin namespacing entre servidores. Resolver esto exigió entender el código fuente del SDK (google/genai/_adapters.py y _extra_utils.py) más allá de su documentación pública, y rediseñar el proveedor de Gemini hacia un patrón de function-calling gestionado por el host, más parecido al usado para Anthropic.</w:t>
      </w:r>
    </w:p>
    <w:p>
      <w:pPr>
        <w:pStyle w:val="Heading2"/>
        <w:spacing w:after="120" w:before="280"/>
      </w:pPr>
      <w:r>
        <w:rPr>
          <w:b/>
          <w:bCs/>
          <w:color w:val="0D716B"/>
          <w:sz w:val="25"/>
          <w:szCs w:val="25"/>
        </w:rPr>
        <w:t xml:space="preserve">9.4 Lecciones aprendidas</w:t>
      </w:r>
    </w:p>
    <w:p>
      <w:pPr>
        <w:pStyle w:val="ListParagraph"/>
        <w:numPr>
          <w:ilvl w:val="0"/>
          <w:numId w:val="2"/>
        </w:numPr>
        <w:spacing w:after="100"/>
      </w:pPr>
      <w:r>
        <w:rPr>
          <w:rFonts w:ascii="Calibri" w:cs="Calibri" w:eastAsia="Calibri" w:hAnsi="Calibri"/>
          <w:sz w:val="22"/>
          <w:szCs w:val="22"/>
        </w:rPr>
        <w:t xml:space="preserve">El protocolo JSON-RPC subyacente a MCP es lo que realmente garantiza interoperabilidad entre implementaciones distintas — no la versión del SDK ni el lenguaje usado en cada extremo, como lo demuestra la conexión exitosa entre un cliente en mcp 1.x y servidores en mcp 2.x y en JSON-RPC implementado a mano.</w:t>
      </w:r>
    </w:p>
    <w:p>
      <w:pPr>
        <w:pStyle w:val="ListParagraph"/>
        <w:numPr>
          <w:ilvl w:val="0"/>
          <w:numId w:val="2"/>
        </w:numPr>
        <w:spacing w:after="100"/>
      </w:pPr>
      <w:r>
        <w:rPr>
          <w:rFonts w:ascii="Calibri" w:cs="Calibri" w:eastAsia="Calibri" w:hAnsi="Calibri"/>
          <w:sz w:val="22"/>
          <w:szCs w:val="22"/>
        </w:rPr>
        <w:t xml:space="preserve">Las integraciones "automáticas" o experimentales de un SDK (como el AFC nativo de Gemini con MCP) reducen código, pero también reducen control y visibilidad; para un proyecto donde el registro de cada interacción JSON-RPC es un requisito explícito, un diseño donde el host posee el ciclo de invocación de herramientas resultó más robusto y más fácil de auditar que delegarlo por completo al SDK del proveedor.</w:t>
      </w:r>
    </w:p>
    <w:p>
      <w:pPr>
        <w:pStyle w:val="ListParagraph"/>
        <w:numPr>
          <w:ilvl w:val="0"/>
          <w:numId w:val="2"/>
        </w:numPr>
        <w:spacing w:after="100"/>
      </w:pPr>
      <w:r>
        <w:rPr>
          <w:rFonts w:ascii="Calibri" w:cs="Calibri" w:eastAsia="Calibri" w:hAnsi="Calibri"/>
          <w:sz w:val="22"/>
          <w:szCs w:val="22"/>
        </w:rPr>
        <w:t xml:space="preserve">Diseñar la capa de logging (JsonRpcTap) a nivel de transporte, por debajo de la sesión MCP, permitió que funcionara sin cambios frente a dos proveedores de LLM completamente distintos — una separación de responsabilidades que valió la pena establecer temprano.</w:t>
      </w:r>
    </w:p>
    <w:p>
      <w:pPr>
        <w:pStyle w:val="Heading1"/>
        <w:spacing w:after="160" w:before="360"/>
      </w:pPr>
      <w:r>
        <w:rPr>
          <w:b/>
          <w:bCs/>
          <w:color w:val="084D4B"/>
          <w:sz w:val="30"/>
          <w:szCs w:val="30"/>
        </w:rPr>
        <w:t xml:space="preserve">10. Conclusiones</w:t>
      </w:r>
    </w:p>
    <w:p>
      <w:pPr>
        <w:spacing w:after="180" w:line="300"/>
        <w:jc w:val="both"/>
      </w:pPr>
      <w:r>
        <w:rPr>
          <w:rFonts w:ascii="Calibri" w:cs="Calibri" w:eastAsia="Calibri" w:hAnsi="Calibri"/>
          <w:i w:val="false"/>
          <w:iCs w:val="false"/>
          <w:sz w:val="22"/>
          <w:szCs w:val="22"/>
        </w:rPr>
        <w:t xml:space="preserve">El proyecto permitió comprender de forma práctica el propósito y funcionamiento del Model Context Protocol: cómo un mismo LLM puede coordinar múltiples herramientas expuestas por servidores independientes, desarrollados por distintos autores, sin necesidad de que cada desarrollador de herramientas conozca los detalles internos del LLM que las va a usar — la interoperabilidad real que MCP busca resolver frente al ecosistema fragmentado de integraciones propietarias descrito en la introducción de la guía del proyecto.</w:t>
      </w:r>
    </w:p>
    <w:p>
      <w:pPr>
        <w:spacing w:after="180" w:line="300"/>
        <w:jc w:val="both"/>
      </w:pPr>
      <w:r>
        <w:rPr>
          <w:rFonts w:ascii="Calibri" w:cs="Calibri" w:eastAsia="Calibri" w:hAnsi="Calibri"/>
          <w:i w:val="false"/>
          <w:iCs w:val="false"/>
          <w:sz w:val="22"/>
          <w:szCs w:val="22"/>
        </w:rPr>
        <w:t xml:space="preserve">La migración de Anthropic a Gemini, aunque no formaba parte de los requisitos originales de la guía, resultó ser el ejercicio más revelador del proyecto: expuso con claridad qué partes del diseño (el protocolo MCP en sí, el registro de JSON-RPC a nivel de transporte) son verdaderamente independientes del proveedor de LLM, y cuáles (el mecanismo específico de tool-calling de cada API) requieren una capa de adaptación propia. El resultado final — dos proveedores de LLM intercambiables por configuración, conectados a servidores MCP propios y de terceros, con un registro de interacciones uniforme y una interfaz tanto de consola como web — cumple el objetivo general del proyecto de implementar un protocolo existente en base a sus estándares, entendiendo tanto su arquitectura como sus límites prácticos.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2026-09-08T23:30:52.670Z</dcterms:created>
  <dcterms:modified xsi:type="dcterms:W3CDTF">2026-09-08T23:30:52.681Z</dcterms:modified>
</cp:coreProperties>
</file>

<file path=docProps/custom.xml><?xml version="1.0" encoding="utf-8"?>
<Properties xmlns="http://schemas.openxmlformats.org/officeDocument/2006/custom-properties" xmlns:vt="http://schemas.openxmlformats.org/officeDocument/2006/docPropsVTypes"/>
</file>