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906"/>
      </w:tblGrid>
      <w:tr w:rsidR="0042033D" w14:paraId="6DB92466" w14:textId="77777777">
        <w:trPr>
          <w:trHeight w:hRule="exact" w:val="16838"/>
          <w:tblHeader/>
        </w:trPr>
        <w:tc>
          <w:tcPr>
            <w:tcW w:w="100" w:type="dxa"/>
            <w:tcBorders>
              <w:top w:val="none" w:sz="0" w:space="0" w:color="FFFFFF"/>
              <w:left w:val="none" w:sz="0" w:space="0" w:color="FFFFFF"/>
              <w:bottom w:val="none" w:sz="0" w:space="0" w:color="FFFFFF"/>
              <w:right w:val="none" w:sz="0" w:space="0" w:color="FFFFFF"/>
            </w:tcBorders>
            <w:shd w:val="clear" w:color="auto" w:fill="FFFFFF"/>
          </w:tcPr>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shd w:val="clear" w:color="auto" w:fill="80340D" w:themeFill="accent2" w:themeFillShade="80"/>
              <w:tblLayout w:type="fixed"/>
              <w:tblCellMar>
                <w:left w:w="10" w:type="dxa"/>
                <w:right w:w="10" w:type="dxa"/>
              </w:tblCellMar>
              <w:tblLook w:val="0000" w:firstRow="0" w:lastRow="0" w:firstColumn="0" w:lastColumn="0" w:noHBand="0" w:noVBand="0"/>
            </w:tblPr>
            <w:tblGrid>
              <w:gridCol w:w="11886"/>
            </w:tblGrid>
            <w:tr w:rsidR="0042033D" w14:paraId="30F75C93" w14:textId="77777777">
              <w:trPr>
                <w:trHeight w:hRule="exact" w:val="7500"/>
              </w:trPr>
              <w:tc>
                <w:tcPr>
                  <w:tcW w:w="100" w:type="dxa"/>
                  <w:tcBorders>
                    <w:top w:val="none" w:sz="0" w:space="0" w:color="FFFFFF"/>
                    <w:left w:val="none" w:sz="0" w:space="0" w:color="FFFFFF"/>
                    <w:bottom w:val="none" w:sz="0" w:space="0" w:color="FFFFFF"/>
                    <w:right w:val="none" w:sz="0" w:space="0" w:color="FFFFFF"/>
                  </w:tcBorders>
                  <w:shd w:val="clear" w:color="auto" w:fill="80340D" w:themeFill="accent2" w:themeFillShade="80"/>
                  <w:tcMar>
                    <w:left w:w="1200" w:type="dxa"/>
                    <w:right w:w="800" w:type="dxa"/>
                  </w:tcMar>
                </w:tcPr>
                <w:p w14:paraId="0E1827B2" w14:textId="77777777" w:rsidR="0042033D" w:rsidRDefault="00000000">
                  <w:pPr>
                    <w:spacing w:before="3817"/>
                    <w:rPr>
                      <w:sz w:val="24"/>
                      <w:szCs w:val="24"/>
                    </w:rPr>
                  </w:pPr>
                  <w:r>
                    <w:rPr>
                      <w:noProof/>
                    </w:rPr>
                    <mc:AlternateContent>
                      <mc:Choice Requires="wps">
                        <w:drawing>
                          <wp:anchor distT="0" distB="0" distL="114300" distR="114300" simplePos="0" relativeHeight="251666432" behindDoc="0" locked="0" layoutInCell="1" allowOverlap="1" wp14:anchorId="521DDA59" wp14:editId="5E4E5AE7">
                            <wp:simplePos x="0" y="0"/>
                            <wp:positionH relativeFrom="column">
                              <wp:posOffset>397510</wp:posOffset>
                            </wp:positionH>
                            <wp:positionV relativeFrom="paragraph">
                              <wp:posOffset>2918460</wp:posOffset>
                            </wp:positionV>
                            <wp:extent cx="49911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991100" cy="1828800"/>
                                    </a:xfrm>
                                    <a:prstGeom prst="rect">
                                      <a:avLst/>
                                    </a:prstGeom>
                                    <a:noFill/>
                                    <a:ln>
                                      <a:noFill/>
                                    </a:ln>
                                  </wps:spPr>
                                  <wps:txbx>
                                    <w:txbxContent>
                                      <w:p w14:paraId="1BA35E72" w14:textId="77777777" w:rsidR="0042033D" w:rsidRDefault="00000000">
                                        <w:pPr>
                                          <w:spacing w:after="110" w:line="340" w:lineRule="atLeast"/>
                                          <w:ind w:left="1200" w:right="800"/>
                                          <w:jc w:val="center"/>
                                          <w:rPr>
                                            <w:rFonts w:ascii="League Spartan" w:hAnsi="League Spartan"/>
                                            <w:b/>
                                            <w:color w:val="FFC000"/>
                                            <w:sz w:val="72"/>
                                            <w:szCs w:val="72"/>
                                            <w:lang w:val="fr-FR"/>
                                            <w14:shadow w14:blurRad="50800" w14:dist="38100" w14:dir="5400000" w14:sx="100000" w14:sy="100000" w14:kx="0" w14:ky="0" w14:algn="t">
                                              <w14:srgbClr w14:val="000000">
                                                <w14:alpha w14:val="60000"/>
                                              </w14:srgbClr>
                                            </w14:shadow>
                                            <w14:textOutline w14:w="6604" w14:cap="flat" w14:cmpd="sng" w14:algn="ctr">
                                              <w14:noFill/>
                                              <w14:prstDash w14:val="solid"/>
                                              <w14:round/>
                                            </w14:textOutline>
                                          </w:rPr>
                                        </w:pPr>
                                        <w:r>
                                          <w:rPr>
                                            <w:rFonts w:ascii="League Spartan" w:hAnsi="League Spartan"/>
                                            <w:b/>
                                            <w:color w:val="FFC000"/>
                                            <w:sz w:val="72"/>
                                            <w:szCs w:val="72"/>
                                            <w:lang w:val="fr-FR"/>
                                            <w14:shadow w14:blurRad="50800" w14:dist="38100" w14:dir="5400000" w14:sx="100000" w14:sy="100000" w14:kx="0" w14:ky="0" w14:algn="t">
                                              <w14:srgbClr w14:val="000000">
                                                <w14:alpha w14:val="60000"/>
                                              </w14:srgbClr>
                                            </w14:shadow>
                                            <w14:textOutline w14:w="6604" w14:cap="flat" w14:cmpd="sng" w14:algn="ctr">
                                              <w14:noFill/>
                                              <w14:prstDash w14:val="solid"/>
                                              <w14:round/>
                                            </w14:textOutline>
                                          </w:rPr>
                                          <w:t>Business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21DDA59" id="_x0000_t202" coordsize="21600,21600" o:spt="202" path="m,l,21600r21600,l21600,xe">
                            <v:stroke joinstyle="miter"/>
                            <v:path gradientshapeok="t" o:connecttype="rect"/>
                          </v:shapetype>
                          <v:shape id="Text Box 14" o:spid="_x0000_s1026" type="#_x0000_t202" style="position:absolute;margin-left:31.3pt;margin-top:229.8pt;width:393pt;height:2in;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" filled="f" stroked="f">
                            <v:textbox style="mso-fit-shape-to-text:t">
                              <w:txbxContent>
                                <w:p w14:paraId="1BA35E72" w14:textId="77777777" w:rsidR="0042033D" w:rsidRDefault="00000000">
                                  <w:pPr>
                                    <w:spacing w:after="110" w:line="340" w:lineRule="atLeast"/>
                                    <w:ind w:left="1200" w:right="800"/>
                                    <w:jc w:val="center"/>
                                    <w:rPr>
                                      <w:rFonts w:ascii="League Spartan" w:hAnsi="League Spartan"/>
                                      <w:b/>
                                      <w:color w:val="FFC000"/>
                                      <w:sz w:val="72"/>
                                      <w:szCs w:val="72"/>
                                      <w:lang w:val="fr-FR"/>
                                      <w14:shadow w14:blurRad="50800" w14:dist="38100" w14:dir="5400000" w14:sx="100000" w14:sy="100000" w14:kx="0" w14:ky="0" w14:algn="t">
                                        <w14:srgbClr w14:val="000000">
                                          <w14:alpha w14:val="60000"/>
                                        </w14:srgbClr>
                                      </w14:shadow>
                                      <w14:textOutline w14:w="6604" w14:cap="flat" w14:cmpd="sng" w14:algn="ctr">
                                        <w14:noFill/>
                                        <w14:prstDash w14:val="solid"/>
                                        <w14:round/>
                                      </w14:textOutline>
                                    </w:rPr>
                                  </w:pPr>
                                  <w:r>
                                    <w:rPr>
                                      <w:rFonts w:ascii="League Spartan" w:hAnsi="League Spartan"/>
                                      <w:b/>
                                      <w:color w:val="FFC000"/>
                                      <w:sz w:val="72"/>
                                      <w:szCs w:val="72"/>
                                      <w:lang w:val="fr-FR"/>
                                      <w14:shadow w14:blurRad="50800" w14:dist="38100" w14:dir="5400000" w14:sx="100000" w14:sy="100000" w14:kx="0" w14:ky="0" w14:algn="t">
                                        <w14:srgbClr w14:val="000000">
                                          <w14:alpha w14:val="60000"/>
                                        </w14:srgbClr>
                                      </w14:shadow>
                                      <w14:textOutline w14:w="6604" w14:cap="flat" w14:cmpd="sng" w14:algn="ctr">
                                        <w14:noFill/>
                                        <w14:prstDash w14:val="solid"/>
                                        <w14:round/>
                                      </w14:textOutline>
                                    </w:rPr>
                                    <w:t>Business plan</w:t>
                                  </w:r>
                                </w:p>
                              </w:txbxContent>
                            </v:textbox>
                          </v:shape>
                        </w:pict>
                      </mc:Fallback>
                    </mc:AlternateContent>
                  </w:r>
                  <w:r>
                    <w:rPr>
                      <w:noProof/>
                      <w:sz w:val="24"/>
                      <w:szCs w:val="24"/>
                    </w:rPr>
                    <w:drawing>
                      <wp:anchor distT="0" distB="0" distL="114300" distR="114300" simplePos="0" relativeHeight="251664384" behindDoc="0" locked="0" layoutInCell="1" allowOverlap="1" wp14:anchorId="7F023033" wp14:editId="11FFFE08">
                        <wp:simplePos x="0" y="0"/>
                        <wp:positionH relativeFrom="column">
                          <wp:posOffset>2272030</wp:posOffset>
                        </wp:positionH>
                        <wp:positionV relativeFrom="paragraph">
                          <wp:posOffset>822960</wp:posOffset>
                        </wp:positionV>
                        <wp:extent cx="1526540" cy="18669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7" cstate="print">
                                  <a:extLst>
                                    <a:ext uri="{28A0092B-C50C-407E-A947-70E740481C1C}">
                                      <a14:useLocalDpi xmlns:a14="http://schemas.microsoft.com/office/drawing/2010/main" val="0"/>
                                    </a:ext>
                                  </a:extLst>
                                </a:blip>
                                <a:srcRect l="22121" t="13345" r="20475" b="16453"/>
                                <a:stretch/>
                              </pic:blipFill>
                              <pic:spPr bwMode="auto">
                                <a:xfrm>
                                  <a:off x="0" y="0"/>
                                  <a:ext cx="1526540"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B7A224" w14:textId="77777777" w:rsidR="0042033D" w:rsidRDefault="00000000">
                  <w:pPr>
                    <w:spacing w:after="200" w:line="920" w:lineRule="atLeast"/>
                    <w:rPr>
                      <w:sz w:val="24"/>
                      <w:szCs w:val="24"/>
                    </w:rPr>
                  </w:pPr>
                  <w:r>
                    <w:rPr>
                      <w:b/>
                      <w:bCs/>
                      <w:color w:val="FFFFFF"/>
                      <w:sz w:val="24"/>
                      <w:szCs w:val="24"/>
                    </w:rPr>
                    <w:t>Business Plan 2026</w:t>
                  </w:r>
                </w:p>
                <w:p w14:paraId="52D42E0C" w14:textId="77777777" w:rsidR="0042033D" w:rsidRDefault="00000000">
                  <w:pPr>
                    <w:spacing w:after="100" w:line="340" w:lineRule="atLeast"/>
                    <w:rPr>
                      <w:sz w:val="24"/>
                      <w:szCs w:val="24"/>
                    </w:rPr>
                  </w:pPr>
                  <w:r>
                    <w:rPr>
                      <w:color w:val="B0B8C0"/>
                      <w:sz w:val="24"/>
                      <w:szCs w:val="24"/>
                    </w:rPr>
                    <w:t>De déchet à richesse : la bioconversion entomologique au service de l'agriculture et de l'économie circulaire malgache</w:t>
                  </w:r>
                </w:p>
              </w:tc>
            </w:tr>
            <w:tr w:rsidR="0042033D" w14:paraId="578AA95E" w14:textId="77777777">
              <w:trPr>
                <w:trHeight w:hRule="exact" w:val="60"/>
              </w:trPr>
              <w:tc>
                <w:tcPr>
                  <w:tcW w:w="100" w:type="dxa"/>
                  <w:tcBorders>
                    <w:top w:val="none" w:sz="0" w:space="0" w:color="FFFFFF"/>
                    <w:left w:val="none" w:sz="0" w:space="0" w:color="FFFFFF"/>
                    <w:bottom w:val="none" w:sz="0" w:space="0" w:color="FFFFFF"/>
                    <w:right w:val="none" w:sz="0" w:space="0" w:color="FFFFFF"/>
                  </w:tcBorders>
                  <w:shd w:val="clear" w:color="auto" w:fill="80340D" w:themeFill="accent2" w:themeFillShade="80"/>
                </w:tcPr>
                <w:p w14:paraId="1CA7418E" w14:textId="77777777" w:rsidR="0042033D" w:rsidRDefault="0042033D">
                  <w:pPr>
                    <w:rPr>
                      <w:sz w:val="24"/>
                      <w:szCs w:val="24"/>
                    </w:rPr>
                  </w:pPr>
                </w:p>
              </w:tc>
            </w:tr>
          </w:tbl>
          <w:p w14:paraId="7D90719B" w14:textId="77777777" w:rsidR="0042033D" w:rsidRDefault="0042033D">
            <w:pPr>
              <w:spacing w:before="700"/>
              <w:rPr>
                <w:sz w:val="24"/>
                <w:szCs w:val="24"/>
              </w:rPr>
            </w:pPr>
          </w:p>
          <w:p w14:paraId="29634E2E" w14:textId="77777777" w:rsidR="0042033D" w:rsidRDefault="00000000">
            <w:pPr>
              <w:spacing w:after="110" w:line="340" w:lineRule="atLeast"/>
              <w:ind w:left="1200" w:right="1092"/>
              <w:rPr>
                <w:rFonts w:ascii="League Spartan" w:hAnsi="League Spartan"/>
                <w:color w:val="3A4450"/>
                <w:sz w:val="24"/>
                <w:szCs w:val="24"/>
                <w:lang w:val="fr-FR"/>
              </w:rPr>
            </w:pPr>
            <w:r>
              <w:rPr>
                <w:rFonts w:ascii="League Spartan" w:hAnsi="League Spartan"/>
                <w:color w:val="3A4450"/>
                <w:sz w:val="24"/>
                <w:szCs w:val="24"/>
              </w:rPr>
              <w:t xml:space="preserve">Destinataire : </w:t>
            </w:r>
          </w:p>
          <w:p w14:paraId="61BB12C0" w14:textId="77777777" w:rsidR="0042033D" w:rsidRDefault="00000000">
            <w:pPr>
              <w:spacing w:after="110" w:line="340" w:lineRule="atLeast"/>
              <w:ind w:left="1200" w:right="1092"/>
              <w:rPr>
                <w:rFonts w:ascii="League Spartan" w:hAnsi="League Spartan"/>
                <w:sz w:val="24"/>
                <w:szCs w:val="24"/>
              </w:rPr>
            </w:pPr>
            <w:r>
              <w:rPr>
                <w:rFonts w:ascii="League Spartan" w:hAnsi="League Spartan"/>
                <w:color w:val="3A4450"/>
                <w:sz w:val="24"/>
                <w:szCs w:val="24"/>
              </w:rPr>
              <w:t>Programme ACCELEREO du PIC3 — Banque mondiale (Madagascar)</w:t>
            </w:r>
          </w:p>
          <w:p w14:paraId="60CB39FF" w14:textId="77777777" w:rsidR="0042033D" w:rsidRDefault="00000000">
            <w:pPr>
              <w:spacing w:after="110" w:line="340" w:lineRule="atLeast"/>
              <w:ind w:left="1200" w:right="800"/>
              <w:rPr>
                <w:rFonts w:ascii="League Spartan" w:hAnsi="League Spartan"/>
                <w:color w:val="3A4450"/>
                <w:sz w:val="24"/>
                <w:szCs w:val="24"/>
                <w:lang w:val="fr-FR"/>
              </w:rPr>
            </w:pPr>
            <w:r>
              <w:rPr>
                <w:rFonts w:ascii="League Spartan" w:hAnsi="League Spartan"/>
                <w:color w:val="3A4450"/>
                <w:sz w:val="24"/>
                <w:szCs w:val="24"/>
              </w:rPr>
              <w:t xml:space="preserve">Objet : </w:t>
            </w:r>
          </w:p>
          <w:p w14:paraId="6F7CDB34" w14:textId="77777777" w:rsidR="0042033D" w:rsidRDefault="00000000">
            <w:pPr>
              <w:spacing w:after="110" w:line="340" w:lineRule="atLeast"/>
              <w:ind w:left="1200" w:right="800"/>
              <w:rPr>
                <w:rFonts w:ascii="League Spartan" w:hAnsi="League Spartan"/>
                <w:sz w:val="24"/>
                <w:szCs w:val="24"/>
              </w:rPr>
            </w:pPr>
            <w:r>
              <w:rPr>
                <w:rFonts w:ascii="League Spartan" w:hAnsi="League Spartan"/>
                <w:color w:val="3A4450"/>
                <w:sz w:val="24"/>
                <w:szCs w:val="24"/>
              </w:rPr>
              <w:t>demande de financement catalytique de 50 000 $</w:t>
            </w:r>
          </w:p>
          <w:p w14:paraId="23F2457D" w14:textId="77777777" w:rsidR="0042033D" w:rsidRDefault="00000000">
            <w:pPr>
              <w:spacing w:after="110" w:line="340" w:lineRule="atLeast"/>
              <w:ind w:left="1200" w:right="1272"/>
              <w:rPr>
                <w:rFonts w:ascii="League Spartan" w:hAnsi="League Spartan"/>
                <w:color w:val="3A4450"/>
                <w:sz w:val="24"/>
                <w:szCs w:val="24"/>
                <w:lang w:val="fr-FR"/>
              </w:rPr>
            </w:pPr>
            <w:r>
              <w:rPr>
                <w:rFonts w:ascii="League Spartan" w:hAnsi="League Spartan"/>
                <w:color w:val="3A4450"/>
                <w:sz w:val="24"/>
                <w:szCs w:val="24"/>
              </w:rPr>
              <w:t xml:space="preserve">Émetteur : </w:t>
            </w:r>
          </w:p>
          <w:p w14:paraId="20609FF5" w14:textId="77777777" w:rsidR="0042033D" w:rsidRDefault="00000000">
            <w:pPr>
              <w:spacing w:after="110" w:line="340" w:lineRule="atLeast"/>
              <w:ind w:left="1200" w:right="1272"/>
              <w:rPr>
                <w:rFonts w:ascii="League Spartan" w:hAnsi="League Spartan"/>
                <w:color w:val="3A4450"/>
                <w:sz w:val="24"/>
                <w:szCs w:val="24"/>
                <w:lang w:val="fr-FR"/>
              </w:rPr>
            </w:pPr>
            <w:r>
              <w:rPr>
                <w:rFonts w:ascii="League Spartan" w:hAnsi="League Spartan"/>
                <w:color w:val="3A4450"/>
                <w:sz w:val="24"/>
                <w:szCs w:val="24"/>
              </w:rPr>
              <w:t>Bio Source Farm (B.S.F.) — Toamasina, République de Madagascar</w:t>
            </w:r>
          </w:p>
          <w:p w14:paraId="35E541C9" w14:textId="77777777" w:rsidR="0042033D" w:rsidRDefault="0042033D">
            <w:pPr>
              <w:spacing w:after="110" w:line="340" w:lineRule="atLeast"/>
              <w:ind w:left="1200" w:right="800"/>
              <w:rPr>
                <w:rFonts w:ascii="League Spartan" w:hAnsi="League Spartan"/>
                <w:color w:val="3A4450"/>
                <w:sz w:val="24"/>
                <w:szCs w:val="24"/>
                <w:lang w:val="fr-FR"/>
              </w:rPr>
            </w:pPr>
          </w:p>
          <w:p w14:paraId="3719964F" w14:textId="77777777" w:rsidR="0042033D" w:rsidRDefault="0042033D">
            <w:pPr>
              <w:spacing w:after="110" w:line="340" w:lineRule="atLeast"/>
              <w:ind w:left="1200" w:right="800"/>
              <w:rPr>
                <w:rFonts w:ascii="League Spartan" w:hAnsi="League Spartan"/>
                <w:sz w:val="24"/>
                <w:szCs w:val="24"/>
                <w:lang w:val="fr-FR"/>
              </w:rPr>
            </w:pPr>
          </w:p>
          <w:p w14:paraId="6BA829D1" w14:textId="77777777" w:rsidR="0042033D" w:rsidRDefault="0042033D">
            <w:pPr>
              <w:spacing w:after="110" w:line="340" w:lineRule="atLeast"/>
              <w:ind w:right="800"/>
              <w:rPr>
                <w:rFonts w:ascii="League Spartan" w:hAnsi="League Spartan"/>
                <w:color w:val="3A4450"/>
                <w:sz w:val="24"/>
                <w:szCs w:val="24"/>
                <w:lang w:val="fr-FR"/>
              </w:rPr>
            </w:pPr>
          </w:p>
          <w:p w14:paraId="2D591DF4" w14:textId="77777777" w:rsidR="0042033D" w:rsidRDefault="0042033D">
            <w:pPr>
              <w:spacing w:after="110" w:line="340" w:lineRule="atLeast"/>
              <w:ind w:left="1200" w:right="800"/>
              <w:jc w:val="right"/>
              <w:rPr>
                <w:rFonts w:ascii="League Spartan" w:hAnsi="League Spartan"/>
                <w:color w:val="3A4450"/>
                <w:sz w:val="24"/>
                <w:szCs w:val="24"/>
                <w:lang w:val="fr-FR"/>
              </w:rPr>
            </w:pPr>
          </w:p>
          <w:p w14:paraId="4EDEEA30" w14:textId="77777777" w:rsidR="0042033D" w:rsidRDefault="00000000">
            <w:pPr>
              <w:spacing w:after="110" w:line="340" w:lineRule="atLeast"/>
              <w:ind w:left="1200" w:right="1362"/>
              <w:jc w:val="right"/>
              <w:rPr>
                <w:rFonts w:ascii="League Spartan" w:hAnsi="League Spartan"/>
                <w:color w:val="3A4450"/>
                <w:lang w:val="fr-FR"/>
              </w:rPr>
            </w:pPr>
            <w:r>
              <w:rPr>
                <w:rFonts w:ascii="League Spartan" w:hAnsi="League Spartan"/>
                <w:color w:val="3A4450"/>
              </w:rPr>
              <w:t xml:space="preserve">Contact : </w:t>
            </w:r>
          </w:p>
          <w:p w14:paraId="58CB1764" w14:textId="77777777" w:rsidR="0042033D" w:rsidRDefault="00000000">
            <w:pPr>
              <w:spacing w:after="110" w:line="340" w:lineRule="atLeast"/>
              <w:ind w:left="1200" w:right="1362"/>
              <w:jc w:val="right"/>
              <w:rPr>
                <w:rFonts w:ascii="League Spartan" w:hAnsi="League Spartan"/>
                <w:color w:val="3A4450"/>
                <w:lang w:val="fr-FR"/>
              </w:rPr>
            </w:pPr>
            <w:r>
              <w:rPr>
                <w:rFonts w:ascii="League Spartan" w:hAnsi="League Spartan"/>
                <w:color w:val="3A4450"/>
              </w:rPr>
              <w:t xml:space="preserve">RASOLOMAMPIONONA Tendry Ny Aina Joelson, gérant </w:t>
            </w:r>
          </w:p>
          <w:p w14:paraId="024D3D03" w14:textId="77777777" w:rsidR="0042033D" w:rsidRDefault="00000000">
            <w:pPr>
              <w:spacing w:after="110" w:line="340" w:lineRule="atLeast"/>
              <w:ind w:left="1200" w:right="1362"/>
              <w:jc w:val="right"/>
              <w:rPr>
                <w:rFonts w:ascii="League Spartan" w:hAnsi="League Spartan"/>
                <w:color w:val="3A4450"/>
                <w:lang w:val="en-US"/>
              </w:rPr>
            </w:pPr>
            <w:r>
              <w:rPr>
                <w:rFonts w:ascii="League Spartan" w:hAnsi="League Spartan"/>
                <w:color w:val="3A4450"/>
              </w:rPr>
              <w:t xml:space="preserve">tendry@biosourcefarm.com </w:t>
            </w:r>
          </w:p>
          <w:p w14:paraId="682A3BDB" w14:textId="77777777" w:rsidR="0042033D" w:rsidRDefault="00000000">
            <w:pPr>
              <w:spacing w:after="110" w:line="340" w:lineRule="atLeast"/>
              <w:ind w:left="1200" w:right="1362"/>
              <w:jc w:val="right"/>
              <w:rPr>
                <w:rFonts w:ascii="League Spartan" w:hAnsi="League Spartan"/>
                <w:color w:val="3A4450"/>
                <w:lang w:val="en-US"/>
              </w:rPr>
            </w:pPr>
            <w:r>
              <w:rPr>
                <w:rFonts w:ascii="League Spartan" w:hAnsi="League Spartan"/>
                <w:color w:val="3A4450"/>
              </w:rPr>
              <w:t>+261 34 48 08 885</w:t>
            </w:r>
          </w:p>
          <w:p w14:paraId="3747415D" w14:textId="77777777" w:rsidR="0042033D" w:rsidRDefault="0042033D">
            <w:pPr>
              <w:spacing w:after="110" w:line="340" w:lineRule="atLeast"/>
              <w:ind w:left="1200" w:right="1362"/>
              <w:jc w:val="right"/>
              <w:rPr>
                <w:rFonts w:ascii="League Spartan" w:hAnsi="League Spartan"/>
                <w:color w:val="3A4450"/>
                <w:sz w:val="24"/>
                <w:szCs w:val="24"/>
                <w:lang w:val="en-US"/>
              </w:rPr>
            </w:pPr>
          </w:p>
          <w:p w14:paraId="43A3607B" w14:textId="77777777" w:rsidR="0042033D" w:rsidRDefault="00000000">
            <w:pPr>
              <w:pBdr>
                <w:top w:val="single" w:sz="4" w:space="10" w:color="D4875A"/>
              </w:pBdr>
              <w:spacing w:before="100"/>
              <w:ind w:left="1200" w:right="800"/>
              <w:rPr>
                <w:sz w:val="24"/>
                <w:szCs w:val="24"/>
              </w:rPr>
            </w:pPr>
            <w:r>
              <w:rPr>
                <w:color w:val="6A7480"/>
                <w:sz w:val="24"/>
                <w:szCs w:val="24"/>
              </w:rPr>
              <w:t>Bio Source Farm (B.S.F.)</w:t>
            </w:r>
            <w:r>
              <w:rPr>
                <w:sz w:val="24"/>
                <w:szCs w:val="24"/>
              </w:rPr>
              <w:t xml:space="preserve">                                                  </w:t>
            </w:r>
            <w:r>
              <w:rPr>
                <w:color w:val="6A7480"/>
                <w:sz w:val="24"/>
                <w:szCs w:val="24"/>
              </w:rPr>
              <w:t>Août 2026 — Document institutionnel</w:t>
            </w:r>
          </w:p>
        </w:tc>
      </w:tr>
    </w:tbl>
    <w:p w14:paraId="72B65576" w14:textId="77777777" w:rsidR="0042033D" w:rsidRDefault="0042033D">
      <w:pPr>
        <w:rPr>
          <w:sz w:val="24"/>
          <w:szCs w:val="24"/>
        </w:rPr>
        <w:sectPr w:rsidR="0042033D">
          <w:pgSz w:w="11906" w:h="16838"/>
          <w:pgMar w:top="0" w:right="0" w:bottom="0" w:left="0" w:header="708" w:footer="708" w:gutter="0"/>
          <w:cols w:space="720"/>
          <w:docGrid w:linePitch="360"/>
        </w:sectPr>
      </w:pPr>
    </w:p>
    <w:p w14:paraId="57F98C2C" w14:textId="77777777" w:rsidR="0042033D" w:rsidRDefault="00000000">
      <w:pPr>
        <w:spacing w:before="300" w:after="260"/>
        <w:jc w:val="center"/>
        <w:rPr>
          <w:sz w:val="24"/>
          <w:szCs w:val="24"/>
        </w:rPr>
      </w:pPr>
      <w:r>
        <w:rPr>
          <w:rFonts w:eastAsia="Arial"/>
          <w:b/>
          <w:bCs/>
          <w:color w:val="1A2330"/>
          <w:sz w:val="24"/>
          <w:szCs w:val="24"/>
        </w:rPr>
        <w:lastRenderedPageBreak/>
        <w:t>Table des matières</w:t>
      </w:r>
    </w:p>
    <w:sdt>
      <w:sdtPr>
        <w:rPr>
          <w:b w:val="0"/>
          <w:bCs w:val="0"/>
          <w:sz w:val="24"/>
          <w:szCs w:val="24"/>
        </w:rPr>
        <w:alias w:val="Table des matières"/>
        <w:id w:val="-708267022"/>
      </w:sdtPr>
      <w:sdtContent>
        <w:p w14:paraId="1B835B03"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r>
            <w:rPr>
              <w:sz w:val="24"/>
              <w:szCs w:val="24"/>
            </w:rPr>
            <w:fldChar w:fldCharType="begin"/>
          </w:r>
          <w:r>
            <w:rPr>
              <w:sz w:val="24"/>
              <w:szCs w:val="24"/>
            </w:rPr>
            <w:instrText>TOC \h \o "1-1"</w:instrText>
          </w:r>
          <w:r>
            <w:rPr>
              <w:sz w:val="24"/>
              <w:szCs w:val="24"/>
            </w:rPr>
            <w:fldChar w:fldCharType="separate"/>
          </w:r>
          <w:hyperlink w:anchor="_Toc238821280" w:history="1">
            <w:r>
              <w:rPr>
                <w:rStyle w:val="Hyperlink"/>
                <w:noProof/>
                <w:sz w:val="24"/>
                <w:szCs w:val="24"/>
              </w:rPr>
              <w:t>1. Résumé exécutif</w:t>
            </w:r>
            <w:r>
              <w:rPr>
                <w:noProof/>
                <w:sz w:val="24"/>
                <w:szCs w:val="24"/>
              </w:rPr>
              <w:tab/>
            </w:r>
            <w:r>
              <w:rPr>
                <w:noProof/>
                <w:sz w:val="24"/>
                <w:szCs w:val="24"/>
              </w:rPr>
              <w:fldChar w:fldCharType="begin"/>
            </w:r>
            <w:r>
              <w:rPr>
                <w:noProof/>
                <w:sz w:val="24"/>
                <w:szCs w:val="24"/>
              </w:rPr>
              <w:instrText xml:space="preserve"> PAGEREF _Toc238821280 \h </w:instrText>
            </w:r>
            <w:r>
              <w:rPr>
                <w:noProof/>
                <w:sz w:val="24"/>
                <w:szCs w:val="24"/>
              </w:rPr>
            </w:r>
            <w:r>
              <w:rPr>
                <w:noProof/>
                <w:sz w:val="24"/>
                <w:szCs w:val="24"/>
              </w:rPr>
              <w:fldChar w:fldCharType="separate"/>
            </w:r>
            <w:r>
              <w:rPr>
                <w:noProof/>
                <w:sz w:val="24"/>
                <w:szCs w:val="24"/>
              </w:rPr>
              <w:t>1</w:t>
            </w:r>
            <w:r>
              <w:rPr>
                <w:noProof/>
                <w:sz w:val="24"/>
                <w:szCs w:val="24"/>
              </w:rPr>
              <w:fldChar w:fldCharType="end"/>
            </w:r>
          </w:hyperlink>
        </w:p>
        <w:p w14:paraId="19475291"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81" w:history="1">
            <w:r>
              <w:rPr>
                <w:rStyle w:val="Hyperlink"/>
                <w:noProof/>
                <w:sz w:val="24"/>
                <w:szCs w:val="24"/>
              </w:rPr>
              <w:t>2. Présentation de Bio Source Farm</w:t>
            </w:r>
            <w:r>
              <w:rPr>
                <w:noProof/>
                <w:sz w:val="24"/>
                <w:szCs w:val="24"/>
              </w:rPr>
              <w:tab/>
            </w:r>
            <w:r>
              <w:rPr>
                <w:noProof/>
                <w:sz w:val="24"/>
                <w:szCs w:val="24"/>
              </w:rPr>
              <w:fldChar w:fldCharType="begin"/>
            </w:r>
            <w:r>
              <w:rPr>
                <w:noProof/>
                <w:sz w:val="24"/>
                <w:szCs w:val="24"/>
              </w:rPr>
              <w:instrText xml:space="preserve"> PAGEREF _Toc238821281 \h </w:instrText>
            </w:r>
            <w:r>
              <w:rPr>
                <w:noProof/>
                <w:sz w:val="24"/>
                <w:szCs w:val="24"/>
              </w:rPr>
            </w:r>
            <w:r>
              <w:rPr>
                <w:noProof/>
                <w:sz w:val="24"/>
                <w:szCs w:val="24"/>
              </w:rPr>
              <w:fldChar w:fldCharType="separate"/>
            </w:r>
            <w:r>
              <w:rPr>
                <w:noProof/>
                <w:sz w:val="24"/>
                <w:szCs w:val="24"/>
              </w:rPr>
              <w:t>2</w:t>
            </w:r>
            <w:r>
              <w:rPr>
                <w:noProof/>
                <w:sz w:val="24"/>
                <w:szCs w:val="24"/>
              </w:rPr>
              <w:fldChar w:fldCharType="end"/>
            </w:r>
          </w:hyperlink>
        </w:p>
        <w:p w14:paraId="60373B4C"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82" w:history="1">
            <w:r>
              <w:rPr>
                <w:rStyle w:val="Hyperlink"/>
                <w:noProof/>
                <w:sz w:val="24"/>
                <w:szCs w:val="24"/>
              </w:rPr>
              <w:t>3. Problématique et opportunité</w:t>
            </w:r>
            <w:r>
              <w:rPr>
                <w:noProof/>
                <w:sz w:val="24"/>
                <w:szCs w:val="24"/>
              </w:rPr>
              <w:tab/>
            </w:r>
            <w:r>
              <w:rPr>
                <w:noProof/>
                <w:sz w:val="24"/>
                <w:szCs w:val="24"/>
              </w:rPr>
              <w:fldChar w:fldCharType="begin"/>
            </w:r>
            <w:r>
              <w:rPr>
                <w:noProof/>
                <w:sz w:val="24"/>
                <w:szCs w:val="24"/>
              </w:rPr>
              <w:instrText xml:space="preserve"> PAGEREF _Toc238821282 \h </w:instrText>
            </w:r>
            <w:r>
              <w:rPr>
                <w:noProof/>
                <w:sz w:val="24"/>
                <w:szCs w:val="24"/>
              </w:rPr>
            </w:r>
            <w:r>
              <w:rPr>
                <w:noProof/>
                <w:sz w:val="24"/>
                <w:szCs w:val="24"/>
              </w:rPr>
              <w:fldChar w:fldCharType="separate"/>
            </w:r>
            <w:r>
              <w:rPr>
                <w:noProof/>
                <w:sz w:val="24"/>
                <w:szCs w:val="24"/>
              </w:rPr>
              <w:t>3</w:t>
            </w:r>
            <w:r>
              <w:rPr>
                <w:noProof/>
                <w:sz w:val="24"/>
                <w:szCs w:val="24"/>
              </w:rPr>
              <w:fldChar w:fldCharType="end"/>
            </w:r>
          </w:hyperlink>
        </w:p>
        <w:p w14:paraId="41EABC69"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83" w:history="1">
            <w:r>
              <w:rPr>
                <w:rStyle w:val="Hyperlink"/>
                <w:noProof/>
                <w:sz w:val="24"/>
                <w:szCs w:val="24"/>
              </w:rPr>
              <w:t>4. Solution et technologie BSF</w:t>
            </w:r>
            <w:r>
              <w:rPr>
                <w:noProof/>
                <w:sz w:val="24"/>
                <w:szCs w:val="24"/>
              </w:rPr>
              <w:tab/>
            </w:r>
            <w:r>
              <w:rPr>
                <w:noProof/>
                <w:sz w:val="24"/>
                <w:szCs w:val="24"/>
              </w:rPr>
              <w:fldChar w:fldCharType="begin"/>
            </w:r>
            <w:r>
              <w:rPr>
                <w:noProof/>
                <w:sz w:val="24"/>
                <w:szCs w:val="24"/>
              </w:rPr>
              <w:instrText xml:space="preserve"> PAGEREF _Toc238821283 \h </w:instrText>
            </w:r>
            <w:r>
              <w:rPr>
                <w:noProof/>
                <w:sz w:val="24"/>
                <w:szCs w:val="24"/>
              </w:rPr>
            </w:r>
            <w:r>
              <w:rPr>
                <w:noProof/>
                <w:sz w:val="24"/>
                <w:szCs w:val="24"/>
              </w:rPr>
              <w:fldChar w:fldCharType="separate"/>
            </w:r>
            <w:r>
              <w:rPr>
                <w:noProof/>
                <w:sz w:val="24"/>
                <w:szCs w:val="24"/>
              </w:rPr>
              <w:t>4</w:t>
            </w:r>
            <w:r>
              <w:rPr>
                <w:noProof/>
                <w:sz w:val="24"/>
                <w:szCs w:val="24"/>
              </w:rPr>
              <w:fldChar w:fldCharType="end"/>
            </w:r>
          </w:hyperlink>
        </w:p>
        <w:p w14:paraId="654ACDE7"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84" w:history="1">
            <w:r>
              <w:rPr>
                <w:rStyle w:val="Hyperlink"/>
                <w:noProof/>
                <w:sz w:val="24"/>
                <w:szCs w:val="24"/>
              </w:rPr>
              <w:t>5. Produits et proposition de valeur</w:t>
            </w:r>
            <w:r>
              <w:rPr>
                <w:noProof/>
                <w:sz w:val="24"/>
                <w:szCs w:val="24"/>
              </w:rPr>
              <w:tab/>
            </w:r>
            <w:r>
              <w:rPr>
                <w:noProof/>
                <w:sz w:val="24"/>
                <w:szCs w:val="24"/>
              </w:rPr>
              <w:fldChar w:fldCharType="begin"/>
            </w:r>
            <w:r>
              <w:rPr>
                <w:noProof/>
                <w:sz w:val="24"/>
                <w:szCs w:val="24"/>
              </w:rPr>
              <w:instrText xml:space="preserve"> PAGEREF _Toc238821284 \h </w:instrText>
            </w:r>
            <w:r>
              <w:rPr>
                <w:noProof/>
                <w:sz w:val="24"/>
                <w:szCs w:val="24"/>
              </w:rPr>
            </w:r>
            <w:r>
              <w:rPr>
                <w:noProof/>
                <w:sz w:val="24"/>
                <w:szCs w:val="24"/>
              </w:rPr>
              <w:fldChar w:fldCharType="separate"/>
            </w:r>
            <w:r>
              <w:rPr>
                <w:noProof/>
                <w:sz w:val="24"/>
                <w:szCs w:val="24"/>
              </w:rPr>
              <w:t>6</w:t>
            </w:r>
            <w:r>
              <w:rPr>
                <w:noProof/>
                <w:sz w:val="24"/>
                <w:szCs w:val="24"/>
              </w:rPr>
              <w:fldChar w:fldCharType="end"/>
            </w:r>
          </w:hyperlink>
        </w:p>
        <w:p w14:paraId="01C9F4E2"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85" w:history="1">
            <w:r>
              <w:rPr>
                <w:rStyle w:val="Hyperlink"/>
                <w:noProof/>
                <w:sz w:val="24"/>
                <w:szCs w:val="24"/>
              </w:rPr>
              <w:t>6. Analyse du marché</w:t>
            </w:r>
            <w:r>
              <w:rPr>
                <w:noProof/>
                <w:sz w:val="24"/>
                <w:szCs w:val="24"/>
              </w:rPr>
              <w:tab/>
            </w:r>
            <w:r>
              <w:rPr>
                <w:noProof/>
                <w:sz w:val="24"/>
                <w:szCs w:val="24"/>
              </w:rPr>
              <w:fldChar w:fldCharType="begin"/>
            </w:r>
            <w:r>
              <w:rPr>
                <w:noProof/>
                <w:sz w:val="24"/>
                <w:szCs w:val="24"/>
              </w:rPr>
              <w:instrText xml:space="preserve"> PAGEREF _Toc238821285 \h </w:instrText>
            </w:r>
            <w:r>
              <w:rPr>
                <w:noProof/>
                <w:sz w:val="24"/>
                <w:szCs w:val="24"/>
              </w:rPr>
            </w:r>
            <w:r>
              <w:rPr>
                <w:noProof/>
                <w:sz w:val="24"/>
                <w:szCs w:val="24"/>
              </w:rPr>
              <w:fldChar w:fldCharType="separate"/>
            </w:r>
            <w:r>
              <w:rPr>
                <w:noProof/>
                <w:sz w:val="24"/>
                <w:szCs w:val="24"/>
              </w:rPr>
              <w:t>7</w:t>
            </w:r>
            <w:r>
              <w:rPr>
                <w:noProof/>
                <w:sz w:val="24"/>
                <w:szCs w:val="24"/>
              </w:rPr>
              <w:fldChar w:fldCharType="end"/>
            </w:r>
          </w:hyperlink>
        </w:p>
        <w:p w14:paraId="3BC42D09"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86" w:history="1">
            <w:r>
              <w:rPr>
                <w:rStyle w:val="Hyperlink"/>
                <w:noProof/>
                <w:sz w:val="24"/>
                <w:szCs w:val="24"/>
              </w:rPr>
              <w:t>7. Clients et segmentation</w:t>
            </w:r>
            <w:r>
              <w:rPr>
                <w:noProof/>
                <w:sz w:val="24"/>
                <w:szCs w:val="24"/>
              </w:rPr>
              <w:tab/>
            </w:r>
            <w:r>
              <w:rPr>
                <w:noProof/>
                <w:sz w:val="24"/>
                <w:szCs w:val="24"/>
              </w:rPr>
              <w:fldChar w:fldCharType="begin"/>
            </w:r>
            <w:r>
              <w:rPr>
                <w:noProof/>
                <w:sz w:val="24"/>
                <w:szCs w:val="24"/>
              </w:rPr>
              <w:instrText xml:space="preserve"> PAGEREF _Toc238821286 \h </w:instrText>
            </w:r>
            <w:r>
              <w:rPr>
                <w:noProof/>
                <w:sz w:val="24"/>
                <w:szCs w:val="24"/>
              </w:rPr>
            </w:r>
            <w:r>
              <w:rPr>
                <w:noProof/>
                <w:sz w:val="24"/>
                <w:szCs w:val="24"/>
              </w:rPr>
              <w:fldChar w:fldCharType="separate"/>
            </w:r>
            <w:r>
              <w:rPr>
                <w:noProof/>
                <w:sz w:val="24"/>
                <w:szCs w:val="24"/>
              </w:rPr>
              <w:t>10</w:t>
            </w:r>
            <w:r>
              <w:rPr>
                <w:noProof/>
                <w:sz w:val="24"/>
                <w:szCs w:val="24"/>
              </w:rPr>
              <w:fldChar w:fldCharType="end"/>
            </w:r>
          </w:hyperlink>
        </w:p>
        <w:p w14:paraId="70008F2E"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87" w:history="1">
            <w:r>
              <w:rPr>
                <w:rStyle w:val="Hyperlink"/>
                <w:noProof/>
                <w:sz w:val="24"/>
                <w:szCs w:val="24"/>
              </w:rPr>
              <w:t>8. Analyse concurrentielle</w:t>
            </w:r>
            <w:r>
              <w:rPr>
                <w:noProof/>
                <w:sz w:val="24"/>
                <w:szCs w:val="24"/>
              </w:rPr>
              <w:tab/>
            </w:r>
            <w:r>
              <w:rPr>
                <w:noProof/>
                <w:sz w:val="24"/>
                <w:szCs w:val="24"/>
              </w:rPr>
              <w:fldChar w:fldCharType="begin"/>
            </w:r>
            <w:r>
              <w:rPr>
                <w:noProof/>
                <w:sz w:val="24"/>
                <w:szCs w:val="24"/>
              </w:rPr>
              <w:instrText xml:space="preserve"> PAGEREF _Toc238821287 \h </w:instrText>
            </w:r>
            <w:r>
              <w:rPr>
                <w:noProof/>
                <w:sz w:val="24"/>
                <w:szCs w:val="24"/>
              </w:rPr>
            </w:r>
            <w:r>
              <w:rPr>
                <w:noProof/>
                <w:sz w:val="24"/>
                <w:szCs w:val="24"/>
              </w:rPr>
              <w:fldChar w:fldCharType="separate"/>
            </w:r>
            <w:r>
              <w:rPr>
                <w:noProof/>
                <w:sz w:val="24"/>
                <w:szCs w:val="24"/>
              </w:rPr>
              <w:t>13</w:t>
            </w:r>
            <w:r>
              <w:rPr>
                <w:noProof/>
                <w:sz w:val="24"/>
                <w:szCs w:val="24"/>
              </w:rPr>
              <w:fldChar w:fldCharType="end"/>
            </w:r>
          </w:hyperlink>
        </w:p>
        <w:p w14:paraId="6081D18B"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88" w:history="1">
            <w:r>
              <w:rPr>
                <w:rStyle w:val="Hyperlink"/>
                <w:noProof/>
                <w:sz w:val="24"/>
                <w:szCs w:val="24"/>
              </w:rPr>
              <w:t>9. Modèle économique</w:t>
            </w:r>
            <w:r>
              <w:rPr>
                <w:noProof/>
                <w:sz w:val="24"/>
                <w:szCs w:val="24"/>
              </w:rPr>
              <w:tab/>
            </w:r>
            <w:r>
              <w:rPr>
                <w:noProof/>
                <w:sz w:val="24"/>
                <w:szCs w:val="24"/>
              </w:rPr>
              <w:fldChar w:fldCharType="begin"/>
            </w:r>
            <w:r>
              <w:rPr>
                <w:noProof/>
                <w:sz w:val="24"/>
                <w:szCs w:val="24"/>
              </w:rPr>
              <w:instrText xml:space="preserve"> PAGEREF _Toc238821288 \h </w:instrText>
            </w:r>
            <w:r>
              <w:rPr>
                <w:noProof/>
                <w:sz w:val="24"/>
                <w:szCs w:val="24"/>
              </w:rPr>
            </w:r>
            <w:r>
              <w:rPr>
                <w:noProof/>
                <w:sz w:val="24"/>
                <w:szCs w:val="24"/>
              </w:rPr>
              <w:fldChar w:fldCharType="separate"/>
            </w:r>
            <w:r>
              <w:rPr>
                <w:noProof/>
                <w:sz w:val="24"/>
                <w:szCs w:val="24"/>
              </w:rPr>
              <w:t>14</w:t>
            </w:r>
            <w:r>
              <w:rPr>
                <w:noProof/>
                <w:sz w:val="24"/>
                <w:szCs w:val="24"/>
              </w:rPr>
              <w:fldChar w:fldCharType="end"/>
            </w:r>
          </w:hyperlink>
        </w:p>
        <w:p w14:paraId="6F50A8D2"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89" w:history="1">
            <w:r>
              <w:rPr>
                <w:rStyle w:val="Hyperlink"/>
                <w:noProof/>
                <w:sz w:val="24"/>
                <w:szCs w:val="24"/>
              </w:rPr>
              <w:t>10. Stratégie commerciale</w:t>
            </w:r>
            <w:r>
              <w:rPr>
                <w:noProof/>
                <w:sz w:val="24"/>
                <w:szCs w:val="24"/>
              </w:rPr>
              <w:tab/>
            </w:r>
            <w:r>
              <w:rPr>
                <w:noProof/>
                <w:sz w:val="24"/>
                <w:szCs w:val="24"/>
              </w:rPr>
              <w:fldChar w:fldCharType="begin"/>
            </w:r>
            <w:r>
              <w:rPr>
                <w:noProof/>
                <w:sz w:val="24"/>
                <w:szCs w:val="24"/>
              </w:rPr>
              <w:instrText xml:space="preserve"> PAGEREF _Toc238821289 \h </w:instrText>
            </w:r>
            <w:r>
              <w:rPr>
                <w:noProof/>
                <w:sz w:val="24"/>
                <w:szCs w:val="24"/>
              </w:rPr>
            </w:r>
            <w:r>
              <w:rPr>
                <w:noProof/>
                <w:sz w:val="24"/>
                <w:szCs w:val="24"/>
              </w:rPr>
              <w:fldChar w:fldCharType="separate"/>
            </w:r>
            <w:r>
              <w:rPr>
                <w:noProof/>
                <w:sz w:val="24"/>
                <w:szCs w:val="24"/>
              </w:rPr>
              <w:t>17</w:t>
            </w:r>
            <w:r>
              <w:rPr>
                <w:noProof/>
                <w:sz w:val="24"/>
                <w:szCs w:val="24"/>
              </w:rPr>
              <w:fldChar w:fldCharType="end"/>
            </w:r>
          </w:hyperlink>
        </w:p>
        <w:p w14:paraId="04696CA4"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90" w:history="1">
            <w:r>
              <w:rPr>
                <w:rStyle w:val="Hyperlink"/>
                <w:noProof/>
                <w:sz w:val="24"/>
                <w:szCs w:val="24"/>
              </w:rPr>
              <w:t>11. Modèle opérationnel</w:t>
            </w:r>
            <w:r>
              <w:rPr>
                <w:noProof/>
                <w:sz w:val="24"/>
                <w:szCs w:val="24"/>
              </w:rPr>
              <w:tab/>
            </w:r>
            <w:r>
              <w:rPr>
                <w:noProof/>
                <w:sz w:val="24"/>
                <w:szCs w:val="24"/>
              </w:rPr>
              <w:fldChar w:fldCharType="begin"/>
            </w:r>
            <w:r>
              <w:rPr>
                <w:noProof/>
                <w:sz w:val="24"/>
                <w:szCs w:val="24"/>
              </w:rPr>
              <w:instrText xml:space="preserve"> PAGEREF _Toc238821290 \h </w:instrText>
            </w:r>
            <w:r>
              <w:rPr>
                <w:noProof/>
                <w:sz w:val="24"/>
                <w:szCs w:val="24"/>
              </w:rPr>
            </w:r>
            <w:r>
              <w:rPr>
                <w:noProof/>
                <w:sz w:val="24"/>
                <w:szCs w:val="24"/>
              </w:rPr>
              <w:fldChar w:fldCharType="separate"/>
            </w:r>
            <w:r>
              <w:rPr>
                <w:noProof/>
                <w:sz w:val="24"/>
                <w:szCs w:val="24"/>
              </w:rPr>
              <w:t>20</w:t>
            </w:r>
            <w:r>
              <w:rPr>
                <w:noProof/>
                <w:sz w:val="24"/>
                <w:szCs w:val="24"/>
              </w:rPr>
              <w:fldChar w:fldCharType="end"/>
            </w:r>
          </w:hyperlink>
        </w:p>
        <w:p w14:paraId="5B7975DD"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91" w:history="1">
            <w:r>
              <w:rPr>
                <w:rStyle w:val="Hyperlink"/>
                <w:noProof/>
                <w:sz w:val="24"/>
                <w:szCs w:val="24"/>
              </w:rPr>
              <w:t>12. Chaîne d'approvisionnement</w:t>
            </w:r>
            <w:r>
              <w:rPr>
                <w:noProof/>
                <w:sz w:val="24"/>
                <w:szCs w:val="24"/>
              </w:rPr>
              <w:tab/>
            </w:r>
            <w:r>
              <w:rPr>
                <w:noProof/>
                <w:sz w:val="24"/>
                <w:szCs w:val="24"/>
              </w:rPr>
              <w:fldChar w:fldCharType="begin"/>
            </w:r>
            <w:r>
              <w:rPr>
                <w:noProof/>
                <w:sz w:val="24"/>
                <w:szCs w:val="24"/>
              </w:rPr>
              <w:instrText xml:space="preserve"> PAGEREF _Toc238821291 \h </w:instrText>
            </w:r>
            <w:r>
              <w:rPr>
                <w:noProof/>
                <w:sz w:val="24"/>
                <w:szCs w:val="24"/>
              </w:rPr>
            </w:r>
            <w:r>
              <w:rPr>
                <w:noProof/>
                <w:sz w:val="24"/>
                <w:szCs w:val="24"/>
              </w:rPr>
              <w:fldChar w:fldCharType="separate"/>
            </w:r>
            <w:r>
              <w:rPr>
                <w:noProof/>
                <w:sz w:val="24"/>
                <w:szCs w:val="24"/>
              </w:rPr>
              <w:t>22</w:t>
            </w:r>
            <w:r>
              <w:rPr>
                <w:noProof/>
                <w:sz w:val="24"/>
                <w:szCs w:val="24"/>
              </w:rPr>
              <w:fldChar w:fldCharType="end"/>
            </w:r>
          </w:hyperlink>
        </w:p>
        <w:p w14:paraId="5DAB9885"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92" w:history="1">
            <w:r>
              <w:rPr>
                <w:rStyle w:val="Hyperlink"/>
                <w:noProof/>
                <w:sz w:val="24"/>
                <w:szCs w:val="24"/>
              </w:rPr>
              <w:t>13. Technologie et infrastructure</w:t>
            </w:r>
            <w:r>
              <w:rPr>
                <w:noProof/>
                <w:sz w:val="24"/>
                <w:szCs w:val="24"/>
              </w:rPr>
              <w:tab/>
            </w:r>
            <w:r>
              <w:rPr>
                <w:noProof/>
                <w:sz w:val="24"/>
                <w:szCs w:val="24"/>
              </w:rPr>
              <w:fldChar w:fldCharType="begin"/>
            </w:r>
            <w:r>
              <w:rPr>
                <w:noProof/>
                <w:sz w:val="24"/>
                <w:szCs w:val="24"/>
              </w:rPr>
              <w:instrText xml:space="preserve"> PAGEREF _Toc238821292 \h </w:instrText>
            </w:r>
            <w:r>
              <w:rPr>
                <w:noProof/>
                <w:sz w:val="24"/>
                <w:szCs w:val="24"/>
              </w:rPr>
            </w:r>
            <w:r>
              <w:rPr>
                <w:noProof/>
                <w:sz w:val="24"/>
                <w:szCs w:val="24"/>
              </w:rPr>
              <w:fldChar w:fldCharType="separate"/>
            </w:r>
            <w:r>
              <w:rPr>
                <w:noProof/>
                <w:sz w:val="24"/>
                <w:szCs w:val="24"/>
              </w:rPr>
              <w:t>23</w:t>
            </w:r>
            <w:r>
              <w:rPr>
                <w:noProof/>
                <w:sz w:val="24"/>
                <w:szCs w:val="24"/>
              </w:rPr>
              <w:fldChar w:fldCharType="end"/>
            </w:r>
          </w:hyperlink>
        </w:p>
        <w:p w14:paraId="1B06FC1D"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93" w:history="1">
            <w:r>
              <w:rPr>
                <w:rStyle w:val="Hyperlink"/>
                <w:noProof/>
                <w:sz w:val="24"/>
                <w:szCs w:val="24"/>
              </w:rPr>
              <w:t>14. Ressources humaines</w:t>
            </w:r>
            <w:r>
              <w:rPr>
                <w:noProof/>
                <w:sz w:val="24"/>
                <w:szCs w:val="24"/>
              </w:rPr>
              <w:tab/>
            </w:r>
            <w:r>
              <w:rPr>
                <w:noProof/>
                <w:sz w:val="24"/>
                <w:szCs w:val="24"/>
              </w:rPr>
              <w:fldChar w:fldCharType="begin"/>
            </w:r>
            <w:r>
              <w:rPr>
                <w:noProof/>
                <w:sz w:val="24"/>
                <w:szCs w:val="24"/>
              </w:rPr>
              <w:instrText xml:space="preserve"> PAGEREF _Toc238821293 \h </w:instrText>
            </w:r>
            <w:r>
              <w:rPr>
                <w:noProof/>
                <w:sz w:val="24"/>
                <w:szCs w:val="24"/>
              </w:rPr>
            </w:r>
            <w:r>
              <w:rPr>
                <w:noProof/>
                <w:sz w:val="24"/>
                <w:szCs w:val="24"/>
              </w:rPr>
              <w:fldChar w:fldCharType="separate"/>
            </w:r>
            <w:r>
              <w:rPr>
                <w:noProof/>
                <w:sz w:val="24"/>
                <w:szCs w:val="24"/>
              </w:rPr>
              <w:t>24</w:t>
            </w:r>
            <w:r>
              <w:rPr>
                <w:noProof/>
                <w:sz w:val="24"/>
                <w:szCs w:val="24"/>
              </w:rPr>
              <w:fldChar w:fldCharType="end"/>
            </w:r>
          </w:hyperlink>
        </w:p>
        <w:p w14:paraId="7602972F"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94" w:history="1">
            <w:r>
              <w:rPr>
                <w:rStyle w:val="Hyperlink"/>
                <w:noProof/>
                <w:sz w:val="24"/>
                <w:szCs w:val="24"/>
              </w:rPr>
              <w:t>15. Traction et réalisations</w:t>
            </w:r>
            <w:r>
              <w:rPr>
                <w:noProof/>
                <w:sz w:val="24"/>
                <w:szCs w:val="24"/>
              </w:rPr>
              <w:tab/>
            </w:r>
            <w:r>
              <w:rPr>
                <w:noProof/>
                <w:sz w:val="24"/>
                <w:szCs w:val="24"/>
              </w:rPr>
              <w:fldChar w:fldCharType="begin"/>
            </w:r>
            <w:r>
              <w:rPr>
                <w:noProof/>
                <w:sz w:val="24"/>
                <w:szCs w:val="24"/>
              </w:rPr>
              <w:instrText xml:space="preserve"> PAGEREF _Toc238821294 \h </w:instrText>
            </w:r>
            <w:r>
              <w:rPr>
                <w:noProof/>
                <w:sz w:val="24"/>
                <w:szCs w:val="24"/>
              </w:rPr>
            </w:r>
            <w:r>
              <w:rPr>
                <w:noProof/>
                <w:sz w:val="24"/>
                <w:szCs w:val="24"/>
              </w:rPr>
              <w:fldChar w:fldCharType="separate"/>
            </w:r>
            <w:r>
              <w:rPr>
                <w:noProof/>
                <w:sz w:val="24"/>
                <w:szCs w:val="24"/>
              </w:rPr>
              <w:t>27</w:t>
            </w:r>
            <w:r>
              <w:rPr>
                <w:noProof/>
                <w:sz w:val="24"/>
                <w:szCs w:val="24"/>
              </w:rPr>
              <w:fldChar w:fldCharType="end"/>
            </w:r>
          </w:hyperlink>
        </w:p>
        <w:p w14:paraId="5C6EDE2F"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95" w:history="1">
            <w:r>
              <w:rPr>
                <w:rStyle w:val="Hyperlink"/>
                <w:noProof/>
                <w:sz w:val="24"/>
                <w:szCs w:val="24"/>
              </w:rPr>
              <w:t>16. Stratégie de croissance</w:t>
            </w:r>
            <w:r>
              <w:rPr>
                <w:noProof/>
                <w:sz w:val="24"/>
                <w:szCs w:val="24"/>
              </w:rPr>
              <w:tab/>
            </w:r>
            <w:r>
              <w:rPr>
                <w:noProof/>
                <w:sz w:val="24"/>
                <w:szCs w:val="24"/>
              </w:rPr>
              <w:fldChar w:fldCharType="begin"/>
            </w:r>
            <w:r>
              <w:rPr>
                <w:noProof/>
                <w:sz w:val="24"/>
                <w:szCs w:val="24"/>
              </w:rPr>
              <w:instrText xml:space="preserve"> PAGEREF _Toc238821295 \h </w:instrText>
            </w:r>
            <w:r>
              <w:rPr>
                <w:noProof/>
                <w:sz w:val="24"/>
                <w:szCs w:val="24"/>
              </w:rPr>
            </w:r>
            <w:r>
              <w:rPr>
                <w:noProof/>
                <w:sz w:val="24"/>
                <w:szCs w:val="24"/>
              </w:rPr>
              <w:fldChar w:fldCharType="separate"/>
            </w:r>
            <w:r>
              <w:rPr>
                <w:noProof/>
                <w:sz w:val="24"/>
                <w:szCs w:val="24"/>
              </w:rPr>
              <w:t>29</w:t>
            </w:r>
            <w:r>
              <w:rPr>
                <w:noProof/>
                <w:sz w:val="24"/>
                <w:szCs w:val="24"/>
              </w:rPr>
              <w:fldChar w:fldCharType="end"/>
            </w:r>
          </w:hyperlink>
        </w:p>
        <w:p w14:paraId="244E9182"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96" w:history="1">
            <w:r>
              <w:rPr>
                <w:rStyle w:val="Hyperlink"/>
                <w:noProof/>
                <w:sz w:val="24"/>
                <w:szCs w:val="24"/>
              </w:rPr>
              <w:t>17. ESG et impact</w:t>
            </w:r>
            <w:r>
              <w:rPr>
                <w:noProof/>
                <w:sz w:val="24"/>
                <w:szCs w:val="24"/>
              </w:rPr>
              <w:tab/>
            </w:r>
            <w:r>
              <w:rPr>
                <w:noProof/>
                <w:sz w:val="24"/>
                <w:szCs w:val="24"/>
              </w:rPr>
              <w:fldChar w:fldCharType="begin"/>
            </w:r>
            <w:r>
              <w:rPr>
                <w:noProof/>
                <w:sz w:val="24"/>
                <w:szCs w:val="24"/>
              </w:rPr>
              <w:instrText xml:space="preserve"> PAGEREF _Toc238821296 \h </w:instrText>
            </w:r>
            <w:r>
              <w:rPr>
                <w:noProof/>
                <w:sz w:val="24"/>
                <w:szCs w:val="24"/>
              </w:rPr>
            </w:r>
            <w:r>
              <w:rPr>
                <w:noProof/>
                <w:sz w:val="24"/>
                <w:szCs w:val="24"/>
              </w:rPr>
              <w:fldChar w:fldCharType="separate"/>
            </w:r>
            <w:r>
              <w:rPr>
                <w:noProof/>
                <w:sz w:val="24"/>
                <w:szCs w:val="24"/>
              </w:rPr>
              <w:t>30</w:t>
            </w:r>
            <w:r>
              <w:rPr>
                <w:noProof/>
                <w:sz w:val="24"/>
                <w:szCs w:val="24"/>
              </w:rPr>
              <w:fldChar w:fldCharType="end"/>
            </w:r>
          </w:hyperlink>
        </w:p>
        <w:p w14:paraId="7530F94C"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97" w:history="1">
            <w:r>
              <w:rPr>
                <w:rStyle w:val="Hyperlink"/>
                <w:noProof/>
                <w:sz w:val="24"/>
                <w:szCs w:val="24"/>
              </w:rPr>
              <w:t>18. Risques et mesures d'atténuation</w:t>
            </w:r>
            <w:r>
              <w:rPr>
                <w:noProof/>
                <w:sz w:val="24"/>
                <w:szCs w:val="24"/>
              </w:rPr>
              <w:tab/>
            </w:r>
            <w:r>
              <w:rPr>
                <w:noProof/>
                <w:sz w:val="24"/>
                <w:szCs w:val="24"/>
              </w:rPr>
              <w:fldChar w:fldCharType="begin"/>
            </w:r>
            <w:r>
              <w:rPr>
                <w:noProof/>
                <w:sz w:val="24"/>
                <w:szCs w:val="24"/>
              </w:rPr>
              <w:instrText xml:space="preserve"> PAGEREF _Toc238821297 \h </w:instrText>
            </w:r>
            <w:r>
              <w:rPr>
                <w:noProof/>
                <w:sz w:val="24"/>
                <w:szCs w:val="24"/>
              </w:rPr>
            </w:r>
            <w:r>
              <w:rPr>
                <w:noProof/>
                <w:sz w:val="24"/>
                <w:szCs w:val="24"/>
              </w:rPr>
              <w:fldChar w:fldCharType="separate"/>
            </w:r>
            <w:r>
              <w:rPr>
                <w:noProof/>
                <w:sz w:val="24"/>
                <w:szCs w:val="24"/>
              </w:rPr>
              <w:t>33</w:t>
            </w:r>
            <w:r>
              <w:rPr>
                <w:noProof/>
                <w:sz w:val="24"/>
                <w:szCs w:val="24"/>
              </w:rPr>
              <w:fldChar w:fldCharType="end"/>
            </w:r>
          </w:hyperlink>
        </w:p>
        <w:p w14:paraId="72D8C6FA"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98" w:history="1">
            <w:r>
              <w:rPr>
                <w:rStyle w:val="Hyperlink"/>
                <w:noProof/>
                <w:sz w:val="24"/>
                <w:szCs w:val="24"/>
              </w:rPr>
              <w:t>19. Gouvernance</w:t>
            </w:r>
            <w:r>
              <w:rPr>
                <w:noProof/>
                <w:sz w:val="24"/>
                <w:szCs w:val="24"/>
              </w:rPr>
              <w:tab/>
            </w:r>
            <w:r>
              <w:rPr>
                <w:noProof/>
                <w:sz w:val="24"/>
                <w:szCs w:val="24"/>
              </w:rPr>
              <w:fldChar w:fldCharType="begin"/>
            </w:r>
            <w:r>
              <w:rPr>
                <w:noProof/>
                <w:sz w:val="24"/>
                <w:szCs w:val="24"/>
              </w:rPr>
              <w:instrText xml:space="preserve"> PAGEREF _Toc238821298 \h </w:instrText>
            </w:r>
            <w:r>
              <w:rPr>
                <w:noProof/>
                <w:sz w:val="24"/>
                <w:szCs w:val="24"/>
              </w:rPr>
            </w:r>
            <w:r>
              <w:rPr>
                <w:noProof/>
                <w:sz w:val="24"/>
                <w:szCs w:val="24"/>
              </w:rPr>
              <w:fldChar w:fldCharType="separate"/>
            </w:r>
            <w:r>
              <w:rPr>
                <w:noProof/>
                <w:sz w:val="24"/>
                <w:szCs w:val="24"/>
              </w:rPr>
              <w:t>36</w:t>
            </w:r>
            <w:r>
              <w:rPr>
                <w:noProof/>
                <w:sz w:val="24"/>
                <w:szCs w:val="24"/>
              </w:rPr>
              <w:fldChar w:fldCharType="end"/>
            </w:r>
          </w:hyperlink>
        </w:p>
        <w:p w14:paraId="01565418"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299" w:history="1">
            <w:r>
              <w:rPr>
                <w:rStyle w:val="Hyperlink"/>
                <w:noProof/>
                <w:sz w:val="24"/>
                <w:szCs w:val="24"/>
              </w:rPr>
              <w:t>20. Plan d'investissement et utilisation des fonds</w:t>
            </w:r>
            <w:r>
              <w:rPr>
                <w:noProof/>
                <w:sz w:val="24"/>
                <w:szCs w:val="24"/>
              </w:rPr>
              <w:tab/>
            </w:r>
            <w:r>
              <w:rPr>
                <w:noProof/>
                <w:sz w:val="24"/>
                <w:szCs w:val="24"/>
              </w:rPr>
              <w:fldChar w:fldCharType="begin"/>
            </w:r>
            <w:r>
              <w:rPr>
                <w:noProof/>
                <w:sz w:val="24"/>
                <w:szCs w:val="24"/>
              </w:rPr>
              <w:instrText xml:space="preserve"> PAGEREF _Toc238821299 \h </w:instrText>
            </w:r>
            <w:r>
              <w:rPr>
                <w:noProof/>
                <w:sz w:val="24"/>
                <w:szCs w:val="24"/>
              </w:rPr>
            </w:r>
            <w:r>
              <w:rPr>
                <w:noProof/>
                <w:sz w:val="24"/>
                <w:szCs w:val="24"/>
              </w:rPr>
              <w:fldChar w:fldCharType="separate"/>
            </w:r>
            <w:r>
              <w:rPr>
                <w:noProof/>
                <w:sz w:val="24"/>
                <w:szCs w:val="24"/>
              </w:rPr>
              <w:t>37</w:t>
            </w:r>
            <w:r>
              <w:rPr>
                <w:noProof/>
                <w:sz w:val="24"/>
                <w:szCs w:val="24"/>
              </w:rPr>
              <w:fldChar w:fldCharType="end"/>
            </w:r>
          </w:hyperlink>
        </w:p>
        <w:p w14:paraId="67E4C627"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300" w:history="1">
            <w:r>
              <w:rPr>
                <w:rStyle w:val="Hyperlink"/>
                <w:noProof/>
                <w:sz w:val="24"/>
                <w:szCs w:val="24"/>
              </w:rPr>
              <w:t>21. Modèle financier et projections</w:t>
            </w:r>
            <w:r>
              <w:rPr>
                <w:noProof/>
                <w:sz w:val="24"/>
                <w:szCs w:val="24"/>
              </w:rPr>
              <w:tab/>
            </w:r>
            <w:r>
              <w:rPr>
                <w:noProof/>
                <w:sz w:val="24"/>
                <w:szCs w:val="24"/>
              </w:rPr>
              <w:fldChar w:fldCharType="begin"/>
            </w:r>
            <w:r>
              <w:rPr>
                <w:noProof/>
                <w:sz w:val="24"/>
                <w:szCs w:val="24"/>
              </w:rPr>
              <w:instrText xml:space="preserve"> PAGEREF _Toc238821300 \h </w:instrText>
            </w:r>
            <w:r>
              <w:rPr>
                <w:noProof/>
                <w:sz w:val="24"/>
                <w:szCs w:val="24"/>
              </w:rPr>
            </w:r>
            <w:r>
              <w:rPr>
                <w:noProof/>
                <w:sz w:val="24"/>
                <w:szCs w:val="24"/>
              </w:rPr>
              <w:fldChar w:fldCharType="separate"/>
            </w:r>
            <w:r>
              <w:rPr>
                <w:noProof/>
                <w:sz w:val="24"/>
                <w:szCs w:val="24"/>
              </w:rPr>
              <w:t>41</w:t>
            </w:r>
            <w:r>
              <w:rPr>
                <w:noProof/>
                <w:sz w:val="24"/>
                <w:szCs w:val="24"/>
              </w:rPr>
              <w:fldChar w:fldCharType="end"/>
            </w:r>
          </w:hyperlink>
        </w:p>
        <w:p w14:paraId="4E92B12B"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301" w:history="1">
            <w:r>
              <w:rPr>
                <w:rStyle w:val="Hyperlink"/>
                <w:noProof/>
                <w:sz w:val="24"/>
                <w:szCs w:val="24"/>
              </w:rPr>
              <w:t>22. Hypothèses financières</w:t>
            </w:r>
            <w:r>
              <w:rPr>
                <w:noProof/>
                <w:sz w:val="24"/>
                <w:szCs w:val="24"/>
              </w:rPr>
              <w:tab/>
            </w:r>
            <w:r>
              <w:rPr>
                <w:noProof/>
                <w:sz w:val="24"/>
                <w:szCs w:val="24"/>
              </w:rPr>
              <w:fldChar w:fldCharType="begin"/>
            </w:r>
            <w:r>
              <w:rPr>
                <w:noProof/>
                <w:sz w:val="24"/>
                <w:szCs w:val="24"/>
              </w:rPr>
              <w:instrText xml:space="preserve"> PAGEREF _Toc238821301 \h </w:instrText>
            </w:r>
            <w:r>
              <w:rPr>
                <w:noProof/>
                <w:sz w:val="24"/>
                <w:szCs w:val="24"/>
              </w:rPr>
            </w:r>
            <w:r>
              <w:rPr>
                <w:noProof/>
                <w:sz w:val="24"/>
                <w:szCs w:val="24"/>
              </w:rPr>
              <w:fldChar w:fldCharType="separate"/>
            </w:r>
            <w:r>
              <w:rPr>
                <w:noProof/>
                <w:sz w:val="24"/>
                <w:szCs w:val="24"/>
              </w:rPr>
              <w:t>46</w:t>
            </w:r>
            <w:r>
              <w:rPr>
                <w:noProof/>
                <w:sz w:val="24"/>
                <w:szCs w:val="24"/>
              </w:rPr>
              <w:fldChar w:fldCharType="end"/>
            </w:r>
          </w:hyperlink>
        </w:p>
        <w:p w14:paraId="6CA38C3F"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302" w:history="1">
            <w:r>
              <w:rPr>
                <w:rStyle w:val="Hyperlink"/>
                <w:noProof/>
                <w:sz w:val="24"/>
                <w:szCs w:val="24"/>
              </w:rPr>
              <w:t>23. Analyse de sensibilité</w:t>
            </w:r>
            <w:r>
              <w:rPr>
                <w:noProof/>
                <w:sz w:val="24"/>
                <w:szCs w:val="24"/>
              </w:rPr>
              <w:tab/>
            </w:r>
            <w:r>
              <w:rPr>
                <w:noProof/>
                <w:sz w:val="24"/>
                <w:szCs w:val="24"/>
              </w:rPr>
              <w:fldChar w:fldCharType="begin"/>
            </w:r>
            <w:r>
              <w:rPr>
                <w:noProof/>
                <w:sz w:val="24"/>
                <w:szCs w:val="24"/>
              </w:rPr>
              <w:instrText xml:space="preserve"> PAGEREF _Toc238821302 \h </w:instrText>
            </w:r>
            <w:r>
              <w:rPr>
                <w:noProof/>
                <w:sz w:val="24"/>
                <w:szCs w:val="24"/>
              </w:rPr>
            </w:r>
            <w:r>
              <w:rPr>
                <w:noProof/>
                <w:sz w:val="24"/>
                <w:szCs w:val="24"/>
              </w:rPr>
              <w:fldChar w:fldCharType="separate"/>
            </w:r>
            <w:r>
              <w:rPr>
                <w:noProof/>
                <w:sz w:val="24"/>
                <w:szCs w:val="24"/>
              </w:rPr>
              <w:t>48</w:t>
            </w:r>
            <w:r>
              <w:rPr>
                <w:noProof/>
                <w:sz w:val="24"/>
                <w:szCs w:val="24"/>
              </w:rPr>
              <w:fldChar w:fldCharType="end"/>
            </w:r>
          </w:hyperlink>
        </w:p>
        <w:p w14:paraId="59482D9E"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303" w:history="1">
            <w:r>
              <w:rPr>
                <w:rStyle w:val="Hyperlink"/>
                <w:noProof/>
                <w:sz w:val="24"/>
                <w:szCs w:val="24"/>
              </w:rPr>
              <w:t>24. KPI, milestones et trajectoire de financement</w:t>
            </w:r>
            <w:r>
              <w:rPr>
                <w:noProof/>
                <w:sz w:val="24"/>
                <w:szCs w:val="24"/>
              </w:rPr>
              <w:tab/>
            </w:r>
            <w:r>
              <w:rPr>
                <w:noProof/>
                <w:sz w:val="24"/>
                <w:szCs w:val="24"/>
              </w:rPr>
              <w:fldChar w:fldCharType="begin"/>
            </w:r>
            <w:r>
              <w:rPr>
                <w:noProof/>
                <w:sz w:val="24"/>
                <w:szCs w:val="24"/>
              </w:rPr>
              <w:instrText xml:space="preserve"> PAGEREF _Toc238821303 \h </w:instrText>
            </w:r>
            <w:r>
              <w:rPr>
                <w:noProof/>
                <w:sz w:val="24"/>
                <w:szCs w:val="24"/>
              </w:rPr>
            </w:r>
            <w:r>
              <w:rPr>
                <w:noProof/>
                <w:sz w:val="24"/>
                <w:szCs w:val="24"/>
              </w:rPr>
              <w:fldChar w:fldCharType="separate"/>
            </w:r>
            <w:r>
              <w:rPr>
                <w:noProof/>
                <w:sz w:val="24"/>
                <w:szCs w:val="24"/>
              </w:rPr>
              <w:t>50</w:t>
            </w:r>
            <w:r>
              <w:rPr>
                <w:noProof/>
                <w:sz w:val="24"/>
                <w:szCs w:val="24"/>
              </w:rPr>
              <w:fldChar w:fldCharType="end"/>
            </w:r>
          </w:hyperlink>
        </w:p>
        <w:p w14:paraId="410AF36B"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304" w:history="1">
            <w:r>
              <w:rPr>
                <w:rStyle w:val="Hyperlink"/>
                <w:noProof/>
                <w:sz w:val="24"/>
                <w:szCs w:val="24"/>
              </w:rPr>
              <w:t>25. Conclusion : dossier d'investissement</w:t>
            </w:r>
            <w:r>
              <w:rPr>
                <w:noProof/>
                <w:sz w:val="24"/>
                <w:szCs w:val="24"/>
              </w:rPr>
              <w:tab/>
            </w:r>
            <w:r>
              <w:rPr>
                <w:noProof/>
                <w:sz w:val="24"/>
                <w:szCs w:val="24"/>
              </w:rPr>
              <w:fldChar w:fldCharType="begin"/>
            </w:r>
            <w:r>
              <w:rPr>
                <w:noProof/>
                <w:sz w:val="24"/>
                <w:szCs w:val="24"/>
              </w:rPr>
              <w:instrText xml:space="preserve"> PAGEREF _Toc238821304 \h </w:instrText>
            </w:r>
            <w:r>
              <w:rPr>
                <w:noProof/>
                <w:sz w:val="24"/>
                <w:szCs w:val="24"/>
              </w:rPr>
            </w:r>
            <w:r>
              <w:rPr>
                <w:noProof/>
                <w:sz w:val="24"/>
                <w:szCs w:val="24"/>
              </w:rPr>
              <w:fldChar w:fldCharType="separate"/>
            </w:r>
            <w:r>
              <w:rPr>
                <w:noProof/>
                <w:sz w:val="24"/>
                <w:szCs w:val="24"/>
              </w:rPr>
              <w:t>54</w:t>
            </w:r>
            <w:r>
              <w:rPr>
                <w:noProof/>
                <w:sz w:val="24"/>
                <w:szCs w:val="24"/>
              </w:rPr>
              <w:fldChar w:fldCharType="end"/>
            </w:r>
          </w:hyperlink>
        </w:p>
        <w:p w14:paraId="5C2934B9" w14:textId="77777777" w:rsidR="0042033D" w:rsidRDefault="00000000">
          <w:pPr>
            <w:pStyle w:val="TOC1"/>
            <w:rPr>
              <w:rFonts w:asciiTheme="minorHAnsi" w:eastAsiaTheme="minorEastAsia" w:hAnsiTheme="minorHAnsi" w:cstheme="minorBidi"/>
              <w:b w:val="0"/>
              <w:bCs w:val="0"/>
              <w:noProof/>
              <w:color w:val="auto"/>
              <w:kern w:val="2"/>
              <w:sz w:val="24"/>
              <w:szCs w:val="24"/>
              <w14:ligatures w14:val="standardContextual"/>
            </w:rPr>
          </w:pPr>
          <w:hyperlink w:anchor="_Toc238821305" w:history="1">
            <w:r>
              <w:rPr>
                <w:rStyle w:val="Hyperlink"/>
                <w:noProof/>
                <w:sz w:val="24"/>
                <w:szCs w:val="24"/>
              </w:rPr>
              <w:t>26. Annexes essentielles</w:t>
            </w:r>
            <w:r>
              <w:rPr>
                <w:noProof/>
                <w:sz w:val="24"/>
                <w:szCs w:val="24"/>
              </w:rPr>
              <w:tab/>
            </w:r>
            <w:r>
              <w:rPr>
                <w:noProof/>
                <w:sz w:val="24"/>
                <w:szCs w:val="24"/>
              </w:rPr>
              <w:fldChar w:fldCharType="begin"/>
            </w:r>
            <w:r>
              <w:rPr>
                <w:noProof/>
                <w:sz w:val="24"/>
                <w:szCs w:val="24"/>
              </w:rPr>
              <w:instrText xml:space="preserve"> PAGEREF _Toc238821305 \h </w:instrText>
            </w:r>
            <w:r>
              <w:rPr>
                <w:noProof/>
                <w:sz w:val="24"/>
                <w:szCs w:val="24"/>
              </w:rPr>
            </w:r>
            <w:r>
              <w:rPr>
                <w:noProof/>
                <w:sz w:val="24"/>
                <w:szCs w:val="24"/>
              </w:rPr>
              <w:fldChar w:fldCharType="separate"/>
            </w:r>
            <w:r>
              <w:rPr>
                <w:noProof/>
                <w:sz w:val="24"/>
                <w:szCs w:val="24"/>
              </w:rPr>
              <w:t>54</w:t>
            </w:r>
            <w:r>
              <w:rPr>
                <w:noProof/>
                <w:sz w:val="24"/>
                <w:szCs w:val="24"/>
              </w:rPr>
              <w:fldChar w:fldCharType="end"/>
            </w:r>
          </w:hyperlink>
        </w:p>
        <w:p w14:paraId="33D889C7" w14:textId="77777777" w:rsidR="0042033D" w:rsidRDefault="00000000">
          <w:pPr>
            <w:rPr>
              <w:sz w:val="24"/>
              <w:szCs w:val="24"/>
            </w:rPr>
          </w:pPr>
          <w:r>
            <w:rPr>
              <w:sz w:val="24"/>
              <w:szCs w:val="24"/>
            </w:rPr>
            <w:fldChar w:fldCharType="end"/>
          </w:r>
        </w:p>
      </w:sdtContent>
    </w:sdt>
    <w:p w14:paraId="152A78B4" w14:textId="77777777" w:rsidR="0042033D" w:rsidRDefault="0042033D">
      <w:pPr>
        <w:rPr>
          <w:sz w:val="24"/>
          <w:szCs w:val="24"/>
        </w:rPr>
        <w:sectPr w:rsidR="0042033D">
          <w:headerReference w:type="default" r:id="rId8"/>
          <w:footerReference w:type="default" r:id="rId9"/>
          <w:pgSz w:w="11906" w:h="16838"/>
          <w:pgMar w:top="1240" w:right="1250" w:bottom="1240" w:left="1500" w:header="708" w:footer="708" w:gutter="0"/>
          <w:pgNumType w:fmt="upperRoman" w:start="1"/>
          <w:cols w:space="720"/>
          <w:docGrid w:linePitch="360"/>
        </w:sectPr>
      </w:pPr>
    </w:p>
    <w:p w14:paraId="196549F7" w14:textId="77777777" w:rsidR="0042033D" w:rsidRDefault="00000000">
      <w:pPr>
        <w:pStyle w:val="Heading1"/>
        <w:pBdr>
          <w:bottom w:val="single" w:sz="6" w:space="4" w:color="D4875A"/>
        </w:pBdr>
        <w:spacing w:before="200" w:after="90"/>
        <w:rPr>
          <w:rFonts w:ascii="League Spartan" w:hAnsi="League Spartan"/>
          <w:sz w:val="40"/>
          <w:szCs w:val="40"/>
        </w:rPr>
      </w:pPr>
      <w:bookmarkStart w:id="0" w:name="_Toc238821280"/>
      <w:r>
        <w:rPr>
          <w:rFonts w:ascii="League Spartan" w:hAnsi="League Spartan"/>
          <w:sz w:val="40"/>
          <w:szCs w:val="40"/>
        </w:rPr>
        <w:lastRenderedPageBreak/>
        <w:t>1. Résumé exécutif</w:t>
      </w:r>
      <w:bookmarkEnd w:id="0"/>
    </w:p>
    <w:p w14:paraId="5DD34186" w14:textId="77777777" w:rsidR="0042033D" w:rsidRDefault="00000000">
      <w:pPr>
        <w:spacing w:after="160" w:line="278" w:lineRule="auto"/>
        <w:jc w:val="both"/>
        <w:rPr>
          <w:rFonts w:eastAsiaTheme="minorHAnsi"/>
          <w:b/>
          <w:bCs/>
          <w:color w:val="auto"/>
          <w:kern w:val="2"/>
          <w:sz w:val="24"/>
          <w:szCs w:val="24"/>
          <w:lang w:eastAsia="en-US"/>
          <w14:ligatures w14:val="standardContextual"/>
        </w:rPr>
      </w:pPr>
      <w:r>
        <w:rPr>
          <w:rFonts w:eastAsiaTheme="minorHAnsi"/>
          <w:b/>
          <w:bCs/>
          <w:color w:val="auto"/>
          <w:kern w:val="2"/>
          <w:sz w:val="24"/>
          <w:szCs w:val="24"/>
          <w:lang w:eastAsia="en-US"/>
          <w14:ligatures w14:val="standardContextual"/>
        </w:rPr>
        <w:t>Un modèle pragmatique d'économie circulaire au service de la résilience agricole à Madagascar</w:t>
      </w:r>
    </w:p>
    <w:p w14:paraId="0C85A5BF" w14:textId="77777777" w:rsidR="0042033D" w:rsidRPr="009C1943" w:rsidRDefault="00000000" w:rsidP="009C1943">
      <w:pPr>
        <w:spacing w:after="120" w:line="278" w:lineRule="auto"/>
        <w:jc w:val="both"/>
        <w:rPr>
          <w:rFonts w:eastAsiaTheme="minorHAnsi"/>
          <w:color w:val="auto"/>
          <w:kern w:val="2"/>
          <w:sz w:val="32"/>
          <w:szCs w:val="32"/>
          <w:lang w:eastAsia="en-US"/>
          <w14:ligatures w14:val="standardContextual"/>
        </w:rPr>
      </w:pPr>
      <w:r w:rsidRPr="009C1943">
        <w:rPr>
          <w:sz w:val="24"/>
          <w:szCs w:val="24"/>
        </w:rPr>
        <w:t>À Madagascar, l'agriculture et l'élevage restent fortement exposés au coût et à la disponibilité des intrants importés, tandis que la gestion des déchets organiques demeure insuffisamment valorisée. En 2024, Madagascar a importé pour 35,2 millions de dollars d'engrais du chapitre HS 31 [1]. En parallèle, les données disponibles sur les déchets municipaux montrent l'ampleur du gisement urbain, sans permettre d'en déduire directement un volume national de déchets organiques adressables par la BSF. Bio Source Farm (B.S.F.) apporte une réponse concrète à cette double contrainte à partir de Toamasina : l'entreprise valorise des fractions organiques homogènes issues de l'agro-industrie, des marchés et d'élevages par bioconversion avec la mouche soldat noire (Hermetia illucens). Le procédé génère principalement du frass organique (Bio Source Frass™) et une biomasse larvaire destinée à une valorisation alimentaire animale sous réserve des validations techniques et réglementaires.</w:t>
      </w:r>
    </w:p>
    <w:p w14:paraId="7E3451B9" w14:textId="77777777" w:rsidR="0042033D" w:rsidRPr="009C1943" w:rsidRDefault="00000000" w:rsidP="009C1943">
      <w:pPr>
        <w:spacing w:after="120" w:line="278" w:lineRule="auto"/>
        <w:jc w:val="both"/>
        <w:rPr>
          <w:rFonts w:eastAsiaTheme="minorHAnsi"/>
          <w:color w:val="auto"/>
          <w:kern w:val="2"/>
          <w:sz w:val="32"/>
          <w:szCs w:val="32"/>
          <w:lang w:eastAsia="en-US"/>
          <w14:ligatures w14:val="standardContextual"/>
        </w:rPr>
      </w:pPr>
      <w:r w:rsidRPr="009C1943">
        <w:rPr>
          <w:sz w:val="24"/>
          <w:szCs w:val="24"/>
        </w:rPr>
        <w:t>Le modèle repose sur trente mois d'expérimentation pratique, formalisés dans un Manuel de Procédures Opératoires Standardisé interne (SOP v1.0) couvrant douze étapes industrielles. Bio Source Farm travaille avec le FOFIFA sur la caractérisation physico-chimique du frass, la validation des profils NPK et l'évaluation agronomique. L'entreprise a également été accompagnée dans le cadre de l'Adaptation Accelerator Program de Conservation International [3]. La démarche revendique une position volontairement prudente : les résultats scientifiques du frass BSF et les travaux conduits à Madagascar appuient le potentiel agronomique de la technologie, mais les performances annoncées pour Bio Source Farm restent celles du procédé interne et doivent être confirmées lot par lot et par essais clients.</w:t>
      </w:r>
    </w:p>
    <w:p w14:paraId="38300F08" w14:textId="77777777" w:rsidR="0042033D" w:rsidRPr="009C1943" w:rsidRDefault="00000000" w:rsidP="009C1943">
      <w:pPr>
        <w:spacing w:after="120" w:line="278" w:lineRule="auto"/>
        <w:jc w:val="both"/>
        <w:rPr>
          <w:rFonts w:eastAsiaTheme="minorHAnsi"/>
          <w:color w:val="auto"/>
          <w:kern w:val="2"/>
          <w:sz w:val="32"/>
          <w:szCs w:val="32"/>
          <w:lang w:eastAsia="en-US"/>
          <w14:ligatures w14:val="standardContextual"/>
        </w:rPr>
      </w:pPr>
      <w:r w:rsidRPr="009C1943">
        <w:rPr>
          <w:sz w:val="24"/>
          <w:szCs w:val="24"/>
        </w:rPr>
        <w:t>Les deux exercices clos au 30 juin 2024 et au 30 juin 2025 sont certifiés. Le chiffre d'affaires cumulé de ces deux exercices atteint 80 210 $, avec un résultat net cumulé de 23 970 $. Le chiffre d'affaires est passé de 32 430 $ à 47 780 $ entre les deux exercices (+47 %), tandis que la trésorerie disponible au 30 juin 2025 s'élevait à 14 690 $. Les unit economics internes 2025 retiennent un coût direct d'environ 212 $/tonne de frass pour un prix moyen de 444 $/tonne, soit 232 $/tonne de marge contributive avant certains coûts commerciaux et structurels. Le point mort EBITDA recalculé est d'environ 11,7 tonnes de frass par mois. Ces indicateurs démontrent la viabilité opérationnelle historique ; ils ne doivent pas être confondus avec les performances encore non auditées de 2026.</w:t>
      </w:r>
    </w:p>
    <w:p w14:paraId="26BD843E" w14:textId="77777777" w:rsidR="0042033D" w:rsidRPr="009C1943" w:rsidRDefault="00000000" w:rsidP="009C1943">
      <w:pPr>
        <w:spacing w:after="120" w:line="278" w:lineRule="auto"/>
        <w:jc w:val="both"/>
        <w:rPr>
          <w:rFonts w:eastAsiaTheme="minorHAnsi"/>
          <w:color w:val="auto"/>
          <w:kern w:val="2"/>
          <w:sz w:val="32"/>
          <w:szCs w:val="32"/>
          <w:lang w:eastAsia="en-US"/>
          <w14:ligatures w14:val="standardContextual"/>
        </w:rPr>
      </w:pPr>
      <w:r w:rsidRPr="009C1943">
        <w:rPr>
          <w:sz w:val="24"/>
          <w:szCs w:val="24"/>
        </w:rPr>
        <w:t>Pour franchir le prochain palier, Bio Source Farm sollicite une subvention catalytique de 50 000 $ auprès d'ACCELEREO (PIC3 / Banque mondiale). L'enveloppe est affectée à six usages précis : 13 500 $ pour les équipements et l'augmentation de capacité, 8 000 $ pour le développement commercial B2B, 2 500 $ pour les ressources humaines et la formation, 2 000 $ pour le contrôle qualité et le laboratoire, 18 000 $ pour le besoin en fonds de roulement et 6 000 $ de contingence technique. L'objectif 2026 n'est pas une pleine exploitation annuelle à 18-22 tonnes/mois : cette fourchette correspond à la capacité visée en fin d'exercice. Le compte prévisionnel retient une montée en charge progressive et un chiffre d'affaires de 80 000 $, puis 145 000 $ en 2027 et 420 000 $ en 2030, hors export.</w:t>
      </w:r>
    </w:p>
    <w:p w14:paraId="4F870C4C" w14:textId="77777777" w:rsidR="0042033D" w:rsidRPr="009C1943" w:rsidRDefault="00000000" w:rsidP="009C1943">
      <w:pPr>
        <w:spacing w:after="120" w:line="278" w:lineRule="auto"/>
        <w:jc w:val="both"/>
        <w:rPr>
          <w:rFonts w:eastAsiaTheme="minorHAnsi"/>
          <w:color w:val="auto"/>
          <w:kern w:val="2"/>
          <w:sz w:val="32"/>
          <w:szCs w:val="32"/>
          <w:lang w:val="fr-FR" w:eastAsia="en-US"/>
          <w14:ligatures w14:val="standardContextual"/>
        </w:rPr>
      </w:pPr>
      <w:r w:rsidRPr="009C1943">
        <w:rPr>
          <w:sz w:val="24"/>
          <w:szCs w:val="24"/>
        </w:rPr>
        <w:lastRenderedPageBreak/>
        <w:t>Le dossier combine une traction déjà démontrée et un risque de montée en échelle explicitement traité. Bio Source Farm a obtenu le 2e Prix Pierre Castel 2024, compte seize salariés déclarés et dispose d'un historique de production, de ventes institutionnelles et de ventes directes. Le financement demandé vise à transformer cette preuve opérationnelle en capacité plus régulière, à réduire la concentration du chiffre d'affaires sur la FDA et à préparer la qualification de la ligne protéines. La cible 2030 de 52 ETP et d'environ 2 400 agriculteurs soutenus constitue une trajectoire de développement ; elle sera suivie par des indicateurs de production, de ventes, de qualité et d'impact vérifiables.</w:t>
      </w:r>
    </w:p>
    <w:p w14:paraId="0AEFAE48"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27FDBE80"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4C81ECC5"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2F652B37"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5737BB2A"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10142077"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6F2E1F6A"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57780976"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330FD9B2"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021F55BD"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0728DF7F"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4612C895"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59A5C480"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47703EE3"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382962E2"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26C33878" w14:textId="77777777" w:rsidR="0042033D" w:rsidRDefault="0042033D">
      <w:pPr>
        <w:spacing w:after="160" w:line="278" w:lineRule="auto"/>
        <w:jc w:val="both"/>
        <w:rPr>
          <w:rFonts w:eastAsiaTheme="minorHAnsi"/>
          <w:color w:val="auto"/>
          <w:kern w:val="2"/>
          <w:sz w:val="24"/>
          <w:szCs w:val="24"/>
          <w:lang w:val="fr-FR" w:eastAsia="en-US"/>
          <w14:ligatures w14:val="standardContextual"/>
        </w:rPr>
      </w:pPr>
    </w:p>
    <w:p w14:paraId="23D22C16" w14:textId="77777777" w:rsidR="009C1943" w:rsidRDefault="009C1943">
      <w:pPr>
        <w:spacing w:after="160" w:line="278" w:lineRule="auto"/>
        <w:jc w:val="both"/>
        <w:rPr>
          <w:rFonts w:eastAsiaTheme="minorHAnsi"/>
          <w:color w:val="auto"/>
          <w:kern w:val="2"/>
          <w:sz w:val="24"/>
          <w:szCs w:val="24"/>
          <w:lang w:val="fr-FR" w:eastAsia="en-US"/>
          <w14:ligatures w14:val="standardContextual"/>
        </w:rPr>
      </w:pPr>
    </w:p>
    <w:p w14:paraId="6E239DF2" w14:textId="77777777" w:rsidR="009C1943" w:rsidRDefault="009C1943">
      <w:pPr>
        <w:spacing w:after="160" w:line="278" w:lineRule="auto"/>
        <w:jc w:val="both"/>
        <w:rPr>
          <w:rFonts w:eastAsiaTheme="minorHAnsi"/>
          <w:color w:val="auto"/>
          <w:kern w:val="2"/>
          <w:sz w:val="24"/>
          <w:szCs w:val="24"/>
          <w:lang w:val="fr-FR" w:eastAsia="en-US"/>
          <w14:ligatures w14:val="standardContextual"/>
        </w:rPr>
      </w:pPr>
    </w:p>
    <w:p w14:paraId="3064D24F" w14:textId="77777777" w:rsidR="009C1943" w:rsidRDefault="009C1943">
      <w:pPr>
        <w:spacing w:after="160" w:line="278" w:lineRule="auto"/>
        <w:jc w:val="both"/>
        <w:rPr>
          <w:rFonts w:eastAsiaTheme="minorHAnsi"/>
          <w:color w:val="auto"/>
          <w:kern w:val="2"/>
          <w:sz w:val="24"/>
          <w:szCs w:val="24"/>
          <w:lang w:val="fr-FR" w:eastAsia="en-US"/>
          <w14:ligatures w14:val="standardContextual"/>
        </w:rPr>
      </w:pPr>
    </w:p>
    <w:p w14:paraId="386C7D51" w14:textId="77777777" w:rsidR="009C1943" w:rsidRDefault="009C1943">
      <w:pPr>
        <w:spacing w:after="160" w:line="278" w:lineRule="auto"/>
        <w:jc w:val="both"/>
        <w:rPr>
          <w:rFonts w:eastAsiaTheme="minorHAnsi"/>
          <w:color w:val="auto"/>
          <w:kern w:val="2"/>
          <w:sz w:val="24"/>
          <w:szCs w:val="24"/>
          <w:lang w:val="fr-FR" w:eastAsia="en-US"/>
          <w14:ligatures w14:val="standardContextual"/>
        </w:rPr>
      </w:pPr>
    </w:p>
    <w:p w14:paraId="4E980E40" w14:textId="77777777" w:rsidR="009C1943" w:rsidRDefault="009C1943">
      <w:pPr>
        <w:spacing w:after="160" w:line="278" w:lineRule="auto"/>
        <w:jc w:val="both"/>
        <w:rPr>
          <w:rFonts w:eastAsiaTheme="minorHAnsi"/>
          <w:color w:val="auto"/>
          <w:kern w:val="2"/>
          <w:sz w:val="24"/>
          <w:szCs w:val="24"/>
          <w:lang w:val="fr-FR" w:eastAsia="en-US"/>
          <w14:ligatures w14:val="standardContextual"/>
        </w:rPr>
      </w:pPr>
    </w:p>
    <w:p w14:paraId="2F93FC17" w14:textId="77777777" w:rsidR="009C1943" w:rsidRDefault="009C1943">
      <w:pPr>
        <w:spacing w:after="160" w:line="278" w:lineRule="auto"/>
        <w:jc w:val="both"/>
        <w:rPr>
          <w:rFonts w:eastAsiaTheme="minorHAnsi"/>
          <w:color w:val="auto"/>
          <w:kern w:val="2"/>
          <w:sz w:val="24"/>
          <w:szCs w:val="24"/>
          <w:lang w:val="fr-FR" w:eastAsia="en-US"/>
          <w14:ligatures w14:val="standardContextual"/>
        </w:rPr>
      </w:pPr>
    </w:p>
    <w:p w14:paraId="7A963291" w14:textId="77777777" w:rsidR="009C1943" w:rsidRDefault="009C1943">
      <w:pPr>
        <w:spacing w:after="160" w:line="278" w:lineRule="auto"/>
        <w:jc w:val="both"/>
        <w:rPr>
          <w:rFonts w:eastAsiaTheme="minorHAnsi"/>
          <w:color w:val="auto"/>
          <w:kern w:val="2"/>
          <w:sz w:val="24"/>
          <w:szCs w:val="24"/>
          <w:lang w:val="fr-FR" w:eastAsia="en-US"/>
          <w14:ligatures w14:val="standardContextual"/>
        </w:rPr>
      </w:pPr>
    </w:p>
    <w:p w14:paraId="2A5A0832" w14:textId="77777777" w:rsidR="0042033D" w:rsidRDefault="0042033D">
      <w:pPr>
        <w:spacing w:after="160" w:line="278" w:lineRule="auto"/>
        <w:jc w:val="both"/>
        <w:rPr>
          <w:rFonts w:eastAsiaTheme="minorHAnsi"/>
          <w:color w:val="auto"/>
          <w:kern w:val="2"/>
          <w:sz w:val="24"/>
          <w:szCs w:val="24"/>
          <w:lang w:eastAsia="en-US"/>
          <w14:ligatures w14:val="standardContextual"/>
        </w:rPr>
      </w:pPr>
    </w:p>
    <w:p w14:paraId="5AF92D45" w14:textId="77777777" w:rsidR="0042033D" w:rsidRDefault="00000000">
      <w:pPr>
        <w:pStyle w:val="Heading1"/>
        <w:pBdr>
          <w:bottom w:val="single" w:sz="6" w:space="4" w:color="D4875A"/>
        </w:pBdr>
        <w:spacing w:before="200" w:after="90"/>
        <w:rPr>
          <w:rFonts w:ascii="League Spartan" w:hAnsi="League Spartan"/>
          <w:sz w:val="40"/>
          <w:szCs w:val="40"/>
        </w:rPr>
      </w:pPr>
      <w:bookmarkStart w:id="1" w:name="_Toc238821281"/>
      <w:r>
        <w:rPr>
          <w:rFonts w:ascii="League Spartan" w:hAnsi="League Spartan"/>
          <w:sz w:val="40"/>
          <w:szCs w:val="40"/>
        </w:rPr>
        <w:lastRenderedPageBreak/>
        <w:t>2. Présentation de Bio Source Farm</w:t>
      </w:r>
      <w:bookmarkEnd w:id="1"/>
    </w:p>
    <w:p w14:paraId="244A985E" w14:textId="77777777" w:rsidR="0042033D" w:rsidRDefault="00000000">
      <w:pPr>
        <w:spacing w:after="60"/>
        <w:jc w:val="both"/>
        <w:rPr>
          <w:sz w:val="24"/>
          <w:szCs w:val="24"/>
        </w:rPr>
      </w:pPr>
      <w:r>
        <w:rPr>
          <w:sz w:val="24"/>
          <w:szCs w:val="24"/>
        </w:rPr>
        <w:t>Bio Source Farm est une entreprise malgache de droit commun, constituée sous la forme d'une Entreprise Individuelle (EI) et immatriculée sous le NIF 6 005 477 481. La conversion en Société à Responsabilité Limitée (SARL) est engagée, avec un achèvement prévu au plus tard au quatrième trimestre 2026, afin d'accompagner la structuration du capital et la montée en gouvernance exigée par les financements institutionnels. L'entreprise est née de la conviction que la valorisation des déchets organiques par la bioconversion entomologique peut simultanément traiter trois problèmes structurels : la gestion des déchets urbains et agro-industriels, la dégradation des sols agricoles et la pauvreté rurale liée à la dépendance aux intrants chimiques importés. Après deux années de recherche appliquée consacrées à l'acclimatation de la souche de Black Soldier Fly aux substrats tropicaux malgaches et à la mise au point d'un manuel de procédures opératoires standard (SOP) de niveau industriel, l'activité a démarré en juillet 2023.</w:t>
      </w:r>
    </w:p>
    <w:p w14:paraId="5CC421FE" w14:textId="0C263F88" w:rsidR="0042033D" w:rsidRPr="009C1943" w:rsidRDefault="00000000">
      <w:pPr>
        <w:spacing w:after="60"/>
        <w:jc w:val="both"/>
        <w:rPr>
          <w:sz w:val="32"/>
          <w:szCs w:val="32"/>
        </w:rPr>
      </w:pPr>
      <w:r w:rsidRPr="009C1943">
        <w:rPr>
          <w:sz w:val="24"/>
          <w:szCs w:val="24"/>
        </w:rPr>
        <w:t>L'unité de production est implantée à Toamasina, grand pôle portuaire et économique de la côte Est. Ce choix répond à la proximité des gisements de matières organiques identifiés (</w:t>
      </w:r>
      <w:r w:rsidR="009C1943">
        <w:rPr>
          <w:sz w:val="24"/>
          <w:szCs w:val="24"/>
          <w:lang w:val="fr-FR"/>
        </w:rPr>
        <w:t>Usines Agroalimentaires comme SOPRAL, MAFI, SCRIMAD</w:t>
      </w:r>
      <w:r w:rsidRPr="009C1943">
        <w:rPr>
          <w:sz w:val="24"/>
          <w:szCs w:val="24"/>
        </w:rPr>
        <w:t xml:space="preserve">, </w:t>
      </w:r>
      <w:r w:rsidR="00CF217A">
        <w:rPr>
          <w:sz w:val="24"/>
          <w:szCs w:val="24"/>
          <w:lang w:val="fr-FR"/>
        </w:rPr>
        <w:t>les 11 marchés</w:t>
      </w:r>
      <w:r w:rsidRPr="009C1943">
        <w:rPr>
          <w:sz w:val="24"/>
          <w:szCs w:val="24"/>
        </w:rPr>
        <w:t>, restaurants et élevages), à l'accès aux bassins agricoles de l'Est et de l'Alaotra-Mangoro et, à moyen terme, aux liaisons de l'Océan Indien. Le SOP, en version 1.0 datée du 11 juillet 2026, formalise les procédures de production, de contrôle qualité et de traçabilité et a été consolidé avec l'appui de compétences techniques externes.</w:t>
      </w:r>
    </w:p>
    <w:p w14:paraId="6B58F0ED" w14:textId="77777777" w:rsidR="0042033D" w:rsidRDefault="00000000">
      <w:pPr>
        <w:keepNext/>
        <w:spacing w:before="140" w:after="50" w:line="260" w:lineRule="auto"/>
        <w:rPr>
          <w:sz w:val="24"/>
          <w:szCs w:val="24"/>
        </w:rPr>
      </w:pPr>
      <w:r>
        <w:rPr>
          <w:rFonts w:eastAsia="Arial"/>
          <w:b/>
          <w:bCs/>
          <w:color w:val="1A2330"/>
          <w:sz w:val="24"/>
          <w:szCs w:val="24"/>
        </w:rPr>
        <w:t>Tableau 1 — Fiche signalétique de Bio Source Farm</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747"/>
        <w:gridCol w:w="6409"/>
      </w:tblGrid>
      <w:tr w:rsidR="0042033D" w14:paraId="6C6F5199" w14:textId="77777777">
        <w:trPr>
          <w:cantSplit/>
          <w:tblHeader/>
        </w:trPr>
        <w:tc>
          <w:tcPr>
            <w:tcW w:w="1500" w:type="pct"/>
            <w:shd w:val="clear" w:color="auto" w:fill="D4875A"/>
            <w:tcMar>
              <w:top w:w="36" w:type="dxa"/>
              <w:left w:w="80" w:type="dxa"/>
              <w:bottom w:w="36" w:type="dxa"/>
              <w:right w:w="80" w:type="dxa"/>
            </w:tcMar>
            <w:vAlign w:val="center"/>
          </w:tcPr>
          <w:p w14:paraId="4E1FA444" w14:textId="77777777" w:rsidR="0042033D" w:rsidRDefault="00000000">
            <w:pPr>
              <w:spacing w:line="232" w:lineRule="auto"/>
              <w:jc w:val="center"/>
              <w:rPr>
                <w:sz w:val="24"/>
                <w:szCs w:val="24"/>
              </w:rPr>
            </w:pPr>
            <w:r>
              <w:rPr>
                <w:b/>
                <w:bCs/>
                <w:color w:val="FFFFFF"/>
                <w:sz w:val="24"/>
                <w:szCs w:val="24"/>
              </w:rPr>
              <w:t>Rubrique</w:t>
            </w:r>
          </w:p>
        </w:tc>
        <w:tc>
          <w:tcPr>
            <w:tcW w:w="3500" w:type="pct"/>
            <w:shd w:val="clear" w:color="auto" w:fill="D4875A"/>
            <w:tcMar>
              <w:top w:w="36" w:type="dxa"/>
              <w:left w:w="80" w:type="dxa"/>
              <w:bottom w:w="36" w:type="dxa"/>
              <w:right w:w="80" w:type="dxa"/>
            </w:tcMar>
            <w:vAlign w:val="center"/>
          </w:tcPr>
          <w:p w14:paraId="2EED9B66" w14:textId="77777777" w:rsidR="0042033D" w:rsidRDefault="00000000">
            <w:pPr>
              <w:spacing w:line="232" w:lineRule="auto"/>
              <w:jc w:val="center"/>
              <w:rPr>
                <w:sz w:val="24"/>
                <w:szCs w:val="24"/>
              </w:rPr>
            </w:pPr>
            <w:r>
              <w:rPr>
                <w:b/>
                <w:bCs/>
                <w:color w:val="FFFFFF"/>
                <w:sz w:val="24"/>
                <w:szCs w:val="24"/>
              </w:rPr>
              <w:t>Information</w:t>
            </w:r>
          </w:p>
        </w:tc>
      </w:tr>
      <w:tr w:rsidR="0042033D" w14:paraId="139C358E" w14:textId="77777777">
        <w:trPr>
          <w:cantSplit/>
        </w:trPr>
        <w:tc>
          <w:tcPr>
            <w:tcW w:w="1500" w:type="pct"/>
            <w:tcMar>
              <w:top w:w="28" w:type="dxa"/>
              <w:left w:w="80" w:type="dxa"/>
              <w:bottom w:w="28" w:type="dxa"/>
              <w:right w:w="80" w:type="dxa"/>
            </w:tcMar>
            <w:vAlign w:val="center"/>
          </w:tcPr>
          <w:p w14:paraId="059A479B" w14:textId="77777777" w:rsidR="0042033D" w:rsidRDefault="00000000">
            <w:pPr>
              <w:spacing w:line="232" w:lineRule="auto"/>
              <w:rPr>
                <w:sz w:val="24"/>
                <w:szCs w:val="24"/>
              </w:rPr>
            </w:pPr>
            <w:r>
              <w:rPr>
                <w:b/>
                <w:bCs/>
                <w:sz w:val="24"/>
                <w:szCs w:val="24"/>
              </w:rPr>
              <w:t>Raison sociale</w:t>
            </w:r>
          </w:p>
        </w:tc>
        <w:tc>
          <w:tcPr>
            <w:tcW w:w="3500" w:type="pct"/>
            <w:tcMar>
              <w:top w:w="28" w:type="dxa"/>
              <w:left w:w="80" w:type="dxa"/>
              <w:bottom w:w="28" w:type="dxa"/>
              <w:right w:w="80" w:type="dxa"/>
            </w:tcMar>
            <w:vAlign w:val="center"/>
          </w:tcPr>
          <w:p w14:paraId="0AB9C3E1" w14:textId="77777777" w:rsidR="0042033D" w:rsidRDefault="00000000">
            <w:pPr>
              <w:spacing w:line="232" w:lineRule="auto"/>
              <w:rPr>
                <w:sz w:val="24"/>
                <w:szCs w:val="24"/>
              </w:rPr>
            </w:pPr>
            <w:r>
              <w:rPr>
                <w:b/>
                <w:bCs/>
                <w:sz w:val="24"/>
                <w:szCs w:val="24"/>
              </w:rPr>
              <w:t>Bio Source Farm (B.S.F.)</w:t>
            </w:r>
          </w:p>
        </w:tc>
      </w:tr>
      <w:tr w:rsidR="0042033D" w14:paraId="45E98C68" w14:textId="77777777">
        <w:trPr>
          <w:cantSplit/>
        </w:trPr>
        <w:tc>
          <w:tcPr>
            <w:tcW w:w="1500" w:type="pct"/>
            <w:tcMar>
              <w:top w:w="28" w:type="dxa"/>
              <w:left w:w="80" w:type="dxa"/>
              <w:bottom w:w="28" w:type="dxa"/>
              <w:right w:w="80" w:type="dxa"/>
            </w:tcMar>
            <w:vAlign w:val="center"/>
          </w:tcPr>
          <w:p w14:paraId="6ABF3F82" w14:textId="77777777" w:rsidR="0042033D" w:rsidRDefault="00000000">
            <w:pPr>
              <w:spacing w:line="232" w:lineRule="auto"/>
              <w:rPr>
                <w:sz w:val="24"/>
                <w:szCs w:val="24"/>
              </w:rPr>
            </w:pPr>
            <w:r>
              <w:rPr>
                <w:b/>
                <w:bCs/>
                <w:sz w:val="24"/>
                <w:szCs w:val="24"/>
              </w:rPr>
              <w:t>Forme juridique</w:t>
            </w:r>
          </w:p>
        </w:tc>
        <w:tc>
          <w:tcPr>
            <w:tcW w:w="3500" w:type="pct"/>
            <w:tcMar>
              <w:top w:w="28" w:type="dxa"/>
              <w:left w:w="80" w:type="dxa"/>
              <w:bottom w:w="28" w:type="dxa"/>
              <w:right w:w="80" w:type="dxa"/>
            </w:tcMar>
            <w:vAlign w:val="center"/>
          </w:tcPr>
          <w:p w14:paraId="45F43D89" w14:textId="77777777" w:rsidR="0042033D" w:rsidRDefault="00000000">
            <w:pPr>
              <w:spacing w:line="232" w:lineRule="auto"/>
              <w:rPr>
                <w:sz w:val="24"/>
                <w:szCs w:val="24"/>
              </w:rPr>
            </w:pPr>
            <w:r>
              <w:rPr>
                <w:sz w:val="24"/>
                <w:szCs w:val="24"/>
              </w:rPr>
              <w:t>Entreprise Individuelle (EI) — conversion en SARL engagée (statuts déposés chez notaire), achèvement garanti au plus tard au T4 2026</w:t>
            </w:r>
          </w:p>
        </w:tc>
      </w:tr>
      <w:tr w:rsidR="0042033D" w14:paraId="05C25584" w14:textId="77777777">
        <w:trPr>
          <w:cantSplit/>
        </w:trPr>
        <w:tc>
          <w:tcPr>
            <w:tcW w:w="1500" w:type="pct"/>
            <w:tcMar>
              <w:top w:w="28" w:type="dxa"/>
              <w:left w:w="80" w:type="dxa"/>
              <w:bottom w:w="28" w:type="dxa"/>
              <w:right w:w="80" w:type="dxa"/>
            </w:tcMar>
            <w:vAlign w:val="center"/>
          </w:tcPr>
          <w:p w14:paraId="2BBC513E" w14:textId="77777777" w:rsidR="0042033D" w:rsidRDefault="00000000">
            <w:pPr>
              <w:spacing w:line="232" w:lineRule="auto"/>
              <w:rPr>
                <w:sz w:val="24"/>
                <w:szCs w:val="24"/>
              </w:rPr>
            </w:pPr>
            <w:r>
              <w:rPr>
                <w:b/>
                <w:bCs/>
                <w:sz w:val="24"/>
                <w:szCs w:val="24"/>
              </w:rPr>
              <w:t>Condition suspensive de déblocage des fonds</w:t>
            </w:r>
          </w:p>
        </w:tc>
        <w:tc>
          <w:tcPr>
            <w:tcW w:w="3500" w:type="pct"/>
            <w:tcMar>
              <w:top w:w="28" w:type="dxa"/>
              <w:left w:w="80" w:type="dxa"/>
              <w:bottom w:w="28" w:type="dxa"/>
              <w:right w:w="80" w:type="dxa"/>
            </w:tcMar>
            <w:vAlign w:val="center"/>
          </w:tcPr>
          <w:p w14:paraId="72857ABB" w14:textId="77777777" w:rsidR="0042033D" w:rsidRDefault="00000000">
            <w:pPr>
              <w:spacing w:line="232" w:lineRule="auto"/>
              <w:rPr>
                <w:sz w:val="24"/>
                <w:szCs w:val="24"/>
              </w:rPr>
            </w:pPr>
            <w:r>
              <w:rPr>
                <w:sz w:val="24"/>
                <w:szCs w:val="24"/>
              </w:rPr>
              <w:t>Publication définitive de l'immatriculation SARL au registre du commerce et des sociétés ; attestation notariale de dépôt des statuts et calendrier administratif disponibles en salle de données (cf. Annexes A et H)</w:t>
            </w:r>
          </w:p>
        </w:tc>
      </w:tr>
      <w:tr w:rsidR="0042033D" w14:paraId="1D3E5530" w14:textId="77777777">
        <w:trPr>
          <w:cantSplit/>
        </w:trPr>
        <w:tc>
          <w:tcPr>
            <w:tcW w:w="1500" w:type="pct"/>
            <w:tcMar>
              <w:top w:w="28" w:type="dxa"/>
              <w:left w:w="80" w:type="dxa"/>
              <w:bottom w:w="28" w:type="dxa"/>
              <w:right w:w="80" w:type="dxa"/>
            </w:tcMar>
            <w:vAlign w:val="center"/>
          </w:tcPr>
          <w:p w14:paraId="0B576CEB" w14:textId="77777777" w:rsidR="0042033D" w:rsidRDefault="00000000">
            <w:pPr>
              <w:spacing w:line="232" w:lineRule="auto"/>
              <w:rPr>
                <w:sz w:val="24"/>
                <w:szCs w:val="24"/>
              </w:rPr>
            </w:pPr>
            <w:r>
              <w:rPr>
                <w:b/>
                <w:bCs/>
                <w:sz w:val="24"/>
                <w:szCs w:val="24"/>
              </w:rPr>
              <w:t>NIF / Numéro statistique</w:t>
            </w:r>
          </w:p>
        </w:tc>
        <w:tc>
          <w:tcPr>
            <w:tcW w:w="3500" w:type="pct"/>
            <w:tcMar>
              <w:top w:w="28" w:type="dxa"/>
              <w:left w:w="80" w:type="dxa"/>
              <w:bottom w:w="28" w:type="dxa"/>
              <w:right w:w="80" w:type="dxa"/>
            </w:tcMar>
            <w:vAlign w:val="center"/>
          </w:tcPr>
          <w:p w14:paraId="33FA1D2F" w14:textId="77777777" w:rsidR="0042033D" w:rsidRDefault="00000000">
            <w:pPr>
              <w:spacing w:line="232" w:lineRule="auto"/>
              <w:rPr>
                <w:sz w:val="24"/>
                <w:szCs w:val="24"/>
              </w:rPr>
            </w:pPr>
            <w:r>
              <w:rPr>
                <w:sz w:val="24"/>
                <w:szCs w:val="24"/>
              </w:rPr>
              <w:t>6 005 477 481 / 74908 31 2021 0 00398</w:t>
            </w:r>
          </w:p>
        </w:tc>
      </w:tr>
      <w:tr w:rsidR="0042033D" w14:paraId="7DC2CE54" w14:textId="77777777">
        <w:trPr>
          <w:cantSplit/>
        </w:trPr>
        <w:tc>
          <w:tcPr>
            <w:tcW w:w="1500" w:type="pct"/>
            <w:tcMar>
              <w:top w:w="28" w:type="dxa"/>
              <w:left w:w="80" w:type="dxa"/>
              <w:bottom w:w="28" w:type="dxa"/>
              <w:right w:w="80" w:type="dxa"/>
            </w:tcMar>
            <w:vAlign w:val="center"/>
          </w:tcPr>
          <w:p w14:paraId="7B56E65B" w14:textId="77777777" w:rsidR="0042033D" w:rsidRDefault="00000000">
            <w:pPr>
              <w:spacing w:line="232" w:lineRule="auto"/>
              <w:rPr>
                <w:sz w:val="24"/>
                <w:szCs w:val="24"/>
              </w:rPr>
            </w:pPr>
            <w:r>
              <w:rPr>
                <w:b/>
                <w:bCs/>
                <w:sz w:val="24"/>
                <w:szCs w:val="24"/>
              </w:rPr>
              <w:t>Dates clés</w:t>
            </w:r>
          </w:p>
        </w:tc>
        <w:tc>
          <w:tcPr>
            <w:tcW w:w="3500" w:type="pct"/>
            <w:tcMar>
              <w:top w:w="28" w:type="dxa"/>
              <w:left w:w="80" w:type="dxa"/>
              <w:bottom w:w="28" w:type="dxa"/>
              <w:right w:w="80" w:type="dxa"/>
            </w:tcMar>
            <w:vAlign w:val="center"/>
          </w:tcPr>
          <w:p w14:paraId="4FD01BAE" w14:textId="77777777" w:rsidR="0042033D" w:rsidRDefault="00000000">
            <w:pPr>
              <w:spacing w:line="232" w:lineRule="auto"/>
              <w:rPr>
                <w:sz w:val="24"/>
                <w:szCs w:val="24"/>
              </w:rPr>
            </w:pPr>
            <w:r>
              <w:rPr>
                <w:sz w:val="24"/>
                <w:szCs w:val="24"/>
              </w:rPr>
              <w:t>Création : septembre 2021 ; début d'activité opérationnelle : juillet 2023</w:t>
            </w:r>
          </w:p>
        </w:tc>
      </w:tr>
      <w:tr w:rsidR="0042033D" w14:paraId="2D5E4112" w14:textId="77777777">
        <w:trPr>
          <w:cantSplit/>
        </w:trPr>
        <w:tc>
          <w:tcPr>
            <w:tcW w:w="1500" w:type="pct"/>
            <w:tcMar>
              <w:top w:w="28" w:type="dxa"/>
              <w:left w:w="80" w:type="dxa"/>
              <w:bottom w:w="28" w:type="dxa"/>
              <w:right w:w="80" w:type="dxa"/>
            </w:tcMar>
            <w:vAlign w:val="center"/>
          </w:tcPr>
          <w:p w14:paraId="357270D7" w14:textId="77777777" w:rsidR="0042033D" w:rsidRDefault="00000000">
            <w:pPr>
              <w:spacing w:line="232" w:lineRule="auto"/>
              <w:rPr>
                <w:sz w:val="24"/>
                <w:szCs w:val="24"/>
              </w:rPr>
            </w:pPr>
            <w:r>
              <w:rPr>
                <w:b/>
                <w:bCs/>
                <w:sz w:val="24"/>
                <w:szCs w:val="24"/>
              </w:rPr>
              <w:t>Exercice fiscal</w:t>
            </w:r>
          </w:p>
        </w:tc>
        <w:tc>
          <w:tcPr>
            <w:tcW w:w="3500" w:type="pct"/>
            <w:tcMar>
              <w:top w:w="28" w:type="dxa"/>
              <w:left w:w="80" w:type="dxa"/>
              <w:bottom w:w="28" w:type="dxa"/>
              <w:right w:w="80" w:type="dxa"/>
            </w:tcMar>
            <w:vAlign w:val="center"/>
          </w:tcPr>
          <w:p w14:paraId="025FB98E" w14:textId="77777777" w:rsidR="0042033D" w:rsidRDefault="00000000">
            <w:pPr>
              <w:spacing w:line="232" w:lineRule="auto"/>
              <w:rPr>
                <w:sz w:val="24"/>
                <w:szCs w:val="24"/>
              </w:rPr>
            </w:pPr>
            <w:r>
              <w:rPr>
                <w:sz w:val="24"/>
                <w:szCs w:val="24"/>
              </w:rPr>
              <w:t>1er juillet au 30 juin — exercices clos et certifiés : 2023-2024 et 2024-2025</w:t>
            </w:r>
          </w:p>
        </w:tc>
      </w:tr>
      <w:tr w:rsidR="0042033D" w14:paraId="1BDE423D" w14:textId="77777777">
        <w:trPr>
          <w:cantSplit/>
        </w:trPr>
        <w:tc>
          <w:tcPr>
            <w:tcW w:w="1500" w:type="pct"/>
            <w:tcMar>
              <w:top w:w="28" w:type="dxa"/>
              <w:left w:w="80" w:type="dxa"/>
              <w:bottom w:w="28" w:type="dxa"/>
              <w:right w:w="80" w:type="dxa"/>
            </w:tcMar>
            <w:vAlign w:val="center"/>
          </w:tcPr>
          <w:p w14:paraId="13F32A22" w14:textId="77777777" w:rsidR="0042033D" w:rsidRDefault="00000000">
            <w:pPr>
              <w:spacing w:line="232" w:lineRule="auto"/>
              <w:rPr>
                <w:sz w:val="24"/>
                <w:szCs w:val="24"/>
              </w:rPr>
            </w:pPr>
            <w:r>
              <w:rPr>
                <w:b/>
                <w:bCs/>
                <w:sz w:val="24"/>
                <w:szCs w:val="24"/>
              </w:rPr>
              <w:t>Siège social / site opérationnel</w:t>
            </w:r>
          </w:p>
        </w:tc>
        <w:tc>
          <w:tcPr>
            <w:tcW w:w="3500" w:type="pct"/>
            <w:tcMar>
              <w:top w:w="28" w:type="dxa"/>
              <w:left w:w="80" w:type="dxa"/>
              <w:bottom w:w="28" w:type="dxa"/>
              <w:right w:w="80" w:type="dxa"/>
            </w:tcMar>
            <w:vAlign w:val="center"/>
          </w:tcPr>
          <w:p w14:paraId="72A4159E" w14:textId="77777777" w:rsidR="0042033D" w:rsidRDefault="00000000">
            <w:pPr>
              <w:spacing w:line="232" w:lineRule="auto"/>
              <w:rPr>
                <w:sz w:val="24"/>
                <w:szCs w:val="24"/>
              </w:rPr>
            </w:pPr>
            <w:r>
              <w:rPr>
                <w:sz w:val="24"/>
                <w:szCs w:val="24"/>
              </w:rPr>
              <w:t>Lot K 178 CAR VII — Partielle 21/53, Mangarivotra Sud, Toamasina / C5 Ambalamanasy, Toamasina 501</w:t>
            </w:r>
          </w:p>
        </w:tc>
      </w:tr>
      <w:tr w:rsidR="0042033D" w14:paraId="4C3836EF" w14:textId="77777777">
        <w:trPr>
          <w:cantSplit/>
        </w:trPr>
        <w:tc>
          <w:tcPr>
            <w:tcW w:w="1500" w:type="pct"/>
            <w:tcMar>
              <w:top w:w="28" w:type="dxa"/>
              <w:left w:w="80" w:type="dxa"/>
              <w:bottom w:w="28" w:type="dxa"/>
              <w:right w:w="80" w:type="dxa"/>
            </w:tcMar>
            <w:vAlign w:val="center"/>
          </w:tcPr>
          <w:p w14:paraId="389FF11B" w14:textId="77777777" w:rsidR="0042033D" w:rsidRDefault="00000000">
            <w:pPr>
              <w:spacing w:line="232" w:lineRule="auto"/>
              <w:rPr>
                <w:sz w:val="24"/>
                <w:szCs w:val="24"/>
              </w:rPr>
            </w:pPr>
            <w:r>
              <w:rPr>
                <w:b/>
                <w:bCs/>
                <w:sz w:val="24"/>
                <w:szCs w:val="24"/>
              </w:rPr>
              <w:t>Contact (gérant)</w:t>
            </w:r>
          </w:p>
        </w:tc>
        <w:tc>
          <w:tcPr>
            <w:tcW w:w="3500" w:type="pct"/>
            <w:tcMar>
              <w:top w:w="28" w:type="dxa"/>
              <w:left w:w="80" w:type="dxa"/>
              <w:bottom w:w="28" w:type="dxa"/>
              <w:right w:w="80" w:type="dxa"/>
            </w:tcMar>
            <w:vAlign w:val="center"/>
          </w:tcPr>
          <w:p w14:paraId="6AF17591" w14:textId="77777777" w:rsidR="0042033D" w:rsidRDefault="00000000">
            <w:pPr>
              <w:spacing w:line="232" w:lineRule="auto"/>
              <w:rPr>
                <w:sz w:val="24"/>
                <w:szCs w:val="24"/>
              </w:rPr>
            </w:pPr>
            <w:r>
              <w:rPr>
                <w:sz w:val="24"/>
                <w:szCs w:val="24"/>
              </w:rPr>
              <w:t>RASOLOMAMPIONONA Tendry Ny Aina Joelson — tendry@biosourcefarm.com — +261 34 48 08 885</w:t>
            </w:r>
          </w:p>
        </w:tc>
      </w:tr>
      <w:tr w:rsidR="0042033D" w14:paraId="3D1AEB81" w14:textId="77777777">
        <w:trPr>
          <w:cantSplit/>
        </w:trPr>
        <w:tc>
          <w:tcPr>
            <w:tcW w:w="1500" w:type="pct"/>
            <w:tcMar>
              <w:top w:w="28" w:type="dxa"/>
              <w:left w:w="80" w:type="dxa"/>
              <w:bottom w:w="28" w:type="dxa"/>
              <w:right w:w="80" w:type="dxa"/>
            </w:tcMar>
            <w:vAlign w:val="center"/>
          </w:tcPr>
          <w:p w14:paraId="23A04106" w14:textId="77777777" w:rsidR="0042033D" w:rsidRDefault="00000000">
            <w:pPr>
              <w:spacing w:line="232" w:lineRule="auto"/>
              <w:rPr>
                <w:sz w:val="24"/>
                <w:szCs w:val="24"/>
              </w:rPr>
            </w:pPr>
            <w:r>
              <w:rPr>
                <w:b/>
                <w:bCs/>
                <w:sz w:val="24"/>
                <w:szCs w:val="24"/>
              </w:rPr>
              <w:t>Commissaire aux comptes</w:t>
            </w:r>
          </w:p>
        </w:tc>
        <w:tc>
          <w:tcPr>
            <w:tcW w:w="3500" w:type="pct"/>
            <w:tcMar>
              <w:top w:w="28" w:type="dxa"/>
              <w:left w:w="80" w:type="dxa"/>
              <w:bottom w:w="28" w:type="dxa"/>
              <w:right w:w="80" w:type="dxa"/>
            </w:tcMar>
            <w:vAlign w:val="center"/>
          </w:tcPr>
          <w:p w14:paraId="55EB409F" w14:textId="77777777" w:rsidR="0042033D" w:rsidRDefault="00000000">
            <w:pPr>
              <w:spacing w:line="232" w:lineRule="auto"/>
              <w:rPr>
                <w:sz w:val="24"/>
                <w:szCs w:val="24"/>
              </w:rPr>
            </w:pPr>
            <w:r>
              <w:rPr>
                <w:sz w:val="24"/>
                <w:szCs w:val="24"/>
              </w:rPr>
              <w:t>RAKAJY Paul Philibert, expert-comptable et financier (Antananarivo)</w:t>
            </w:r>
          </w:p>
        </w:tc>
      </w:tr>
      <w:tr w:rsidR="0042033D" w14:paraId="42E969EE" w14:textId="77777777">
        <w:trPr>
          <w:cantSplit/>
        </w:trPr>
        <w:tc>
          <w:tcPr>
            <w:tcW w:w="1500" w:type="pct"/>
            <w:tcMar>
              <w:top w:w="28" w:type="dxa"/>
              <w:left w:w="80" w:type="dxa"/>
              <w:bottom w:w="28" w:type="dxa"/>
              <w:right w:w="80" w:type="dxa"/>
            </w:tcMar>
            <w:vAlign w:val="center"/>
          </w:tcPr>
          <w:p w14:paraId="4CC9823D" w14:textId="6B6619A0" w:rsidR="0042033D" w:rsidRPr="00AE3011" w:rsidRDefault="00000000">
            <w:pPr>
              <w:spacing w:line="232" w:lineRule="auto"/>
              <w:rPr>
                <w:sz w:val="24"/>
                <w:szCs w:val="24"/>
                <w:lang w:val="fr-FR"/>
              </w:rPr>
            </w:pPr>
            <w:r>
              <w:rPr>
                <w:b/>
                <w:bCs/>
                <w:sz w:val="24"/>
                <w:szCs w:val="24"/>
              </w:rPr>
              <w:lastRenderedPageBreak/>
              <w:t>Compte bancaire</w:t>
            </w:r>
            <w:r w:rsidR="00AE3011">
              <w:rPr>
                <w:b/>
                <w:bCs/>
                <w:sz w:val="24"/>
                <w:szCs w:val="24"/>
                <w:lang w:val="fr-FR"/>
              </w:rPr>
              <w:t xml:space="preserve"> BSF</w:t>
            </w:r>
          </w:p>
        </w:tc>
        <w:tc>
          <w:tcPr>
            <w:tcW w:w="3500" w:type="pct"/>
            <w:tcMar>
              <w:top w:w="28" w:type="dxa"/>
              <w:left w:w="80" w:type="dxa"/>
              <w:bottom w:w="28" w:type="dxa"/>
              <w:right w:w="80" w:type="dxa"/>
            </w:tcMar>
            <w:vAlign w:val="center"/>
          </w:tcPr>
          <w:p w14:paraId="699637D9" w14:textId="77777777" w:rsidR="0042033D" w:rsidRDefault="00000000">
            <w:pPr>
              <w:spacing w:line="232" w:lineRule="auto"/>
              <w:rPr>
                <w:sz w:val="24"/>
                <w:szCs w:val="24"/>
                <w:lang w:val="fr-FR"/>
              </w:rPr>
            </w:pPr>
            <w:r>
              <w:rPr>
                <w:sz w:val="24"/>
                <w:szCs w:val="24"/>
              </w:rPr>
              <w:t>B</w:t>
            </w:r>
            <w:r>
              <w:rPr>
                <w:sz w:val="24"/>
                <w:szCs w:val="24"/>
                <w:lang w:val="fr-FR"/>
              </w:rPr>
              <w:t>NI</w:t>
            </w:r>
            <w:r>
              <w:rPr>
                <w:sz w:val="24"/>
                <w:szCs w:val="24"/>
              </w:rPr>
              <w:t xml:space="preserve"> N°00005 000</w:t>
            </w:r>
            <w:r>
              <w:rPr>
                <w:sz w:val="24"/>
                <w:szCs w:val="24"/>
                <w:lang w:val="fr-FR"/>
              </w:rPr>
              <w:t>37</w:t>
            </w:r>
            <w:r>
              <w:rPr>
                <w:sz w:val="24"/>
                <w:szCs w:val="24"/>
              </w:rPr>
              <w:t xml:space="preserve"> 74375430001 </w:t>
            </w:r>
            <w:r>
              <w:rPr>
                <w:sz w:val="24"/>
                <w:szCs w:val="24"/>
                <w:lang w:val="fr-FR"/>
              </w:rPr>
              <w:t>71</w:t>
            </w:r>
          </w:p>
        </w:tc>
      </w:tr>
    </w:tbl>
    <w:p w14:paraId="0F91B119" w14:textId="77777777" w:rsidR="0042033D" w:rsidRDefault="00000000">
      <w:pPr>
        <w:pStyle w:val="Heading2"/>
        <w:spacing w:before="150" w:after="60"/>
        <w:rPr>
          <w:rFonts w:ascii="Times New Roman" w:hAnsi="Times New Roman"/>
        </w:rPr>
      </w:pPr>
      <w:bookmarkStart w:id="2" w:name="_Toc100002"/>
      <w:r>
        <w:rPr>
          <w:rFonts w:ascii="Times New Roman" w:hAnsi="Times New Roman"/>
        </w:rPr>
        <w:t>2.1 Capital social et situation patrimoniale</w:t>
      </w:r>
      <w:bookmarkEnd w:id="2"/>
    </w:p>
    <w:p w14:paraId="6343B331" w14:textId="77777777" w:rsidR="0042033D" w:rsidRDefault="00000000">
      <w:pPr>
        <w:spacing w:after="60"/>
        <w:jc w:val="both"/>
        <w:rPr>
          <w:sz w:val="24"/>
          <w:szCs w:val="24"/>
        </w:rPr>
      </w:pPr>
      <w:r>
        <w:rPr>
          <w:sz w:val="24"/>
          <w:szCs w:val="24"/>
        </w:rPr>
        <w:t>Le capital social s'élève à 20 millions d'Ariary (environ 4 444 $ au taux de change de référence). Au terme de l'exercice clos le 30 juin 2025, le total du bilan s'établissait à 131,7 millions d'Ariary (environ 29 270 $) : 21,8 millions d'immobilisations corporelles nettes, 31,4 millions de stocks, 12,4 millions de créances clients et 66,1 millions de trésorerie disponible. La structure financière se caractérise par une absence totale de dettes financières et un fonds de roulement positif, fruit de deux exercices consécutifs bénéficiaires : 41,3 millions d'Ariary de résultat net en 2023-2024 et 66,6 millions en 2024-2025, soit un cumul autofinancé de 107,9 millions d'Ariary sur un chiffre d'affaires cumulé certifié de 361 millions (80 210 $).</w:t>
      </w:r>
    </w:p>
    <w:p w14:paraId="373E57F6" w14:textId="77777777" w:rsidR="0042033D" w:rsidRDefault="00000000">
      <w:pPr>
        <w:spacing w:after="60"/>
        <w:jc w:val="both"/>
        <w:rPr>
          <w:sz w:val="24"/>
          <w:szCs w:val="24"/>
          <w:lang w:val="fr-FR"/>
        </w:rPr>
      </w:pPr>
      <w:r>
        <w:rPr>
          <w:sz w:val="24"/>
          <w:szCs w:val="24"/>
        </w:rPr>
        <w:t>Il n'existe aucune dette à service ni engagement de crédit en cours, et l'entreprise démontre une rentabilité positive à l'échelle artisanale sur ses deux premiers exercices certifiés. Le financement sollicité de 50 000 $ ne vient donc pas combler un besoin de trésorerie structurel : il finance un palier d'investissement productif clairement défini, dont l'industrialisation de la ligne de séchage des larves constitue la composante stratégique principale.</w:t>
      </w:r>
    </w:p>
    <w:p w14:paraId="6DC14730" w14:textId="77777777" w:rsidR="0042033D" w:rsidRDefault="0042033D">
      <w:pPr>
        <w:spacing w:after="60"/>
        <w:jc w:val="both"/>
        <w:rPr>
          <w:sz w:val="24"/>
          <w:szCs w:val="24"/>
          <w:lang w:val="fr-FR"/>
        </w:rPr>
      </w:pPr>
    </w:p>
    <w:p w14:paraId="2AD4FFF0" w14:textId="77777777" w:rsidR="0042033D" w:rsidRDefault="0042033D">
      <w:pPr>
        <w:spacing w:after="60"/>
        <w:jc w:val="both"/>
        <w:rPr>
          <w:sz w:val="24"/>
          <w:szCs w:val="24"/>
          <w:lang w:val="fr-FR"/>
        </w:rPr>
      </w:pPr>
    </w:p>
    <w:p w14:paraId="486B6BA2" w14:textId="77777777" w:rsidR="0042033D" w:rsidRDefault="0042033D">
      <w:pPr>
        <w:spacing w:after="60"/>
        <w:jc w:val="both"/>
        <w:rPr>
          <w:sz w:val="24"/>
          <w:szCs w:val="24"/>
          <w:lang w:val="fr-FR"/>
        </w:rPr>
      </w:pPr>
    </w:p>
    <w:p w14:paraId="5C0D10B3" w14:textId="77777777" w:rsidR="0042033D" w:rsidRDefault="0042033D">
      <w:pPr>
        <w:spacing w:after="60"/>
        <w:jc w:val="both"/>
        <w:rPr>
          <w:sz w:val="24"/>
          <w:szCs w:val="24"/>
          <w:lang w:val="fr-FR"/>
        </w:rPr>
      </w:pPr>
    </w:p>
    <w:p w14:paraId="7C467D9D" w14:textId="77777777" w:rsidR="0042033D" w:rsidRDefault="0042033D">
      <w:pPr>
        <w:spacing w:after="60"/>
        <w:jc w:val="both"/>
        <w:rPr>
          <w:sz w:val="24"/>
          <w:szCs w:val="24"/>
          <w:lang w:val="fr-FR"/>
        </w:rPr>
      </w:pPr>
    </w:p>
    <w:p w14:paraId="374DE107" w14:textId="77777777" w:rsidR="0042033D" w:rsidRDefault="0042033D">
      <w:pPr>
        <w:spacing w:after="60"/>
        <w:jc w:val="both"/>
        <w:rPr>
          <w:sz w:val="24"/>
          <w:szCs w:val="24"/>
          <w:lang w:val="fr-FR"/>
        </w:rPr>
      </w:pPr>
    </w:p>
    <w:p w14:paraId="41BEA016" w14:textId="77777777" w:rsidR="0042033D" w:rsidRDefault="0042033D">
      <w:pPr>
        <w:spacing w:after="60"/>
        <w:jc w:val="both"/>
        <w:rPr>
          <w:sz w:val="24"/>
          <w:szCs w:val="24"/>
          <w:lang w:val="fr-FR"/>
        </w:rPr>
      </w:pPr>
    </w:p>
    <w:p w14:paraId="49103DF7" w14:textId="77777777" w:rsidR="0042033D" w:rsidRDefault="0042033D">
      <w:pPr>
        <w:spacing w:after="60"/>
        <w:jc w:val="both"/>
        <w:rPr>
          <w:sz w:val="24"/>
          <w:szCs w:val="24"/>
          <w:lang w:val="fr-FR"/>
        </w:rPr>
      </w:pPr>
    </w:p>
    <w:p w14:paraId="0F25FBA2" w14:textId="77777777" w:rsidR="0042033D" w:rsidRDefault="0042033D">
      <w:pPr>
        <w:spacing w:after="60"/>
        <w:jc w:val="both"/>
        <w:rPr>
          <w:sz w:val="24"/>
          <w:szCs w:val="24"/>
          <w:lang w:val="fr-FR"/>
        </w:rPr>
      </w:pPr>
    </w:p>
    <w:p w14:paraId="3F333398" w14:textId="77777777" w:rsidR="0042033D" w:rsidRDefault="0042033D">
      <w:pPr>
        <w:spacing w:after="60"/>
        <w:jc w:val="both"/>
        <w:rPr>
          <w:sz w:val="24"/>
          <w:szCs w:val="24"/>
          <w:lang w:val="fr-FR"/>
        </w:rPr>
      </w:pPr>
    </w:p>
    <w:p w14:paraId="2A4F1B79" w14:textId="77777777" w:rsidR="0042033D" w:rsidRDefault="0042033D">
      <w:pPr>
        <w:spacing w:after="60"/>
        <w:jc w:val="both"/>
        <w:rPr>
          <w:sz w:val="24"/>
          <w:szCs w:val="24"/>
          <w:lang w:val="fr-FR"/>
        </w:rPr>
      </w:pPr>
    </w:p>
    <w:p w14:paraId="37DDAED9" w14:textId="77777777" w:rsidR="0042033D" w:rsidRDefault="0042033D">
      <w:pPr>
        <w:spacing w:after="60"/>
        <w:jc w:val="both"/>
        <w:rPr>
          <w:sz w:val="24"/>
          <w:szCs w:val="24"/>
          <w:lang w:val="fr-FR"/>
        </w:rPr>
      </w:pPr>
    </w:p>
    <w:p w14:paraId="4E899605" w14:textId="77777777" w:rsidR="0042033D" w:rsidRDefault="0042033D">
      <w:pPr>
        <w:spacing w:after="60"/>
        <w:jc w:val="both"/>
        <w:rPr>
          <w:sz w:val="24"/>
          <w:szCs w:val="24"/>
          <w:lang w:val="fr-FR"/>
        </w:rPr>
      </w:pPr>
    </w:p>
    <w:p w14:paraId="0F4D19D5" w14:textId="77777777" w:rsidR="0042033D" w:rsidRDefault="0042033D">
      <w:pPr>
        <w:spacing w:after="60"/>
        <w:jc w:val="both"/>
        <w:rPr>
          <w:sz w:val="24"/>
          <w:szCs w:val="24"/>
          <w:lang w:val="fr-FR"/>
        </w:rPr>
      </w:pPr>
    </w:p>
    <w:p w14:paraId="1BE4B5F5" w14:textId="77777777" w:rsidR="0042033D" w:rsidRDefault="0042033D">
      <w:pPr>
        <w:spacing w:after="60"/>
        <w:jc w:val="both"/>
        <w:rPr>
          <w:sz w:val="24"/>
          <w:szCs w:val="24"/>
          <w:lang w:val="fr-FR"/>
        </w:rPr>
      </w:pPr>
    </w:p>
    <w:p w14:paraId="3025269C" w14:textId="77777777" w:rsidR="0042033D" w:rsidRDefault="0042033D">
      <w:pPr>
        <w:spacing w:after="60"/>
        <w:jc w:val="both"/>
        <w:rPr>
          <w:sz w:val="24"/>
          <w:szCs w:val="24"/>
          <w:lang w:val="fr-FR"/>
        </w:rPr>
      </w:pPr>
    </w:p>
    <w:p w14:paraId="27ECB469" w14:textId="77777777" w:rsidR="003C6B3A" w:rsidRDefault="003C6B3A">
      <w:pPr>
        <w:spacing w:after="60"/>
        <w:jc w:val="both"/>
        <w:rPr>
          <w:sz w:val="24"/>
          <w:szCs w:val="24"/>
          <w:lang w:val="fr-FR"/>
        </w:rPr>
      </w:pPr>
    </w:p>
    <w:p w14:paraId="144B59F1" w14:textId="77777777" w:rsidR="003C6B3A" w:rsidRDefault="003C6B3A">
      <w:pPr>
        <w:spacing w:after="60"/>
        <w:jc w:val="both"/>
        <w:rPr>
          <w:sz w:val="24"/>
          <w:szCs w:val="24"/>
          <w:lang w:val="fr-FR"/>
        </w:rPr>
      </w:pPr>
    </w:p>
    <w:p w14:paraId="1C4707C4" w14:textId="77777777" w:rsidR="0042033D" w:rsidRDefault="0042033D">
      <w:pPr>
        <w:spacing w:after="60"/>
        <w:jc w:val="both"/>
        <w:rPr>
          <w:sz w:val="24"/>
          <w:szCs w:val="24"/>
          <w:lang w:val="fr-FR"/>
        </w:rPr>
      </w:pPr>
    </w:p>
    <w:p w14:paraId="6C019C8D" w14:textId="77777777" w:rsidR="0042033D" w:rsidRDefault="00000000">
      <w:pPr>
        <w:pStyle w:val="Heading1"/>
        <w:pBdr>
          <w:bottom w:val="single" w:sz="6" w:space="4" w:color="D4875A"/>
        </w:pBdr>
        <w:spacing w:before="200" w:after="90"/>
        <w:rPr>
          <w:rFonts w:ascii="League Spartan" w:hAnsi="League Spartan"/>
          <w:sz w:val="40"/>
          <w:szCs w:val="40"/>
        </w:rPr>
      </w:pPr>
      <w:bookmarkStart w:id="3" w:name="_Toc238821282"/>
      <w:r>
        <w:rPr>
          <w:rFonts w:ascii="League Spartan" w:hAnsi="League Spartan"/>
          <w:sz w:val="40"/>
          <w:szCs w:val="40"/>
        </w:rPr>
        <w:lastRenderedPageBreak/>
        <w:t>3. Problématique et opportunité</w:t>
      </w:r>
      <w:bookmarkEnd w:id="3"/>
    </w:p>
    <w:p w14:paraId="14DFCFD3" w14:textId="77777777" w:rsidR="0042033D" w:rsidRDefault="00000000">
      <w:pPr>
        <w:pStyle w:val="Heading2"/>
        <w:spacing w:before="150" w:after="60"/>
        <w:rPr>
          <w:rFonts w:ascii="Times New Roman" w:hAnsi="Times New Roman"/>
        </w:rPr>
      </w:pPr>
      <w:bookmarkStart w:id="4" w:name="_Toc100004"/>
      <w:r>
        <w:rPr>
          <w:rFonts w:ascii="Times New Roman" w:hAnsi="Times New Roman"/>
        </w:rPr>
        <w:t>3.1 Le paradoxe malgache : abondance de déchets, pauvreté rurale, sols dégradés</w:t>
      </w:r>
      <w:bookmarkEnd w:id="4"/>
    </w:p>
    <w:p w14:paraId="69349C34" w14:textId="77777777" w:rsidR="0042033D" w:rsidRDefault="00000000">
      <w:pPr>
        <w:spacing w:after="60"/>
        <w:jc w:val="both"/>
        <w:rPr>
          <w:sz w:val="24"/>
          <w:szCs w:val="24"/>
          <w:lang w:val="fr-FR"/>
        </w:rPr>
      </w:pPr>
      <w:r>
        <w:rPr>
          <w:sz w:val="24"/>
          <w:szCs w:val="24"/>
        </w:rPr>
        <w:t>Les données publiques disponibles documentent l’ampleur du problème sans justifier un chiffre national de « déchets organiques » précis. La Banque mondiale estime à environ 3,77 millions de tonnes les déchets solides municipaux générés en 2016 et indique que 96,7 % étaient déposés à ciel ouvert. Pour Bio Source Farm, l’opportunité pertinente est donc ciblée : capter localement des fractions organiques homogènes et disponibles (agro-industrie, marchés, élevages et résidus de transformation) afin de les convertir en produits commercialisables.</w:t>
      </w:r>
      <w:r>
        <w:rPr>
          <w:sz w:val="24"/>
          <w:szCs w:val="24"/>
          <w:vertAlign w:val="superscript"/>
          <w:lang w:val="fr-FR"/>
        </w:rPr>
        <w:t>1</w:t>
      </w:r>
    </w:p>
    <w:p w14:paraId="22596CD4" w14:textId="77777777" w:rsidR="0042033D" w:rsidRDefault="00000000">
      <w:pPr>
        <w:pStyle w:val="Heading2"/>
        <w:spacing w:before="150" w:after="60"/>
        <w:rPr>
          <w:rFonts w:ascii="Times New Roman" w:hAnsi="Times New Roman"/>
        </w:rPr>
      </w:pPr>
      <w:bookmarkStart w:id="5" w:name="_Toc100005"/>
      <w:r>
        <w:rPr>
          <w:rFonts w:ascii="Times New Roman" w:hAnsi="Times New Roman"/>
        </w:rPr>
        <w:t>3.2 Une opportunité technologique : la bioconversion par Black Soldier Fly</w:t>
      </w:r>
      <w:bookmarkEnd w:id="5"/>
    </w:p>
    <w:p w14:paraId="5BB0D71B" w14:textId="77777777" w:rsidR="0042033D" w:rsidRDefault="00000000">
      <w:pPr>
        <w:spacing w:after="60"/>
        <w:jc w:val="both"/>
        <w:rPr>
          <w:sz w:val="24"/>
          <w:szCs w:val="24"/>
        </w:rPr>
      </w:pPr>
      <w:r>
        <w:rPr>
          <w:sz w:val="24"/>
          <w:szCs w:val="24"/>
        </w:rPr>
        <w:t>La larve de la mouche soldat noire (Hermetia illucens) convertit des substrats organiques en biomasse larvaire et en frass. Le cycle de production de Bio Source Farm est organisé autour d’une phase larvaire courte, d’une séparation biologique des pré-pupes et d’opérations de séchage, criblage et contrôle qualité. La performance dépend toutefois du substrat, de son humidité, de la formulation et des conditions d’élevage ; elle est donc pilotée par le SOP et les données internes plutôt que par un rendement universel.</w:t>
      </w:r>
    </w:p>
    <w:p w14:paraId="2A391BB3" w14:textId="77777777" w:rsidR="0042033D" w:rsidRDefault="00000000">
      <w:pPr>
        <w:pStyle w:val="Heading2"/>
        <w:spacing w:before="150" w:after="60"/>
        <w:rPr>
          <w:rFonts w:ascii="Times New Roman" w:hAnsi="Times New Roman"/>
        </w:rPr>
      </w:pPr>
      <w:bookmarkStart w:id="6" w:name="_Toc100006"/>
      <w:r>
        <w:rPr>
          <w:rFonts w:ascii="Times New Roman" w:hAnsi="Times New Roman"/>
        </w:rPr>
        <w:t>3.3 Le timing : pourquoi maintenant</w:t>
      </w:r>
      <w:bookmarkEnd w:id="6"/>
    </w:p>
    <w:p w14:paraId="6BE8634A" w14:textId="77777777" w:rsidR="0042033D" w:rsidRDefault="00000000">
      <w:pPr>
        <w:spacing w:after="60"/>
        <w:jc w:val="both"/>
        <w:rPr>
          <w:sz w:val="24"/>
          <w:szCs w:val="24"/>
          <w:lang w:val="fr-FR"/>
        </w:rPr>
      </w:pPr>
      <w:r>
        <w:rPr>
          <w:sz w:val="24"/>
          <w:szCs w:val="24"/>
        </w:rPr>
        <w:t>Le timing repose sur des signaux de marché mieux documentés. Sur les intrants, Madagascar a importé environ 28,9 M$ de fertilisants du chapitre HS 31 en 2023 ; le sous-ensemble HS 3105 représentait environ 19,2 M$ et 26,7 milliers de tonnes. Sur les protéines, la FAO a signalé en juillet 2026 un resserrement marqué du marché mondial de la farine de poisson : les quotas 2026 du Pérou et du Chili ont été réduits et la farine « Super Prime » FOB Pérou a atteint 2 500 $/t en mai 2026. Ces tendances soutiennent l’intérêt d’une production locale, mais ne constituent pas à elles seules une preuve de demande captive pour Bio Source Farm.</w:t>
      </w:r>
      <w:r>
        <w:rPr>
          <w:sz w:val="24"/>
          <w:szCs w:val="24"/>
          <w:vertAlign w:val="superscript"/>
          <w:lang w:val="fr-FR"/>
        </w:rPr>
        <w:t>6,7</w:t>
      </w:r>
    </w:p>
    <w:p w14:paraId="4D35EFBD" w14:textId="77777777" w:rsidR="0042033D" w:rsidRDefault="00000000">
      <w:pPr>
        <w:pStyle w:val="Heading2"/>
        <w:spacing w:before="150" w:after="60"/>
        <w:rPr>
          <w:rFonts w:ascii="Times New Roman" w:hAnsi="Times New Roman"/>
        </w:rPr>
      </w:pPr>
      <w:bookmarkStart w:id="7" w:name="_Toc100007"/>
      <w:r>
        <w:rPr>
          <w:rFonts w:ascii="Times New Roman" w:hAnsi="Times New Roman"/>
        </w:rPr>
        <w:t>3.4 La proposition de valeur globale</w:t>
      </w:r>
      <w:bookmarkEnd w:id="7"/>
    </w:p>
    <w:p w14:paraId="293B0831" w14:textId="77777777" w:rsidR="0042033D" w:rsidRDefault="00000000">
      <w:pPr>
        <w:pBdr>
          <w:left w:val="single" w:sz="10" w:space="12" w:color="D4875A"/>
        </w:pBdr>
        <w:spacing w:before="80" w:after="140" w:line="300" w:lineRule="auto"/>
        <w:ind w:left="360" w:right="240"/>
        <w:jc w:val="both"/>
        <w:rPr>
          <w:sz w:val="24"/>
          <w:szCs w:val="24"/>
          <w:lang w:val="fr-FR"/>
        </w:rPr>
      </w:pPr>
      <w:r>
        <w:rPr>
          <w:sz w:val="24"/>
          <w:szCs w:val="24"/>
        </w:rPr>
        <w:t>Bio Source Farm transforme une fraction organique locale en trois flux de valeur : frass, biomasse larvaire et bioactivateurs. Sur la base des observations internes présentées dans le modèle, une tonne de substrat entrant correspond à environ 300 kg de frass et 150 kg de larves fraîches ; le solde massique est principalement constitué d’eau évaporée ou recyclée. Le BP ne présente donc pas cette eau comme un produit valorisé.</w:t>
      </w:r>
    </w:p>
    <w:p w14:paraId="58B6142B" w14:textId="77777777" w:rsidR="0042033D" w:rsidRDefault="0042033D">
      <w:pPr>
        <w:rPr>
          <w:lang w:val="fr-FR"/>
        </w:rPr>
      </w:pPr>
    </w:p>
    <w:p w14:paraId="5C30A3B0" w14:textId="77777777" w:rsidR="0042033D" w:rsidRDefault="0042033D">
      <w:pPr>
        <w:rPr>
          <w:lang w:val="fr-FR"/>
        </w:rPr>
      </w:pPr>
    </w:p>
    <w:p w14:paraId="5104909F" w14:textId="77777777" w:rsidR="0042033D" w:rsidRDefault="0042033D">
      <w:pPr>
        <w:rPr>
          <w:lang w:val="fr-FR"/>
        </w:rPr>
      </w:pPr>
    </w:p>
    <w:p w14:paraId="372CFD01" w14:textId="77777777" w:rsidR="0042033D" w:rsidRDefault="0042033D">
      <w:pPr>
        <w:rPr>
          <w:lang w:val="fr-FR"/>
        </w:rPr>
      </w:pPr>
    </w:p>
    <w:p w14:paraId="53F2CFA7" w14:textId="77777777" w:rsidR="0042033D" w:rsidRDefault="0042033D">
      <w:pPr>
        <w:rPr>
          <w:lang w:val="fr-FR"/>
        </w:rPr>
      </w:pPr>
    </w:p>
    <w:p w14:paraId="25150DAA" w14:textId="77777777" w:rsidR="0042033D" w:rsidRDefault="0042033D">
      <w:pPr>
        <w:rPr>
          <w:lang w:val="fr-FR"/>
        </w:rPr>
      </w:pPr>
    </w:p>
    <w:p w14:paraId="33B9FDFD" w14:textId="77777777" w:rsidR="0042033D" w:rsidRDefault="0042033D">
      <w:pPr>
        <w:rPr>
          <w:lang w:val="fr-FR"/>
        </w:rPr>
      </w:pPr>
    </w:p>
    <w:p w14:paraId="0151947A" w14:textId="77777777" w:rsidR="0042033D" w:rsidRDefault="00000000">
      <w:pPr>
        <w:pStyle w:val="Heading1"/>
        <w:pBdr>
          <w:bottom w:val="single" w:sz="6" w:space="4" w:color="D4875A"/>
        </w:pBdr>
        <w:spacing w:before="200" w:after="90"/>
        <w:rPr>
          <w:rFonts w:ascii="League Spartan" w:hAnsi="League Spartan"/>
          <w:sz w:val="40"/>
          <w:szCs w:val="40"/>
        </w:rPr>
      </w:pPr>
      <w:bookmarkStart w:id="8" w:name="_Toc238821283"/>
      <w:r>
        <w:rPr>
          <w:rFonts w:ascii="League Spartan" w:hAnsi="League Spartan"/>
          <w:sz w:val="40"/>
          <w:szCs w:val="40"/>
        </w:rPr>
        <w:lastRenderedPageBreak/>
        <w:t>4. Solution et technologie BSF</w:t>
      </w:r>
      <w:bookmarkEnd w:id="8"/>
    </w:p>
    <w:p w14:paraId="31B9BD53" w14:textId="77777777" w:rsidR="0042033D" w:rsidRDefault="00000000">
      <w:pPr>
        <w:pStyle w:val="Heading2"/>
        <w:spacing w:before="150" w:after="60"/>
        <w:rPr>
          <w:rFonts w:ascii="Times New Roman" w:hAnsi="Times New Roman"/>
        </w:rPr>
      </w:pPr>
      <w:bookmarkStart w:id="9" w:name="_Toc100009"/>
      <w:r>
        <w:rPr>
          <w:rFonts w:ascii="Times New Roman" w:hAnsi="Times New Roman"/>
        </w:rPr>
        <w:t>4.1 Principe de la bioconversion par Hermetia illucens</w:t>
      </w:r>
      <w:bookmarkEnd w:id="9"/>
    </w:p>
    <w:p w14:paraId="3DA0EB0D" w14:textId="77777777" w:rsidR="0042033D" w:rsidRDefault="00000000">
      <w:pPr>
        <w:spacing w:after="60"/>
        <w:jc w:val="both"/>
        <w:rPr>
          <w:sz w:val="24"/>
          <w:szCs w:val="24"/>
        </w:rPr>
      </w:pPr>
      <w:r>
        <w:rPr>
          <w:sz w:val="24"/>
          <w:szCs w:val="24"/>
        </w:rPr>
        <w:t>Le cycle biologique commence par l'éclosion des œufs en néonates (un jour après éclosion, noté 1 DOL), nourries pendant cinq jours (5 DOL) avant d'être inoculées dans les bacs de production contenant le substrat organique préparé. La phase de croissance larvaire dure quatorze jours, à l'issue de laquelle les larves atteignent le stade de pré-pupes : elles cessent de s'alimenter et migrent naturellement vers une zone de sortie, ce qui facilite leur séparation d'avec le frass sans manipulation mécanique complexe. Cette propriété biologique est un avantage industriel : elle permet de mécaniser uniquement le criblage et le séchage. Le frass est ensuite stabilisé par séchage solaire ou thermique, criblé, analysé (NPK, humidité, pathogènes) puis conditionné en sacs de 30 kg ou en big bags de 500 kg ; les larves sont séchées et broyées pour produire une farine protéique destinée à l'alimentation animale, ou vendues à l'état vivant aux élevages locaux. L'industrialisation complète de la ligne de séchage est l'un des objets du présent plan d'investissement.</w:t>
      </w:r>
    </w:p>
    <w:p w14:paraId="61662527" w14:textId="77777777" w:rsidR="0042033D" w:rsidRDefault="00000000">
      <w:pPr>
        <w:pStyle w:val="Heading2"/>
        <w:spacing w:before="150" w:after="60"/>
        <w:rPr>
          <w:rFonts w:ascii="Times New Roman" w:hAnsi="Times New Roman"/>
        </w:rPr>
      </w:pPr>
      <w:bookmarkStart w:id="10" w:name="_Toc100010"/>
      <w:r>
        <w:rPr>
          <w:rFonts w:ascii="Times New Roman" w:hAnsi="Times New Roman"/>
        </w:rPr>
        <w:t>4.2 Le cycle de production industrialisé : douze étapes maîtrisées</w:t>
      </w:r>
      <w:bookmarkEnd w:id="10"/>
    </w:p>
    <w:p w14:paraId="26AC4002" w14:textId="77777777" w:rsidR="0042033D" w:rsidRDefault="00000000">
      <w:pPr>
        <w:spacing w:after="60"/>
        <w:jc w:val="both"/>
        <w:rPr>
          <w:sz w:val="24"/>
          <w:szCs w:val="24"/>
        </w:rPr>
      </w:pPr>
      <w:r>
        <w:rPr>
          <w:sz w:val="24"/>
          <w:szCs w:val="24"/>
        </w:rPr>
        <w:t>Le manuel de procédures opératoires standard (SOP), en version 1.0 et daté du 11 juillet 2026, documente de manière exhaustive les douze étapes du cycle industriel. Ce manuel constitue la propriété intellectuelle opérationnelle de l'entreprise et un actif différenciant vis-à-vis de concurrents potentiels qui ne disposeraient pas d'un tel référentiel (cf. section 13.1).</w:t>
      </w:r>
    </w:p>
    <w:p w14:paraId="3920435A" w14:textId="77777777" w:rsidR="0042033D" w:rsidRDefault="00000000">
      <w:pPr>
        <w:keepNext/>
        <w:spacing w:before="140" w:after="50" w:line="260" w:lineRule="auto"/>
        <w:rPr>
          <w:sz w:val="24"/>
          <w:szCs w:val="24"/>
        </w:rPr>
      </w:pPr>
      <w:r>
        <w:rPr>
          <w:rFonts w:eastAsia="Arial"/>
          <w:b/>
          <w:bCs/>
          <w:color w:val="1A2330"/>
          <w:sz w:val="24"/>
          <w:szCs w:val="24"/>
        </w:rPr>
        <w:t>Tableau 2 — Chaîne opérationnelle de bioconversion (12 étapes)</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915"/>
        <w:gridCol w:w="5494"/>
        <w:gridCol w:w="2747"/>
      </w:tblGrid>
      <w:tr w:rsidR="0042033D" w14:paraId="5460FAA6" w14:textId="77777777">
        <w:trPr>
          <w:cantSplit/>
          <w:tblHeader/>
        </w:trPr>
        <w:tc>
          <w:tcPr>
            <w:tcW w:w="500" w:type="pct"/>
            <w:shd w:val="clear" w:color="auto" w:fill="D4875A"/>
            <w:tcMar>
              <w:top w:w="36" w:type="dxa"/>
              <w:left w:w="80" w:type="dxa"/>
              <w:bottom w:w="36" w:type="dxa"/>
              <w:right w:w="80" w:type="dxa"/>
            </w:tcMar>
            <w:vAlign w:val="center"/>
          </w:tcPr>
          <w:p w14:paraId="25C49722" w14:textId="77777777" w:rsidR="0042033D" w:rsidRDefault="00000000">
            <w:pPr>
              <w:spacing w:line="232" w:lineRule="auto"/>
              <w:jc w:val="center"/>
              <w:rPr>
                <w:sz w:val="24"/>
                <w:szCs w:val="24"/>
              </w:rPr>
            </w:pPr>
            <w:r>
              <w:rPr>
                <w:b/>
                <w:bCs/>
                <w:color w:val="FFFFFF"/>
                <w:sz w:val="24"/>
                <w:szCs w:val="24"/>
              </w:rPr>
              <w:t>Étape</w:t>
            </w:r>
          </w:p>
        </w:tc>
        <w:tc>
          <w:tcPr>
            <w:tcW w:w="3000" w:type="pct"/>
            <w:shd w:val="clear" w:color="auto" w:fill="D4875A"/>
            <w:tcMar>
              <w:top w:w="36" w:type="dxa"/>
              <w:left w:w="80" w:type="dxa"/>
              <w:bottom w:w="36" w:type="dxa"/>
              <w:right w:w="80" w:type="dxa"/>
            </w:tcMar>
            <w:vAlign w:val="center"/>
          </w:tcPr>
          <w:p w14:paraId="01E6B91D" w14:textId="77777777" w:rsidR="0042033D" w:rsidRDefault="00000000">
            <w:pPr>
              <w:spacing w:line="232" w:lineRule="auto"/>
              <w:jc w:val="center"/>
              <w:rPr>
                <w:sz w:val="24"/>
                <w:szCs w:val="24"/>
              </w:rPr>
            </w:pPr>
            <w:r>
              <w:rPr>
                <w:b/>
                <w:bCs/>
                <w:color w:val="FFFFFF"/>
                <w:sz w:val="24"/>
                <w:szCs w:val="24"/>
              </w:rPr>
              <w:t>Description</w:t>
            </w:r>
          </w:p>
        </w:tc>
        <w:tc>
          <w:tcPr>
            <w:tcW w:w="1500" w:type="pct"/>
            <w:shd w:val="clear" w:color="auto" w:fill="D4875A"/>
            <w:tcMar>
              <w:top w:w="36" w:type="dxa"/>
              <w:left w:w="80" w:type="dxa"/>
              <w:bottom w:w="36" w:type="dxa"/>
              <w:right w:w="80" w:type="dxa"/>
            </w:tcMar>
            <w:vAlign w:val="center"/>
          </w:tcPr>
          <w:p w14:paraId="0B584523" w14:textId="77777777" w:rsidR="0042033D" w:rsidRDefault="00000000">
            <w:pPr>
              <w:spacing w:line="232" w:lineRule="auto"/>
              <w:jc w:val="center"/>
              <w:rPr>
                <w:sz w:val="24"/>
                <w:szCs w:val="24"/>
              </w:rPr>
            </w:pPr>
            <w:r>
              <w:rPr>
                <w:b/>
                <w:bCs/>
                <w:color w:val="FFFFFF"/>
                <w:sz w:val="24"/>
                <w:szCs w:val="24"/>
              </w:rPr>
              <w:t>Indicateur clé</w:t>
            </w:r>
          </w:p>
        </w:tc>
      </w:tr>
      <w:tr w:rsidR="0042033D" w14:paraId="2990F53A" w14:textId="77777777">
        <w:trPr>
          <w:cantSplit/>
        </w:trPr>
        <w:tc>
          <w:tcPr>
            <w:tcW w:w="500" w:type="pct"/>
            <w:tcMar>
              <w:top w:w="28" w:type="dxa"/>
              <w:left w:w="80" w:type="dxa"/>
              <w:bottom w:w="28" w:type="dxa"/>
              <w:right w:w="80" w:type="dxa"/>
            </w:tcMar>
            <w:vAlign w:val="center"/>
          </w:tcPr>
          <w:p w14:paraId="277CA636" w14:textId="77777777" w:rsidR="0042033D" w:rsidRDefault="00000000">
            <w:pPr>
              <w:spacing w:line="232" w:lineRule="auto"/>
              <w:jc w:val="center"/>
              <w:rPr>
                <w:sz w:val="24"/>
                <w:szCs w:val="24"/>
              </w:rPr>
            </w:pPr>
            <w:r>
              <w:rPr>
                <w:sz w:val="24"/>
                <w:szCs w:val="24"/>
              </w:rPr>
              <w:t>1</w:t>
            </w:r>
          </w:p>
        </w:tc>
        <w:tc>
          <w:tcPr>
            <w:tcW w:w="3000" w:type="pct"/>
            <w:tcMar>
              <w:top w:w="28" w:type="dxa"/>
              <w:left w:w="80" w:type="dxa"/>
              <w:bottom w:w="28" w:type="dxa"/>
              <w:right w:w="80" w:type="dxa"/>
            </w:tcMar>
            <w:vAlign w:val="center"/>
          </w:tcPr>
          <w:p w14:paraId="74013018" w14:textId="77777777" w:rsidR="0042033D" w:rsidRDefault="00000000">
            <w:pPr>
              <w:spacing w:line="232" w:lineRule="auto"/>
              <w:rPr>
                <w:sz w:val="24"/>
                <w:szCs w:val="24"/>
              </w:rPr>
            </w:pPr>
            <w:r>
              <w:rPr>
                <w:sz w:val="24"/>
                <w:szCs w:val="24"/>
              </w:rPr>
              <w:t>Approvisionnement en substrats organiques</w:t>
            </w:r>
          </w:p>
        </w:tc>
        <w:tc>
          <w:tcPr>
            <w:tcW w:w="1500" w:type="pct"/>
            <w:tcMar>
              <w:top w:w="28" w:type="dxa"/>
              <w:left w:w="80" w:type="dxa"/>
              <w:bottom w:w="28" w:type="dxa"/>
              <w:right w:w="80" w:type="dxa"/>
            </w:tcMar>
            <w:vAlign w:val="center"/>
          </w:tcPr>
          <w:p w14:paraId="6C9EF7AF" w14:textId="77777777" w:rsidR="0042033D" w:rsidRDefault="00000000">
            <w:pPr>
              <w:spacing w:line="232" w:lineRule="auto"/>
              <w:rPr>
                <w:sz w:val="24"/>
                <w:szCs w:val="24"/>
              </w:rPr>
            </w:pPr>
            <w:r>
              <w:rPr>
                <w:sz w:val="24"/>
                <w:szCs w:val="24"/>
              </w:rPr>
              <w:t>—</w:t>
            </w:r>
          </w:p>
        </w:tc>
      </w:tr>
      <w:tr w:rsidR="0042033D" w14:paraId="31999295" w14:textId="77777777">
        <w:trPr>
          <w:cantSplit/>
        </w:trPr>
        <w:tc>
          <w:tcPr>
            <w:tcW w:w="500" w:type="pct"/>
            <w:tcMar>
              <w:top w:w="28" w:type="dxa"/>
              <w:left w:w="80" w:type="dxa"/>
              <w:bottom w:w="28" w:type="dxa"/>
              <w:right w:w="80" w:type="dxa"/>
            </w:tcMar>
            <w:vAlign w:val="center"/>
          </w:tcPr>
          <w:p w14:paraId="391C8744" w14:textId="77777777" w:rsidR="0042033D" w:rsidRDefault="00000000">
            <w:pPr>
              <w:spacing w:line="232" w:lineRule="auto"/>
              <w:jc w:val="center"/>
              <w:rPr>
                <w:sz w:val="24"/>
                <w:szCs w:val="24"/>
              </w:rPr>
            </w:pPr>
            <w:r>
              <w:rPr>
                <w:sz w:val="24"/>
                <w:szCs w:val="24"/>
              </w:rPr>
              <w:t>2</w:t>
            </w:r>
          </w:p>
        </w:tc>
        <w:tc>
          <w:tcPr>
            <w:tcW w:w="3000" w:type="pct"/>
            <w:tcMar>
              <w:top w:w="28" w:type="dxa"/>
              <w:left w:w="80" w:type="dxa"/>
              <w:bottom w:w="28" w:type="dxa"/>
              <w:right w:w="80" w:type="dxa"/>
            </w:tcMar>
            <w:vAlign w:val="center"/>
          </w:tcPr>
          <w:p w14:paraId="167E0356" w14:textId="77777777" w:rsidR="0042033D" w:rsidRDefault="00000000">
            <w:pPr>
              <w:spacing w:line="232" w:lineRule="auto"/>
              <w:rPr>
                <w:sz w:val="24"/>
                <w:szCs w:val="24"/>
              </w:rPr>
            </w:pPr>
            <w:r>
              <w:rPr>
                <w:sz w:val="24"/>
                <w:szCs w:val="24"/>
              </w:rPr>
              <w:t>Collecte et transport</w:t>
            </w:r>
          </w:p>
        </w:tc>
        <w:tc>
          <w:tcPr>
            <w:tcW w:w="1500" w:type="pct"/>
            <w:tcMar>
              <w:top w:w="28" w:type="dxa"/>
              <w:left w:w="80" w:type="dxa"/>
              <w:bottom w:w="28" w:type="dxa"/>
              <w:right w:w="80" w:type="dxa"/>
            </w:tcMar>
            <w:vAlign w:val="center"/>
          </w:tcPr>
          <w:p w14:paraId="7B52C697" w14:textId="77777777" w:rsidR="0042033D" w:rsidRDefault="00000000">
            <w:pPr>
              <w:spacing w:line="232" w:lineRule="auto"/>
              <w:rPr>
                <w:sz w:val="24"/>
                <w:szCs w:val="24"/>
              </w:rPr>
            </w:pPr>
            <w:r>
              <w:rPr>
                <w:sz w:val="24"/>
                <w:szCs w:val="24"/>
              </w:rPr>
              <w:t>—</w:t>
            </w:r>
          </w:p>
        </w:tc>
      </w:tr>
      <w:tr w:rsidR="0042033D" w14:paraId="76C70D81" w14:textId="77777777">
        <w:trPr>
          <w:cantSplit/>
        </w:trPr>
        <w:tc>
          <w:tcPr>
            <w:tcW w:w="500" w:type="pct"/>
            <w:tcMar>
              <w:top w:w="28" w:type="dxa"/>
              <w:left w:w="80" w:type="dxa"/>
              <w:bottom w:w="28" w:type="dxa"/>
              <w:right w:w="80" w:type="dxa"/>
            </w:tcMar>
            <w:vAlign w:val="center"/>
          </w:tcPr>
          <w:p w14:paraId="6B991E31" w14:textId="77777777" w:rsidR="0042033D" w:rsidRDefault="00000000">
            <w:pPr>
              <w:spacing w:line="232" w:lineRule="auto"/>
              <w:jc w:val="center"/>
              <w:rPr>
                <w:sz w:val="24"/>
                <w:szCs w:val="24"/>
              </w:rPr>
            </w:pPr>
            <w:r>
              <w:rPr>
                <w:sz w:val="24"/>
                <w:szCs w:val="24"/>
              </w:rPr>
              <w:t>3</w:t>
            </w:r>
          </w:p>
        </w:tc>
        <w:tc>
          <w:tcPr>
            <w:tcW w:w="3000" w:type="pct"/>
            <w:tcMar>
              <w:top w:w="28" w:type="dxa"/>
              <w:left w:w="80" w:type="dxa"/>
              <w:bottom w:w="28" w:type="dxa"/>
              <w:right w:w="80" w:type="dxa"/>
            </w:tcMar>
            <w:vAlign w:val="center"/>
          </w:tcPr>
          <w:p w14:paraId="6C282340" w14:textId="77777777" w:rsidR="0042033D" w:rsidRDefault="00000000">
            <w:pPr>
              <w:spacing w:line="232" w:lineRule="auto"/>
              <w:rPr>
                <w:sz w:val="24"/>
                <w:szCs w:val="24"/>
              </w:rPr>
            </w:pPr>
            <w:r>
              <w:rPr>
                <w:sz w:val="24"/>
                <w:szCs w:val="24"/>
              </w:rPr>
              <w:t>Réception et contrôle qualité des substrats</w:t>
            </w:r>
          </w:p>
        </w:tc>
        <w:tc>
          <w:tcPr>
            <w:tcW w:w="1500" w:type="pct"/>
            <w:tcMar>
              <w:top w:w="28" w:type="dxa"/>
              <w:left w:w="80" w:type="dxa"/>
              <w:bottom w:w="28" w:type="dxa"/>
              <w:right w:w="80" w:type="dxa"/>
            </w:tcMar>
            <w:vAlign w:val="center"/>
          </w:tcPr>
          <w:p w14:paraId="5ADD4C5A" w14:textId="77777777" w:rsidR="0042033D" w:rsidRDefault="00000000">
            <w:pPr>
              <w:spacing w:line="232" w:lineRule="auto"/>
              <w:rPr>
                <w:sz w:val="24"/>
                <w:szCs w:val="24"/>
              </w:rPr>
            </w:pPr>
            <w:r>
              <w:rPr>
                <w:sz w:val="24"/>
                <w:szCs w:val="24"/>
              </w:rPr>
              <w:t>—</w:t>
            </w:r>
          </w:p>
        </w:tc>
      </w:tr>
      <w:tr w:rsidR="0042033D" w14:paraId="40B1202A" w14:textId="77777777">
        <w:trPr>
          <w:cantSplit/>
        </w:trPr>
        <w:tc>
          <w:tcPr>
            <w:tcW w:w="500" w:type="pct"/>
            <w:tcMar>
              <w:top w:w="28" w:type="dxa"/>
              <w:left w:w="80" w:type="dxa"/>
              <w:bottom w:w="28" w:type="dxa"/>
              <w:right w:w="80" w:type="dxa"/>
            </w:tcMar>
            <w:vAlign w:val="center"/>
          </w:tcPr>
          <w:p w14:paraId="4D5E14E2" w14:textId="77777777" w:rsidR="0042033D" w:rsidRDefault="00000000">
            <w:pPr>
              <w:spacing w:line="232" w:lineRule="auto"/>
              <w:jc w:val="center"/>
              <w:rPr>
                <w:sz w:val="24"/>
                <w:szCs w:val="24"/>
              </w:rPr>
            </w:pPr>
            <w:r>
              <w:rPr>
                <w:sz w:val="24"/>
                <w:szCs w:val="24"/>
              </w:rPr>
              <w:t>4</w:t>
            </w:r>
          </w:p>
        </w:tc>
        <w:tc>
          <w:tcPr>
            <w:tcW w:w="3000" w:type="pct"/>
            <w:tcMar>
              <w:top w:w="28" w:type="dxa"/>
              <w:left w:w="80" w:type="dxa"/>
              <w:bottom w:w="28" w:type="dxa"/>
              <w:right w:w="80" w:type="dxa"/>
            </w:tcMar>
            <w:vAlign w:val="center"/>
          </w:tcPr>
          <w:p w14:paraId="2D54083B" w14:textId="77777777" w:rsidR="0042033D" w:rsidRDefault="00000000">
            <w:pPr>
              <w:spacing w:line="232" w:lineRule="auto"/>
              <w:rPr>
                <w:sz w:val="24"/>
                <w:szCs w:val="24"/>
              </w:rPr>
            </w:pPr>
            <w:r>
              <w:rPr>
                <w:sz w:val="24"/>
                <w:szCs w:val="24"/>
              </w:rPr>
              <w:t>Préparation (broyage, formulation du mélange)</w:t>
            </w:r>
          </w:p>
        </w:tc>
        <w:tc>
          <w:tcPr>
            <w:tcW w:w="1500" w:type="pct"/>
            <w:tcMar>
              <w:top w:w="28" w:type="dxa"/>
              <w:left w:w="80" w:type="dxa"/>
              <w:bottom w:w="28" w:type="dxa"/>
              <w:right w:w="80" w:type="dxa"/>
            </w:tcMar>
            <w:vAlign w:val="center"/>
          </w:tcPr>
          <w:p w14:paraId="0BCC8904" w14:textId="77777777" w:rsidR="0042033D" w:rsidRDefault="00000000">
            <w:pPr>
              <w:spacing w:line="232" w:lineRule="auto"/>
              <w:rPr>
                <w:sz w:val="24"/>
                <w:szCs w:val="24"/>
              </w:rPr>
            </w:pPr>
            <w:r>
              <w:rPr>
                <w:sz w:val="24"/>
                <w:szCs w:val="24"/>
              </w:rPr>
              <w:t>—</w:t>
            </w:r>
          </w:p>
        </w:tc>
      </w:tr>
      <w:tr w:rsidR="0042033D" w14:paraId="1F3A8C1D" w14:textId="77777777">
        <w:trPr>
          <w:cantSplit/>
        </w:trPr>
        <w:tc>
          <w:tcPr>
            <w:tcW w:w="500" w:type="pct"/>
            <w:tcMar>
              <w:top w:w="28" w:type="dxa"/>
              <w:left w:w="80" w:type="dxa"/>
              <w:bottom w:w="28" w:type="dxa"/>
              <w:right w:w="80" w:type="dxa"/>
            </w:tcMar>
            <w:vAlign w:val="center"/>
          </w:tcPr>
          <w:p w14:paraId="662BD08F" w14:textId="77777777" w:rsidR="0042033D" w:rsidRDefault="00000000">
            <w:pPr>
              <w:spacing w:line="232" w:lineRule="auto"/>
              <w:jc w:val="center"/>
              <w:rPr>
                <w:sz w:val="24"/>
                <w:szCs w:val="24"/>
              </w:rPr>
            </w:pPr>
            <w:r>
              <w:rPr>
                <w:sz w:val="24"/>
                <w:szCs w:val="24"/>
              </w:rPr>
              <w:t>5</w:t>
            </w:r>
          </w:p>
        </w:tc>
        <w:tc>
          <w:tcPr>
            <w:tcW w:w="3000" w:type="pct"/>
            <w:tcMar>
              <w:top w:w="28" w:type="dxa"/>
              <w:left w:w="80" w:type="dxa"/>
              <w:bottom w:w="28" w:type="dxa"/>
              <w:right w:w="80" w:type="dxa"/>
            </w:tcMar>
            <w:vAlign w:val="center"/>
          </w:tcPr>
          <w:p w14:paraId="39ECEDF8" w14:textId="77777777" w:rsidR="0042033D" w:rsidRDefault="00000000">
            <w:pPr>
              <w:spacing w:line="232" w:lineRule="auto"/>
              <w:rPr>
                <w:sz w:val="24"/>
                <w:szCs w:val="24"/>
              </w:rPr>
            </w:pPr>
            <w:r>
              <w:rPr>
                <w:sz w:val="24"/>
                <w:szCs w:val="24"/>
              </w:rPr>
              <w:t>Inoculation par les larves de BSF</w:t>
            </w:r>
          </w:p>
        </w:tc>
        <w:tc>
          <w:tcPr>
            <w:tcW w:w="1500" w:type="pct"/>
            <w:tcMar>
              <w:top w:w="28" w:type="dxa"/>
              <w:left w:w="80" w:type="dxa"/>
              <w:bottom w:w="28" w:type="dxa"/>
              <w:right w:w="80" w:type="dxa"/>
            </w:tcMar>
            <w:vAlign w:val="center"/>
          </w:tcPr>
          <w:p w14:paraId="51720BC6" w14:textId="77777777" w:rsidR="0042033D" w:rsidRDefault="00000000">
            <w:pPr>
              <w:spacing w:line="232" w:lineRule="auto"/>
              <w:rPr>
                <w:sz w:val="24"/>
                <w:szCs w:val="24"/>
              </w:rPr>
            </w:pPr>
            <w:r>
              <w:rPr>
                <w:sz w:val="24"/>
                <w:szCs w:val="24"/>
              </w:rPr>
              <w:t>5 DOL — inoculation</w:t>
            </w:r>
          </w:p>
        </w:tc>
      </w:tr>
      <w:tr w:rsidR="0042033D" w14:paraId="273868B1" w14:textId="77777777">
        <w:trPr>
          <w:cantSplit/>
        </w:trPr>
        <w:tc>
          <w:tcPr>
            <w:tcW w:w="500" w:type="pct"/>
            <w:tcMar>
              <w:top w:w="28" w:type="dxa"/>
              <w:left w:w="80" w:type="dxa"/>
              <w:bottom w:w="28" w:type="dxa"/>
              <w:right w:w="80" w:type="dxa"/>
            </w:tcMar>
            <w:vAlign w:val="center"/>
          </w:tcPr>
          <w:p w14:paraId="241DFE91" w14:textId="77777777" w:rsidR="0042033D" w:rsidRDefault="00000000">
            <w:pPr>
              <w:spacing w:line="232" w:lineRule="auto"/>
              <w:jc w:val="center"/>
              <w:rPr>
                <w:sz w:val="24"/>
                <w:szCs w:val="24"/>
              </w:rPr>
            </w:pPr>
            <w:r>
              <w:rPr>
                <w:sz w:val="24"/>
                <w:szCs w:val="24"/>
              </w:rPr>
              <w:t>6</w:t>
            </w:r>
          </w:p>
        </w:tc>
        <w:tc>
          <w:tcPr>
            <w:tcW w:w="3000" w:type="pct"/>
            <w:tcMar>
              <w:top w:w="28" w:type="dxa"/>
              <w:left w:w="80" w:type="dxa"/>
              <w:bottom w:w="28" w:type="dxa"/>
              <w:right w:w="80" w:type="dxa"/>
            </w:tcMar>
            <w:vAlign w:val="center"/>
          </w:tcPr>
          <w:p w14:paraId="2DBBC5D6" w14:textId="77777777" w:rsidR="0042033D" w:rsidRDefault="00000000">
            <w:pPr>
              <w:spacing w:line="232" w:lineRule="auto"/>
              <w:rPr>
                <w:sz w:val="24"/>
                <w:szCs w:val="24"/>
              </w:rPr>
            </w:pPr>
            <w:r>
              <w:rPr>
                <w:sz w:val="24"/>
                <w:szCs w:val="24"/>
              </w:rPr>
              <w:t>Bioconversion (croissance larvaire)</w:t>
            </w:r>
          </w:p>
        </w:tc>
        <w:tc>
          <w:tcPr>
            <w:tcW w:w="1500" w:type="pct"/>
            <w:tcMar>
              <w:top w:w="28" w:type="dxa"/>
              <w:left w:w="80" w:type="dxa"/>
              <w:bottom w:w="28" w:type="dxa"/>
              <w:right w:w="80" w:type="dxa"/>
            </w:tcMar>
            <w:vAlign w:val="center"/>
          </w:tcPr>
          <w:p w14:paraId="17A16F52" w14:textId="77777777" w:rsidR="0042033D" w:rsidRDefault="00000000">
            <w:pPr>
              <w:spacing w:line="232" w:lineRule="auto"/>
              <w:rPr>
                <w:sz w:val="24"/>
                <w:szCs w:val="24"/>
              </w:rPr>
            </w:pPr>
            <w:r>
              <w:rPr>
                <w:sz w:val="24"/>
                <w:szCs w:val="24"/>
              </w:rPr>
              <w:t>14 jours de cycle</w:t>
            </w:r>
          </w:p>
        </w:tc>
      </w:tr>
      <w:tr w:rsidR="0042033D" w14:paraId="48EB7481" w14:textId="77777777">
        <w:trPr>
          <w:cantSplit/>
        </w:trPr>
        <w:tc>
          <w:tcPr>
            <w:tcW w:w="500" w:type="pct"/>
            <w:tcMar>
              <w:top w:w="28" w:type="dxa"/>
              <w:left w:w="80" w:type="dxa"/>
              <w:bottom w:w="28" w:type="dxa"/>
              <w:right w:w="80" w:type="dxa"/>
            </w:tcMar>
            <w:vAlign w:val="center"/>
          </w:tcPr>
          <w:p w14:paraId="3A152837" w14:textId="77777777" w:rsidR="0042033D" w:rsidRDefault="00000000">
            <w:pPr>
              <w:spacing w:line="232" w:lineRule="auto"/>
              <w:jc w:val="center"/>
              <w:rPr>
                <w:sz w:val="24"/>
                <w:szCs w:val="24"/>
              </w:rPr>
            </w:pPr>
            <w:r>
              <w:rPr>
                <w:sz w:val="24"/>
                <w:szCs w:val="24"/>
              </w:rPr>
              <w:t>7</w:t>
            </w:r>
          </w:p>
        </w:tc>
        <w:tc>
          <w:tcPr>
            <w:tcW w:w="3000" w:type="pct"/>
            <w:tcMar>
              <w:top w:w="28" w:type="dxa"/>
              <w:left w:w="80" w:type="dxa"/>
              <w:bottom w:w="28" w:type="dxa"/>
              <w:right w:w="80" w:type="dxa"/>
            </w:tcMar>
            <w:vAlign w:val="center"/>
          </w:tcPr>
          <w:p w14:paraId="58B49E9F" w14:textId="77777777" w:rsidR="0042033D" w:rsidRDefault="00000000">
            <w:pPr>
              <w:spacing w:line="232" w:lineRule="auto"/>
              <w:rPr>
                <w:sz w:val="24"/>
                <w:szCs w:val="24"/>
              </w:rPr>
            </w:pPr>
            <w:r>
              <w:rPr>
                <w:sz w:val="24"/>
                <w:szCs w:val="24"/>
              </w:rPr>
              <w:t>Séparation larves / frass (criblage)</w:t>
            </w:r>
          </w:p>
        </w:tc>
        <w:tc>
          <w:tcPr>
            <w:tcW w:w="1500" w:type="pct"/>
            <w:tcMar>
              <w:top w:w="28" w:type="dxa"/>
              <w:left w:w="80" w:type="dxa"/>
              <w:bottom w:w="28" w:type="dxa"/>
              <w:right w:w="80" w:type="dxa"/>
            </w:tcMar>
            <w:vAlign w:val="center"/>
          </w:tcPr>
          <w:p w14:paraId="24360F08" w14:textId="77777777" w:rsidR="0042033D" w:rsidRDefault="00000000">
            <w:pPr>
              <w:spacing w:line="232" w:lineRule="auto"/>
              <w:rPr>
                <w:sz w:val="24"/>
                <w:szCs w:val="24"/>
              </w:rPr>
            </w:pPr>
            <w:r>
              <w:rPr>
                <w:sz w:val="24"/>
                <w:szCs w:val="24"/>
              </w:rPr>
              <w:t>Criblage frass/larves</w:t>
            </w:r>
          </w:p>
        </w:tc>
      </w:tr>
      <w:tr w:rsidR="0042033D" w14:paraId="461F4148" w14:textId="77777777">
        <w:trPr>
          <w:cantSplit/>
        </w:trPr>
        <w:tc>
          <w:tcPr>
            <w:tcW w:w="500" w:type="pct"/>
            <w:tcMar>
              <w:top w:w="28" w:type="dxa"/>
              <w:left w:w="80" w:type="dxa"/>
              <w:bottom w:w="28" w:type="dxa"/>
              <w:right w:w="80" w:type="dxa"/>
            </w:tcMar>
            <w:vAlign w:val="center"/>
          </w:tcPr>
          <w:p w14:paraId="0BE16776" w14:textId="77777777" w:rsidR="0042033D" w:rsidRDefault="00000000">
            <w:pPr>
              <w:spacing w:line="232" w:lineRule="auto"/>
              <w:jc w:val="center"/>
              <w:rPr>
                <w:sz w:val="24"/>
                <w:szCs w:val="24"/>
              </w:rPr>
            </w:pPr>
            <w:r>
              <w:rPr>
                <w:sz w:val="24"/>
                <w:szCs w:val="24"/>
              </w:rPr>
              <w:t>8</w:t>
            </w:r>
          </w:p>
        </w:tc>
        <w:tc>
          <w:tcPr>
            <w:tcW w:w="3000" w:type="pct"/>
            <w:tcMar>
              <w:top w:w="28" w:type="dxa"/>
              <w:left w:w="80" w:type="dxa"/>
              <w:bottom w:w="28" w:type="dxa"/>
              <w:right w:w="80" w:type="dxa"/>
            </w:tcMar>
            <w:vAlign w:val="center"/>
          </w:tcPr>
          <w:p w14:paraId="614AD13D" w14:textId="77777777" w:rsidR="0042033D" w:rsidRDefault="00000000">
            <w:pPr>
              <w:spacing w:line="232" w:lineRule="auto"/>
              <w:rPr>
                <w:sz w:val="24"/>
                <w:szCs w:val="24"/>
              </w:rPr>
            </w:pPr>
            <w:r>
              <w:rPr>
                <w:sz w:val="24"/>
                <w:szCs w:val="24"/>
              </w:rPr>
              <w:t>Séchage et transformation (larves séchées, frass conditionné)</w:t>
            </w:r>
          </w:p>
        </w:tc>
        <w:tc>
          <w:tcPr>
            <w:tcW w:w="1500" w:type="pct"/>
            <w:tcMar>
              <w:top w:w="28" w:type="dxa"/>
              <w:left w:w="80" w:type="dxa"/>
              <w:bottom w:w="28" w:type="dxa"/>
              <w:right w:w="80" w:type="dxa"/>
            </w:tcMar>
            <w:vAlign w:val="center"/>
          </w:tcPr>
          <w:p w14:paraId="0E49F3EB" w14:textId="77777777" w:rsidR="0042033D" w:rsidRDefault="00000000">
            <w:pPr>
              <w:spacing w:line="232" w:lineRule="auto"/>
              <w:rPr>
                <w:sz w:val="24"/>
                <w:szCs w:val="24"/>
              </w:rPr>
            </w:pPr>
            <w:r>
              <w:rPr>
                <w:sz w:val="24"/>
                <w:szCs w:val="24"/>
              </w:rPr>
              <w:t>Ligne de séchage</w:t>
            </w:r>
          </w:p>
        </w:tc>
      </w:tr>
      <w:tr w:rsidR="0042033D" w14:paraId="41E79DDF" w14:textId="77777777">
        <w:trPr>
          <w:cantSplit/>
        </w:trPr>
        <w:tc>
          <w:tcPr>
            <w:tcW w:w="500" w:type="pct"/>
            <w:tcMar>
              <w:top w:w="28" w:type="dxa"/>
              <w:left w:w="80" w:type="dxa"/>
              <w:bottom w:w="28" w:type="dxa"/>
              <w:right w:w="80" w:type="dxa"/>
            </w:tcMar>
            <w:vAlign w:val="center"/>
          </w:tcPr>
          <w:p w14:paraId="381848DD" w14:textId="77777777" w:rsidR="0042033D" w:rsidRDefault="00000000">
            <w:pPr>
              <w:spacing w:line="232" w:lineRule="auto"/>
              <w:jc w:val="center"/>
              <w:rPr>
                <w:sz w:val="24"/>
                <w:szCs w:val="24"/>
              </w:rPr>
            </w:pPr>
            <w:r>
              <w:rPr>
                <w:sz w:val="24"/>
                <w:szCs w:val="24"/>
              </w:rPr>
              <w:t>9</w:t>
            </w:r>
          </w:p>
        </w:tc>
        <w:tc>
          <w:tcPr>
            <w:tcW w:w="3000" w:type="pct"/>
            <w:tcMar>
              <w:top w:w="28" w:type="dxa"/>
              <w:left w:w="80" w:type="dxa"/>
              <w:bottom w:w="28" w:type="dxa"/>
              <w:right w:w="80" w:type="dxa"/>
            </w:tcMar>
            <w:vAlign w:val="center"/>
          </w:tcPr>
          <w:p w14:paraId="16B01ABB" w14:textId="77777777" w:rsidR="0042033D" w:rsidRDefault="00000000">
            <w:pPr>
              <w:spacing w:line="232" w:lineRule="auto"/>
              <w:rPr>
                <w:sz w:val="24"/>
                <w:szCs w:val="24"/>
              </w:rPr>
            </w:pPr>
            <w:r>
              <w:rPr>
                <w:sz w:val="24"/>
                <w:szCs w:val="24"/>
              </w:rPr>
              <w:t>Contrôle qualité (NPK, humidité, pathogènes)</w:t>
            </w:r>
          </w:p>
        </w:tc>
        <w:tc>
          <w:tcPr>
            <w:tcW w:w="1500" w:type="pct"/>
            <w:tcMar>
              <w:top w:w="28" w:type="dxa"/>
              <w:left w:w="80" w:type="dxa"/>
              <w:bottom w:w="28" w:type="dxa"/>
              <w:right w:w="80" w:type="dxa"/>
            </w:tcMar>
            <w:vAlign w:val="center"/>
          </w:tcPr>
          <w:p w14:paraId="7CFE469B" w14:textId="77777777" w:rsidR="0042033D" w:rsidRDefault="00000000">
            <w:pPr>
              <w:spacing w:line="232" w:lineRule="auto"/>
              <w:rPr>
                <w:sz w:val="24"/>
                <w:szCs w:val="24"/>
              </w:rPr>
            </w:pPr>
            <w:r>
              <w:rPr>
                <w:sz w:val="24"/>
                <w:szCs w:val="24"/>
              </w:rPr>
              <w:t>Analyses lot par lot</w:t>
            </w:r>
          </w:p>
        </w:tc>
      </w:tr>
      <w:tr w:rsidR="0042033D" w14:paraId="13367075" w14:textId="77777777">
        <w:trPr>
          <w:cantSplit/>
        </w:trPr>
        <w:tc>
          <w:tcPr>
            <w:tcW w:w="500" w:type="pct"/>
            <w:tcMar>
              <w:top w:w="28" w:type="dxa"/>
              <w:left w:w="80" w:type="dxa"/>
              <w:bottom w:w="28" w:type="dxa"/>
              <w:right w:w="80" w:type="dxa"/>
            </w:tcMar>
            <w:vAlign w:val="center"/>
          </w:tcPr>
          <w:p w14:paraId="6DA04DB3" w14:textId="77777777" w:rsidR="0042033D" w:rsidRDefault="00000000">
            <w:pPr>
              <w:spacing w:line="232" w:lineRule="auto"/>
              <w:jc w:val="center"/>
              <w:rPr>
                <w:sz w:val="24"/>
                <w:szCs w:val="24"/>
              </w:rPr>
            </w:pPr>
            <w:r>
              <w:rPr>
                <w:sz w:val="24"/>
                <w:szCs w:val="24"/>
              </w:rPr>
              <w:t>10</w:t>
            </w:r>
          </w:p>
        </w:tc>
        <w:tc>
          <w:tcPr>
            <w:tcW w:w="3000" w:type="pct"/>
            <w:tcMar>
              <w:top w:w="28" w:type="dxa"/>
              <w:left w:w="80" w:type="dxa"/>
              <w:bottom w:w="28" w:type="dxa"/>
              <w:right w:w="80" w:type="dxa"/>
            </w:tcMar>
            <w:vAlign w:val="center"/>
          </w:tcPr>
          <w:p w14:paraId="39D1B620" w14:textId="77777777" w:rsidR="0042033D" w:rsidRDefault="00000000">
            <w:pPr>
              <w:spacing w:line="232" w:lineRule="auto"/>
              <w:rPr>
                <w:sz w:val="24"/>
                <w:szCs w:val="24"/>
              </w:rPr>
            </w:pPr>
            <w:r>
              <w:rPr>
                <w:sz w:val="24"/>
                <w:szCs w:val="24"/>
              </w:rPr>
              <w:t>Conditionnement et stockage</w:t>
            </w:r>
          </w:p>
        </w:tc>
        <w:tc>
          <w:tcPr>
            <w:tcW w:w="1500" w:type="pct"/>
            <w:tcMar>
              <w:top w:w="28" w:type="dxa"/>
              <w:left w:w="80" w:type="dxa"/>
              <w:bottom w:w="28" w:type="dxa"/>
              <w:right w:w="80" w:type="dxa"/>
            </w:tcMar>
            <w:vAlign w:val="center"/>
          </w:tcPr>
          <w:p w14:paraId="3D44CB42" w14:textId="77777777" w:rsidR="0042033D" w:rsidRDefault="00000000">
            <w:pPr>
              <w:spacing w:line="232" w:lineRule="auto"/>
              <w:rPr>
                <w:sz w:val="24"/>
                <w:szCs w:val="24"/>
              </w:rPr>
            </w:pPr>
            <w:r>
              <w:rPr>
                <w:sz w:val="24"/>
                <w:szCs w:val="24"/>
              </w:rPr>
              <w:t>—</w:t>
            </w:r>
          </w:p>
        </w:tc>
      </w:tr>
      <w:tr w:rsidR="0042033D" w14:paraId="10FD7C72" w14:textId="77777777">
        <w:trPr>
          <w:cantSplit/>
        </w:trPr>
        <w:tc>
          <w:tcPr>
            <w:tcW w:w="500" w:type="pct"/>
            <w:tcMar>
              <w:top w:w="28" w:type="dxa"/>
              <w:left w:w="80" w:type="dxa"/>
              <w:bottom w:w="28" w:type="dxa"/>
              <w:right w:w="80" w:type="dxa"/>
            </w:tcMar>
            <w:vAlign w:val="center"/>
          </w:tcPr>
          <w:p w14:paraId="2A84E4F0" w14:textId="77777777" w:rsidR="0042033D" w:rsidRDefault="00000000">
            <w:pPr>
              <w:spacing w:line="232" w:lineRule="auto"/>
              <w:jc w:val="center"/>
              <w:rPr>
                <w:sz w:val="24"/>
                <w:szCs w:val="24"/>
              </w:rPr>
            </w:pPr>
            <w:r>
              <w:rPr>
                <w:sz w:val="24"/>
                <w:szCs w:val="24"/>
              </w:rPr>
              <w:t>11</w:t>
            </w:r>
          </w:p>
        </w:tc>
        <w:tc>
          <w:tcPr>
            <w:tcW w:w="3000" w:type="pct"/>
            <w:tcMar>
              <w:top w:w="28" w:type="dxa"/>
              <w:left w:w="80" w:type="dxa"/>
              <w:bottom w:w="28" w:type="dxa"/>
              <w:right w:w="80" w:type="dxa"/>
            </w:tcMar>
            <w:vAlign w:val="center"/>
          </w:tcPr>
          <w:p w14:paraId="474F9A03" w14:textId="77777777" w:rsidR="0042033D" w:rsidRDefault="00000000">
            <w:pPr>
              <w:spacing w:line="232" w:lineRule="auto"/>
              <w:rPr>
                <w:sz w:val="24"/>
                <w:szCs w:val="24"/>
              </w:rPr>
            </w:pPr>
            <w:r>
              <w:rPr>
                <w:sz w:val="24"/>
                <w:szCs w:val="24"/>
              </w:rPr>
              <w:t>Distribution B2B/B2C</w:t>
            </w:r>
          </w:p>
        </w:tc>
        <w:tc>
          <w:tcPr>
            <w:tcW w:w="1500" w:type="pct"/>
            <w:tcMar>
              <w:top w:w="28" w:type="dxa"/>
              <w:left w:w="80" w:type="dxa"/>
              <w:bottom w:w="28" w:type="dxa"/>
              <w:right w:w="80" w:type="dxa"/>
            </w:tcMar>
            <w:vAlign w:val="center"/>
          </w:tcPr>
          <w:p w14:paraId="53D4423A" w14:textId="77777777" w:rsidR="0042033D" w:rsidRDefault="00000000">
            <w:pPr>
              <w:spacing w:line="232" w:lineRule="auto"/>
              <w:rPr>
                <w:sz w:val="24"/>
                <w:szCs w:val="24"/>
              </w:rPr>
            </w:pPr>
            <w:r>
              <w:rPr>
                <w:sz w:val="24"/>
                <w:szCs w:val="24"/>
              </w:rPr>
              <w:t>—</w:t>
            </w:r>
          </w:p>
        </w:tc>
      </w:tr>
      <w:tr w:rsidR="0042033D" w14:paraId="7C687F38" w14:textId="77777777">
        <w:trPr>
          <w:cantSplit/>
        </w:trPr>
        <w:tc>
          <w:tcPr>
            <w:tcW w:w="500" w:type="pct"/>
            <w:tcMar>
              <w:top w:w="28" w:type="dxa"/>
              <w:left w:w="80" w:type="dxa"/>
              <w:bottom w:w="28" w:type="dxa"/>
              <w:right w:w="80" w:type="dxa"/>
            </w:tcMar>
            <w:vAlign w:val="center"/>
          </w:tcPr>
          <w:p w14:paraId="679BDEEE" w14:textId="77777777" w:rsidR="0042033D" w:rsidRDefault="00000000">
            <w:pPr>
              <w:spacing w:line="232" w:lineRule="auto"/>
              <w:jc w:val="center"/>
              <w:rPr>
                <w:sz w:val="24"/>
                <w:szCs w:val="24"/>
              </w:rPr>
            </w:pPr>
            <w:r>
              <w:rPr>
                <w:sz w:val="24"/>
                <w:szCs w:val="24"/>
              </w:rPr>
              <w:t>12</w:t>
            </w:r>
          </w:p>
        </w:tc>
        <w:tc>
          <w:tcPr>
            <w:tcW w:w="3000" w:type="pct"/>
            <w:tcMar>
              <w:top w:w="28" w:type="dxa"/>
              <w:left w:w="80" w:type="dxa"/>
              <w:bottom w:w="28" w:type="dxa"/>
              <w:right w:w="80" w:type="dxa"/>
            </w:tcMar>
            <w:vAlign w:val="center"/>
          </w:tcPr>
          <w:p w14:paraId="61C42F2B" w14:textId="77777777" w:rsidR="0042033D" w:rsidRDefault="00000000">
            <w:pPr>
              <w:spacing w:line="232" w:lineRule="auto"/>
              <w:rPr>
                <w:sz w:val="24"/>
                <w:szCs w:val="24"/>
              </w:rPr>
            </w:pPr>
            <w:r>
              <w:rPr>
                <w:sz w:val="24"/>
                <w:szCs w:val="24"/>
              </w:rPr>
              <w:t>Suivi post-vente et retours clients</w:t>
            </w:r>
          </w:p>
        </w:tc>
        <w:tc>
          <w:tcPr>
            <w:tcW w:w="1500" w:type="pct"/>
            <w:tcMar>
              <w:top w:w="28" w:type="dxa"/>
              <w:left w:w="80" w:type="dxa"/>
              <w:bottom w:w="28" w:type="dxa"/>
              <w:right w:w="80" w:type="dxa"/>
            </w:tcMar>
            <w:vAlign w:val="center"/>
          </w:tcPr>
          <w:p w14:paraId="3E52753D" w14:textId="77777777" w:rsidR="0042033D" w:rsidRDefault="00000000">
            <w:pPr>
              <w:spacing w:line="232" w:lineRule="auto"/>
              <w:rPr>
                <w:sz w:val="24"/>
                <w:szCs w:val="24"/>
              </w:rPr>
            </w:pPr>
            <w:r>
              <w:rPr>
                <w:sz w:val="24"/>
                <w:szCs w:val="24"/>
              </w:rPr>
              <w:t>—</w:t>
            </w:r>
          </w:p>
        </w:tc>
      </w:tr>
    </w:tbl>
    <w:p w14:paraId="4FE59449" w14:textId="77777777" w:rsidR="0042033D" w:rsidRDefault="00000000">
      <w:pPr>
        <w:pStyle w:val="Heading2"/>
        <w:spacing w:before="150" w:after="60"/>
        <w:rPr>
          <w:rFonts w:ascii="Times New Roman" w:hAnsi="Times New Roman"/>
        </w:rPr>
      </w:pPr>
      <w:bookmarkStart w:id="11" w:name="_Toc100011"/>
      <w:r>
        <w:rPr>
          <w:rFonts w:ascii="Times New Roman" w:hAnsi="Times New Roman"/>
        </w:rPr>
        <w:t>4.3 Performance biologique et rendements</w:t>
      </w:r>
      <w:bookmarkEnd w:id="11"/>
    </w:p>
    <w:p w14:paraId="3576819F" w14:textId="77777777" w:rsidR="0042033D" w:rsidRDefault="00000000">
      <w:pPr>
        <w:spacing w:after="60"/>
        <w:jc w:val="both"/>
        <w:rPr>
          <w:sz w:val="24"/>
          <w:szCs w:val="24"/>
          <w:lang w:val="fr-FR"/>
        </w:rPr>
      </w:pPr>
      <w:r>
        <w:rPr>
          <w:sz w:val="24"/>
          <w:szCs w:val="24"/>
        </w:rPr>
        <w:t>Les données internes disponibles retiennent environ 300 kg de frass sec et 150 kg de larves fraîches par tonne de substrat entrant, avec une conversion des larves fraîches vers un produit séché dépendante du taux d’humidité final. La littérature confirme que la composition des pré-</w:t>
      </w:r>
      <w:r>
        <w:rPr>
          <w:sz w:val="24"/>
          <w:szCs w:val="24"/>
        </w:rPr>
        <w:lastRenderedPageBreak/>
        <w:t>pupes varie avec le substrat : Spranghers et al. (2017) rapportent 399 à 431 g de protéines/kg de matière sèche dans différents régimes et soulignent que les teneurs en lipides et en cendres varient sensiblement selon le substrat. Les chiffres de rendement de Bio Source Farm sont donc traités comme des performances internes, à suivre par lot, et non comme des standards biologiques universels.</w:t>
      </w:r>
      <w:r>
        <w:rPr>
          <w:sz w:val="24"/>
          <w:szCs w:val="24"/>
          <w:vertAlign w:val="superscript"/>
          <w:lang w:val="fr-FR"/>
        </w:rPr>
        <w:t>8</w:t>
      </w:r>
    </w:p>
    <w:p w14:paraId="1E578715" w14:textId="77777777" w:rsidR="0042033D" w:rsidRDefault="00000000">
      <w:pPr>
        <w:pStyle w:val="Heading2"/>
        <w:spacing w:before="150" w:after="60"/>
        <w:rPr>
          <w:rFonts w:ascii="Times New Roman" w:hAnsi="Times New Roman"/>
        </w:rPr>
      </w:pPr>
      <w:bookmarkStart w:id="12" w:name="_Toc100012"/>
      <w:r>
        <w:rPr>
          <w:rFonts w:ascii="Times New Roman" w:hAnsi="Times New Roman"/>
        </w:rPr>
        <w:t>4.4 Capacité cible et dimensionnement industriel</w:t>
      </w:r>
      <w:bookmarkEnd w:id="12"/>
    </w:p>
    <w:p w14:paraId="1EE5EDB3" w14:textId="77777777" w:rsidR="0042033D" w:rsidRDefault="00000000">
      <w:pPr>
        <w:spacing w:after="60"/>
        <w:jc w:val="both"/>
        <w:rPr>
          <w:sz w:val="24"/>
          <w:szCs w:val="24"/>
        </w:rPr>
      </w:pPr>
      <w:r>
        <w:rPr>
          <w:sz w:val="24"/>
          <w:szCs w:val="24"/>
        </w:rPr>
        <w:t>Le site est dimensionné pour admettre une configuration de 3 tonnes de frass par jour lorsque la demande régionale consolidée justifiera un investissement lourd, cette perspective étant maintenue au-delà de l'horizon des présentes projections. Le démarrage opérationnel s'est fait à partir de deux grammes d'œufs initiaux. La trajectoire de montée en capacité est calibrée sur la capacité d'absorption du marché local et régional : 10 tonnes par mois en 2025, 18 à 22 tonnes en 2026 après déploiement du financement catalytique — fourchette volontairement positionnée au-dessus du point mort recalculé — puis 26 tonnes en 2027, 36 tonnes en 2028, 46 tonnes en 2029 et 56 tonnes par mois en 2030.</w:t>
      </w:r>
    </w:p>
    <w:p w14:paraId="75DCA0EC"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13" w:name="_Toc238821284"/>
      <w:r w:rsidRPr="005C594B">
        <w:rPr>
          <w:rFonts w:ascii="League Spartan" w:hAnsi="League Spartan"/>
          <w:sz w:val="40"/>
          <w:szCs w:val="40"/>
        </w:rPr>
        <w:t>5. Produits et proposition de valeur</w:t>
      </w:r>
      <w:bookmarkEnd w:id="13"/>
    </w:p>
    <w:p w14:paraId="2C168714" w14:textId="77777777" w:rsidR="0042033D" w:rsidRDefault="00000000" w:rsidP="001166A1">
      <w:pPr>
        <w:spacing w:after="60"/>
        <w:jc w:val="both"/>
        <w:rPr>
          <w:sz w:val="24"/>
          <w:szCs w:val="24"/>
        </w:rPr>
      </w:pPr>
      <w:r>
        <w:rPr>
          <w:sz w:val="24"/>
          <w:szCs w:val="24"/>
        </w:rPr>
        <w:t>Bio Source Farm produit trois lignes de produits complémentaires issues d'un même cycle de bioconversion. Cette diversification valorise intégralement la matière organique entrante, sans déchet secondaire, et répartit le risque commercial sur trois segments indépendants.</w:t>
      </w:r>
    </w:p>
    <w:p w14:paraId="7748E227" w14:textId="77777777" w:rsidR="0042033D" w:rsidRDefault="00000000" w:rsidP="001166A1">
      <w:pPr>
        <w:pStyle w:val="Heading2"/>
        <w:spacing w:before="150" w:after="60"/>
        <w:jc w:val="both"/>
        <w:rPr>
          <w:rFonts w:ascii="Times New Roman" w:hAnsi="Times New Roman"/>
        </w:rPr>
      </w:pPr>
      <w:bookmarkStart w:id="14" w:name="_Toc100014"/>
      <w:r>
        <w:rPr>
          <w:rFonts w:ascii="Times New Roman" w:hAnsi="Times New Roman"/>
        </w:rPr>
        <w:t>5.1 Engrais organique BSF (frass) : le produit principal</w:t>
      </w:r>
      <w:bookmarkEnd w:id="14"/>
    </w:p>
    <w:p w14:paraId="4218F4D8" w14:textId="77777777" w:rsidR="0042033D" w:rsidRDefault="00000000" w:rsidP="001166A1">
      <w:pPr>
        <w:spacing w:after="60"/>
        <w:jc w:val="both"/>
        <w:rPr>
          <w:sz w:val="24"/>
          <w:szCs w:val="24"/>
          <w:lang w:val="fr-FR"/>
        </w:rPr>
      </w:pPr>
      <w:r>
        <w:rPr>
          <w:sz w:val="24"/>
          <w:szCs w:val="24"/>
        </w:rPr>
        <w:t>Le frass constitue le produit principal actuellement commercialisé. Sa valeur agronomique est présentée sans promesse universelle : une étude publiée en 2026 à Madagascar sur le maïs et le soja montre que le frass BSF peut accroître les rendements, avec des effets dépendant de la dose et des rendements marginaux décroissants. Cette étude fournit un appui local utile, mais ne permet pas d’attribuer au produit Bio Source Farm un gain fixe de 25 % sans essai spécifique.</w:t>
      </w:r>
      <w:r>
        <w:rPr>
          <w:sz w:val="24"/>
          <w:szCs w:val="24"/>
          <w:vertAlign w:val="superscript"/>
          <w:lang w:val="fr-FR"/>
        </w:rPr>
        <w:t>3</w:t>
      </w:r>
    </w:p>
    <w:p w14:paraId="5275D3EA" w14:textId="77777777" w:rsidR="0042033D" w:rsidRDefault="00000000" w:rsidP="001166A1">
      <w:pPr>
        <w:pStyle w:val="Heading2"/>
        <w:spacing w:before="150" w:after="60"/>
        <w:jc w:val="both"/>
        <w:rPr>
          <w:rFonts w:ascii="Times New Roman" w:hAnsi="Times New Roman"/>
        </w:rPr>
      </w:pPr>
      <w:bookmarkStart w:id="15" w:name="_Toc100015"/>
      <w:r>
        <w:rPr>
          <w:rFonts w:ascii="Times New Roman" w:hAnsi="Times New Roman"/>
        </w:rPr>
        <w:t>5.2 Protéines animales (larves séchées) : la ligne en industrialisation</w:t>
      </w:r>
      <w:bookmarkEnd w:id="15"/>
    </w:p>
    <w:p w14:paraId="0D4FA2DC" w14:textId="77777777" w:rsidR="0042033D" w:rsidRDefault="00000000" w:rsidP="001166A1">
      <w:pPr>
        <w:spacing w:after="60"/>
        <w:jc w:val="both"/>
        <w:rPr>
          <w:sz w:val="24"/>
          <w:szCs w:val="24"/>
          <w:lang w:val="fr-FR"/>
        </w:rPr>
      </w:pPr>
      <w:r>
        <w:rPr>
          <w:sz w:val="24"/>
          <w:szCs w:val="24"/>
        </w:rPr>
        <w:t>Les pré-pupes de H. illucens constituent une matière première protéique potentielle pour l’alimentation animale ; Spranghers et al. (2017) mesurent environ 40 % à 43 % de protéines sur matière sèche dans les conditions étudiées et montrent que la composition varie selon le substrat. La ligne Bio Source Farm est donc positionnée comme un relais de croissance conditionnel, avec commercialisation uniquement après validation des spécifications, du cadre réglementaire et de la demande B2B. Le référentiel de prix du modèle (1 500–1 800 $/t) reste une hypothèse de travail et non un prix de marché garanti.</w:t>
      </w:r>
      <w:r>
        <w:rPr>
          <w:sz w:val="24"/>
          <w:szCs w:val="24"/>
          <w:vertAlign w:val="superscript"/>
          <w:lang w:val="fr-FR"/>
        </w:rPr>
        <w:t>8</w:t>
      </w:r>
    </w:p>
    <w:p w14:paraId="43278626" w14:textId="77777777" w:rsidR="0042033D" w:rsidRDefault="00000000" w:rsidP="001166A1">
      <w:pPr>
        <w:spacing w:after="60"/>
        <w:jc w:val="both"/>
        <w:rPr>
          <w:sz w:val="24"/>
          <w:szCs w:val="24"/>
        </w:rPr>
      </w:pPr>
      <w:r>
        <w:rPr>
          <w:sz w:val="24"/>
          <w:szCs w:val="24"/>
        </w:rPr>
        <w:t xml:space="preserve">La montée en charge est délibérément progressive, pour deux raisons. D'une part, le plan ne commercialise qu'une part croissante mais minoritaire de l'enveloppe biologique disponible : les volumes larvaires théoriquement valorisables représentent plus du double des ventes projetées dès 2029, l'écart demeurant une réserve d'expansion identifiée. D'autre part, chaque palier de </w:t>
      </w:r>
      <w:r>
        <w:rPr>
          <w:sz w:val="24"/>
          <w:szCs w:val="24"/>
        </w:rPr>
        <w:lastRenderedPageBreak/>
        <w:t>vente est conditionné aux jalons qualité propres à la filière alimentation animale — validation d'un lot-type certifié, homologation des formulations, adoption progressive des formulateurs — selon la discipline d'exécution en deux phases décrite en section 24. L'étude de marché protéines animales (Tableau 5 bis, section 6.3) documente la demande réelle des cinq premières catégories d'acheteurs potentiels.</w:t>
      </w:r>
    </w:p>
    <w:p w14:paraId="5E522A6F" w14:textId="77777777" w:rsidR="0042033D" w:rsidRDefault="00000000" w:rsidP="001166A1">
      <w:pPr>
        <w:jc w:val="both"/>
        <w:rPr>
          <w:sz w:val="24"/>
          <w:szCs w:val="24"/>
          <w:vertAlign w:val="superscript"/>
          <w:lang w:val="fr-FR"/>
        </w:rPr>
      </w:pPr>
      <w:r>
        <w:rPr>
          <w:sz w:val="24"/>
          <w:szCs w:val="24"/>
        </w:rPr>
        <w:t>Cadre réglementaire : le droit malgache encadre la fabrication et la vente des produits destinés à l’alimentation animale (décret n°60-024), tandis que la Direction générale des douanes classe les aliments préparés pour animaux au chapitre 23. Le BP ne prétend à aucune homologation acquise pour la farine de larves ; la classification et le parcours d’autorisation applicables au produit final devront être confirmés avec les autorités compétentes avant commercialisation à grande échelle.</w:t>
      </w:r>
      <w:r>
        <w:rPr>
          <w:sz w:val="24"/>
          <w:szCs w:val="24"/>
          <w:vertAlign w:val="superscript"/>
          <w:lang w:val="fr-FR"/>
        </w:rPr>
        <w:t>9</w:t>
      </w:r>
    </w:p>
    <w:p w14:paraId="1132BADF" w14:textId="77777777" w:rsidR="0042033D" w:rsidRDefault="00000000">
      <w:pPr>
        <w:pStyle w:val="Heading2"/>
        <w:spacing w:before="150" w:after="60"/>
        <w:rPr>
          <w:rFonts w:ascii="Times New Roman" w:hAnsi="Times New Roman"/>
        </w:rPr>
      </w:pPr>
      <w:bookmarkStart w:id="16" w:name="_Toc100016"/>
      <w:r>
        <w:rPr>
          <w:rFonts w:ascii="Times New Roman" w:hAnsi="Times New Roman"/>
        </w:rPr>
        <w:t>5.3 Bioactivateurs et extraits de transformation : la marge unitaire élevée</w:t>
      </w:r>
      <w:bookmarkEnd w:id="16"/>
    </w:p>
    <w:p w14:paraId="6237A89E" w14:textId="77777777" w:rsidR="0042033D" w:rsidRDefault="00000000">
      <w:pPr>
        <w:spacing w:after="60"/>
        <w:jc w:val="both"/>
        <w:rPr>
          <w:sz w:val="24"/>
          <w:szCs w:val="24"/>
        </w:rPr>
      </w:pPr>
      <w:r>
        <w:rPr>
          <w:sz w:val="24"/>
          <w:szCs w:val="24"/>
        </w:rPr>
        <w:t>Les bioactivateurs sont des extraits issus des résidus de transformation des larves et du frass, utilisés comme activateurs de compost, amendements foliaires ou compléments de fertilisation biologique. Positionnée sur un segment de niche à forte valeur ajoutée (agriculture biologique, agro-écologie, maraîchage premium), cette troisième ligne fait l'objet d'un programme pilote en 2026-2027, en lien avec le comité consultatif technique, pour une mise sur le marché prévue à l'horizon 2028, avec un potentiel de marge unitaire élevé.</w:t>
      </w:r>
    </w:p>
    <w:p w14:paraId="0C4CAAAA" w14:textId="77777777" w:rsidR="0042033D" w:rsidRDefault="00000000">
      <w:pPr>
        <w:pStyle w:val="Heading2"/>
        <w:spacing w:before="150" w:after="60"/>
        <w:rPr>
          <w:rFonts w:ascii="Times New Roman" w:hAnsi="Times New Roman"/>
        </w:rPr>
      </w:pPr>
      <w:bookmarkStart w:id="17" w:name="_Toc100017"/>
      <w:r>
        <w:rPr>
          <w:rFonts w:ascii="Times New Roman" w:hAnsi="Times New Roman"/>
        </w:rPr>
        <w:t>5.4 Tableau récapitulatif des produits</w:t>
      </w:r>
      <w:bookmarkEnd w:id="17"/>
    </w:p>
    <w:p w14:paraId="743BF97F" w14:textId="77777777" w:rsidR="0042033D" w:rsidRDefault="00000000">
      <w:pPr>
        <w:keepNext/>
        <w:spacing w:before="140" w:after="50" w:line="260" w:lineRule="auto"/>
        <w:rPr>
          <w:sz w:val="24"/>
          <w:szCs w:val="24"/>
        </w:rPr>
      </w:pPr>
      <w:r>
        <w:rPr>
          <w:rFonts w:eastAsia="Arial"/>
          <w:b/>
          <w:bCs/>
          <w:color w:val="1A2330"/>
          <w:sz w:val="24"/>
          <w:szCs w:val="24"/>
        </w:rPr>
        <w:t>Tableau 3 — Catalogue produits et proposition de valeur</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1832"/>
        <w:gridCol w:w="3021"/>
        <w:gridCol w:w="1831"/>
        <w:gridCol w:w="2472"/>
      </w:tblGrid>
      <w:tr w:rsidR="0042033D" w14:paraId="15569DF1" w14:textId="77777777">
        <w:trPr>
          <w:cantSplit/>
          <w:tblHeader/>
        </w:trPr>
        <w:tc>
          <w:tcPr>
            <w:tcW w:w="1000" w:type="pct"/>
            <w:shd w:val="clear" w:color="auto" w:fill="D4875A"/>
            <w:tcMar>
              <w:top w:w="36" w:type="dxa"/>
              <w:left w:w="80" w:type="dxa"/>
              <w:bottom w:w="36" w:type="dxa"/>
              <w:right w:w="80" w:type="dxa"/>
            </w:tcMar>
            <w:vAlign w:val="center"/>
          </w:tcPr>
          <w:p w14:paraId="3BDF70C0" w14:textId="77777777" w:rsidR="0042033D" w:rsidRDefault="00000000">
            <w:pPr>
              <w:spacing w:line="232" w:lineRule="auto"/>
              <w:jc w:val="center"/>
              <w:rPr>
                <w:sz w:val="24"/>
                <w:szCs w:val="24"/>
              </w:rPr>
            </w:pPr>
            <w:r>
              <w:rPr>
                <w:b/>
                <w:bCs/>
                <w:color w:val="FFFFFF"/>
                <w:sz w:val="24"/>
                <w:szCs w:val="24"/>
              </w:rPr>
              <w:t>Produit</w:t>
            </w:r>
          </w:p>
        </w:tc>
        <w:tc>
          <w:tcPr>
            <w:tcW w:w="1650" w:type="pct"/>
            <w:shd w:val="clear" w:color="auto" w:fill="D4875A"/>
            <w:tcMar>
              <w:top w:w="36" w:type="dxa"/>
              <w:left w:w="80" w:type="dxa"/>
              <w:bottom w:w="36" w:type="dxa"/>
              <w:right w:w="80" w:type="dxa"/>
            </w:tcMar>
            <w:vAlign w:val="center"/>
          </w:tcPr>
          <w:p w14:paraId="05F55A15" w14:textId="77777777" w:rsidR="0042033D" w:rsidRDefault="00000000">
            <w:pPr>
              <w:spacing w:line="232" w:lineRule="auto"/>
              <w:jc w:val="center"/>
              <w:rPr>
                <w:sz w:val="24"/>
                <w:szCs w:val="24"/>
              </w:rPr>
            </w:pPr>
            <w:r>
              <w:rPr>
                <w:b/>
                <w:bCs/>
                <w:color w:val="FFFFFF"/>
                <w:sz w:val="24"/>
                <w:szCs w:val="24"/>
              </w:rPr>
              <w:t>Description courte</w:t>
            </w:r>
          </w:p>
        </w:tc>
        <w:tc>
          <w:tcPr>
            <w:tcW w:w="1000" w:type="pct"/>
            <w:shd w:val="clear" w:color="auto" w:fill="D4875A"/>
            <w:tcMar>
              <w:top w:w="36" w:type="dxa"/>
              <w:left w:w="80" w:type="dxa"/>
              <w:bottom w:w="36" w:type="dxa"/>
              <w:right w:w="80" w:type="dxa"/>
            </w:tcMar>
            <w:vAlign w:val="center"/>
          </w:tcPr>
          <w:p w14:paraId="308D936C" w14:textId="77777777" w:rsidR="0042033D" w:rsidRDefault="00000000">
            <w:pPr>
              <w:spacing w:line="232" w:lineRule="auto"/>
              <w:jc w:val="center"/>
              <w:rPr>
                <w:sz w:val="24"/>
                <w:szCs w:val="24"/>
              </w:rPr>
            </w:pPr>
            <w:r>
              <w:rPr>
                <w:b/>
                <w:bCs/>
                <w:color w:val="FFFFFF"/>
                <w:sz w:val="24"/>
                <w:szCs w:val="24"/>
              </w:rPr>
              <w:t>Prix de vente</w:t>
            </w:r>
          </w:p>
        </w:tc>
        <w:tc>
          <w:tcPr>
            <w:tcW w:w="1350" w:type="pct"/>
            <w:shd w:val="clear" w:color="auto" w:fill="D4875A"/>
            <w:tcMar>
              <w:top w:w="36" w:type="dxa"/>
              <w:left w:w="80" w:type="dxa"/>
              <w:bottom w:w="36" w:type="dxa"/>
              <w:right w:w="80" w:type="dxa"/>
            </w:tcMar>
            <w:vAlign w:val="center"/>
          </w:tcPr>
          <w:p w14:paraId="425D6E20" w14:textId="77777777" w:rsidR="0042033D" w:rsidRDefault="00000000">
            <w:pPr>
              <w:spacing w:line="232" w:lineRule="auto"/>
              <w:jc w:val="center"/>
              <w:rPr>
                <w:sz w:val="24"/>
                <w:szCs w:val="24"/>
              </w:rPr>
            </w:pPr>
            <w:r>
              <w:rPr>
                <w:b/>
                <w:bCs/>
                <w:color w:val="FFFFFF"/>
                <w:sz w:val="24"/>
                <w:szCs w:val="24"/>
              </w:rPr>
              <w:t>Bénéfice client principal</w:t>
            </w:r>
          </w:p>
        </w:tc>
      </w:tr>
      <w:tr w:rsidR="0042033D" w14:paraId="6FC5E615" w14:textId="77777777">
        <w:trPr>
          <w:cantSplit/>
        </w:trPr>
        <w:tc>
          <w:tcPr>
            <w:tcW w:w="1000" w:type="pct"/>
            <w:tcMar>
              <w:top w:w="28" w:type="dxa"/>
              <w:left w:w="80" w:type="dxa"/>
              <w:bottom w:w="28" w:type="dxa"/>
              <w:right w:w="80" w:type="dxa"/>
            </w:tcMar>
            <w:vAlign w:val="center"/>
          </w:tcPr>
          <w:p w14:paraId="36F5D1A3" w14:textId="77777777" w:rsidR="0042033D" w:rsidRDefault="00000000">
            <w:pPr>
              <w:spacing w:line="232" w:lineRule="auto"/>
              <w:rPr>
                <w:sz w:val="24"/>
                <w:szCs w:val="24"/>
              </w:rPr>
            </w:pPr>
            <w:r>
              <w:rPr>
                <w:b/>
                <w:bCs/>
                <w:sz w:val="24"/>
                <w:szCs w:val="24"/>
              </w:rPr>
              <w:t>Engrais organique BSF (frass)</w:t>
            </w:r>
          </w:p>
        </w:tc>
        <w:tc>
          <w:tcPr>
            <w:tcW w:w="1650" w:type="pct"/>
            <w:tcMar>
              <w:top w:w="28" w:type="dxa"/>
              <w:left w:w="80" w:type="dxa"/>
              <w:bottom w:w="28" w:type="dxa"/>
              <w:right w:w="80" w:type="dxa"/>
            </w:tcMar>
            <w:vAlign w:val="center"/>
          </w:tcPr>
          <w:p w14:paraId="0F781EB4" w14:textId="77777777" w:rsidR="0042033D" w:rsidRDefault="00000000">
            <w:pPr>
              <w:spacing w:line="232" w:lineRule="auto"/>
              <w:rPr>
                <w:sz w:val="24"/>
                <w:szCs w:val="24"/>
              </w:rPr>
            </w:pPr>
            <w:r>
              <w:rPr>
                <w:sz w:val="24"/>
                <w:szCs w:val="24"/>
              </w:rPr>
              <w:t>Fertilisant 100 % naturel issu de la bioconversion des déchets organiques par les larves de Black Soldier Fly</w:t>
            </w:r>
          </w:p>
        </w:tc>
        <w:tc>
          <w:tcPr>
            <w:tcW w:w="1000" w:type="pct"/>
            <w:tcMar>
              <w:top w:w="28" w:type="dxa"/>
              <w:left w:w="80" w:type="dxa"/>
              <w:bottom w:w="28" w:type="dxa"/>
              <w:right w:w="80" w:type="dxa"/>
            </w:tcMar>
            <w:vAlign w:val="center"/>
          </w:tcPr>
          <w:p w14:paraId="0E3E939E" w14:textId="77777777" w:rsidR="0042033D" w:rsidRDefault="00000000">
            <w:pPr>
              <w:spacing w:line="232" w:lineRule="auto"/>
              <w:rPr>
                <w:sz w:val="24"/>
                <w:szCs w:val="24"/>
              </w:rPr>
            </w:pPr>
            <w:r>
              <w:rPr>
                <w:b/>
                <w:bCs/>
                <w:sz w:val="24"/>
                <w:szCs w:val="24"/>
              </w:rPr>
              <w:t>1 700 à 2 100 MGA/kg</w:t>
            </w:r>
          </w:p>
        </w:tc>
        <w:tc>
          <w:tcPr>
            <w:tcW w:w="1350" w:type="pct"/>
            <w:tcMar>
              <w:top w:w="28" w:type="dxa"/>
              <w:left w:w="80" w:type="dxa"/>
              <w:bottom w:w="28" w:type="dxa"/>
              <w:right w:w="80" w:type="dxa"/>
            </w:tcMar>
            <w:vAlign w:val="center"/>
          </w:tcPr>
          <w:p w14:paraId="11B1DF08" w14:textId="77777777" w:rsidR="0042033D" w:rsidRDefault="00000000">
            <w:pPr>
              <w:spacing w:line="232" w:lineRule="auto"/>
              <w:rPr>
                <w:sz w:val="24"/>
                <w:szCs w:val="24"/>
              </w:rPr>
            </w:pPr>
            <w:r>
              <w:rPr>
                <w:sz w:val="24"/>
                <w:szCs w:val="24"/>
              </w:rPr>
              <w:t>Régénération biologique des sols et réduction de la dépendance aux engrais chimiques importés</w:t>
            </w:r>
          </w:p>
        </w:tc>
      </w:tr>
      <w:tr w:rsidR="0042033D" w14:paraId="469A1D41" w14:textId="77777777">
        <w:trPr>
          <w:cantSplit/>
        </w:trPr>
        <w:tc>
          <w:tcPr>
            <w:tcW w:w="1000" w:type="pct"/>
            <w:tcMar>
              <w:top w:w="28" w:type="dxa"/>
              <w:left w:w="80" w:type="dxa"/>
              <w:bottom w:w="28" w:type="dxa"/>
              <w:right w:w="80" w:type="dxa"/>
            </w:tcMar>
            <w:vAlign w:val="center"/>
          </w:tcPr>
          <w:p w14:paraId="1618ABF7" w14:textId="77777777" w:rsidR="0042033D" w:rsidRDefault="00000000">
            <w:pPr>
              <w:spacing w:line="232" w:lineRule="auto"/>
              <w:rPr>
                <w:sz w:val="24"/>
                <w:szCs w:val="24"/>
              </w:rPr>
            </w:pPr>
            <w:r>
              <w:rPr>
                <w:b/>
                <w:bCs/>
                <w:sz w:val="24"/>
                <w:szCs w:val="24"/>
              </w:rPr>
              <w:t>Protéines animales (larves séchées)</w:t>
            </w:r>
          </w:p>
        </w:tc>
        <w:tc>
          <w:tcPr>
            <w:tcW w:w="1650" w:type="pct"/>
            <w:tcMar>
              <w:top w:w="28" w:type="dxa"/>
              <w:left w:w="80" w:type="dxa"/>
              <w:bottom w:w="28" w:type="dxa"/>
              <w:right w:w="80" w:type="dxa"/>
            </w:tcMar>
            <w:vAlign w:val="center"/>
          </w:tcPr>
          <w:p w14:paraId="4B89F1C8" w14:textId="77777777" w:rsidR="0042033D" w:rsidRDefault="00000000">
            <w:pPr>
              <w:spacing w:line="232" w:lineRule="auto"/>
              <w:rPr>
                <w:sz w:val="24"/>
                <w:szCs w:val="24"/>
              </w:rPr>
            </w:pPr>
            <w:r>
              <w:rPr>
                <w:sz w:val="24"/>
                <w:szCs w:val="24"/>
              </w:rPr>
              <w:t>Farine protéique alternative à la farine de poisson pour l'alimentation animale (volailles, porcs, aquaculture)</w:t>
            </w:r>
          </w:p>
        </w:tc>
        <w:tc>
          <w:tcPr>
            <w:tcW w:w="1000" w:type="pct"/>
            <w:tcMar>
              <w:top w:w="28" w:type="dxa"/>
              <w:left w:w="80" w:type="dxa"/>
              <w:bottom w:w="28" w:type="dxa"/>
              <w:right w:w="80" w:type="dxa"/>
            </w:tcMar>
            <w:vAlign w:val="center"/>
          </w:tcPr>
          <w:p w14:paraId="060D5156" w14:textId="77777777" w:rsidR="0042033D" w:rsidRDefault="00000000">
            <w:pPr>
              <w:spacing w:line="232" w:lineRule="auto"/>
              <w:rPr>
                <w:sz w:val="24"/>
                <w:szCs w:val="24"/>
              </w:rPr>
            </w:pPr>
            <w:r>
              <w:rPr>
                <w:b/>
                <w:bCs/>
                <w:sz w:val="24"/>
                <w:szCs w:val="24"/>
              </w:rPr>
              <w:t>1 500 à 1 800 $/T</w:t>
            </w:r>
            <w:r>
              <w:rPr>
                <w:sz w:val="24"/>
                <w:szCs w:val="24"/>
              </w:rPr>
              <w:t xml:space="preserve"> (contrat cadre 2027)</w:t>
            </w:r>
          </w:p>
        </w:tc>
        <w:tc>
          <w:tcPr>
            <w:tcW w:w="1350" w:type="pct"/>
            <w:tcMar>
              <w:top w:w="28" w:type="dxa"/>
              <w:left w:w="80" w:type="dxa"/>
              <w:bottom w:w="28" w:type="dxa"/>
              <w:right w:w="80" w:type="dxa"/>
            </w:tcMar>
            <w:vAlign w:val="center"/>
          </w:tcPr>
          <w:p w14:paraId="47F61540" w14:textId="77777777" w:rsidR="0042033D" w:rsidRDefault="00000000">
            <w:pPr>
              <w:spacing w:line="232" w:lineRule="auto"/>
              <w:rPr>
                <w:sz w:val="24"/>
                <w:szCs w:val="24"/>
              </w:rPr>
            </w:pPr>
            <w:r>
              <w:rPr>
                <w:sz w:val="24"/>
                <w:szCs w:val="24"/>
              </w:rPr>
              <w:t>Sécurisation de l'approvisionnement protéique face à la hausse structurelle de la farine de poisson</w:t>
            </w:r>
          </w:p>
        </w:tc>
      </w:tr>
      <w:tr w:rsidR="0042033D" w14:paraId="256E895C" w14:textId="77777777">
        <w:trPr>
          <w:cantSplit/>
        </w:trPr>
        <w:tc>
          <w:tcPr>
            <w:tcW w:w="1000" w:type="pct"/>
            <w:tcMar>
              <w:top w:w="28" w:type="dxa"/>
              <w:left w:w="80" w:type="dxa"/>
              <w:bottom w:w="28" w:type="dxa"/>
              <w:right w:w="80" w:type="dxa"/>
            </w:tcMar>
            <w:vAlign w:val="center"/>
          </w:tcPr>
          <w:p w14:paraId="21611AC3" w14:textId="77777777" w:rsidR="0042033D" w:rsidRDefault="00000000">
            <w:pPr>
              <w:spacing w:line="232" w:lineRule="auto"/>
              <w:rPr>
                <w:sz w:val="24"/>
                <w:szCs w:val="24"/>
              </w:rPr>
            </w:pPr>
            <w:r>
              <w:rPr>
                <w:b/>
                <w:bCs/>
                <w:sz w:val="24"/>
                <w:szCs w:val="24"/>
              </w:rPr>
              <w:t>Bioactivateurs et extraits</w:t>
            </w:r>
          </w:p>
        </w:tc>
        <w:tc>
          <w:tcPr>
            <w:tcW w:w="1650" w:type="pct"/>
            <w:tcMar>
              <w:top w:w="28" w:type="dxa"/>
              <w:left w:w="80" w:type="dxa"/>
              <w:bottom w:w="28" w:type="dxa"/>
              <w:right w:w="80" w:type="dxa"/>
            </w:tcMar>
            <w:vAlign w:val="center"/>
          </w:tcPr>
          <w:p w14:paraId="254C5DA5" w14:textId="77777777" w:rsidR="0042033D" w:rsidRDefault="00000000">
            <w:pPr>
              <w:spacing w:line="232" w:lineRule="auto"/>
              <w:rPr>
                <w:sz w:val="24"/>
                <w:szCs w:val="24"/>
              </w:rPr>
            </w:pPr>
            <w:r>
              <w:rPr>
                <w:sz w:val="24"/>
                <w:szCs w:val="24"/>
              </w:rPr>
              <w:t>Extraits des résidus de transformation, activateurs de compost et amendements foliaires (pré-commercialisation)</w:t>
            </w:r>
          </w:p>
        </w:tc>
        <w:tc>
          <w:tcPr>
            <w:tcW w:w="1000" w:type="pct"/>
            <w:tcMar>
              <w:top w:w="28" w:type="dxa"/>
              <w:left w:w="80" w:type="dxa"/>
              <w:bottom w:w="28" w:type="dxa"/>
              <w:right w:w="80" w:type="dxa"/>
            </w:tcMar>
            <w:vAlign w:val="center"/>
          </w:tcPr>
          <w:p w14:paraId="7DB13C42" w14:textId="77777777" w:rsidR="0042033D" w:rsidRDefault="00000000">
            <w:pPr>
              <w:spacing w:line="232" w:lineRule="auto"/>
              <w:rPr>
                <w:sz w:val="24"/>
                <w:szCs w:val="24"/>
              </w:rPr>
            </w:pPr>
            <w:r>
              <w:rPr>
                <w:sz w:val="24"/>
                <w:szCs w:val="24"/>
              </w:rPr>
              <w:t>À définir au lancement (2028)</w:t>
            </w:r>
          </w:p>
        </w:tc>
        <w:tc>
          <w:tcPr>
            <w:tcW w:w="1350" w:type="pct"/>
            <w:tcMar>
              <w:top w:w="28" w:type="dxa"/>
              <w:left w:w="80" w:type="dxa"/>
              <w:bottom w:w="28" w:type="dxa"/>
              <w:right w:w="80" w:type="dxa"/>
            </w:tcMar>
            <w:vAlign w:val="center"/>
          </w:tcPr>
          <w:p w14:paraId="1361AE75" w14:textId="77777777" w:rsidR="0042033D" w:rsidRDefault="00000000">
            <w:pPr>
              <w:spacing w:line="232" w:lineRule="auto"/>
              <w:rPr>
                <w:sz w:val="24"/>
                <w:szCs w:val="24"/>
              </w:rPr>
            </w:pPr>
            <w:r>
              <w:rPr>
                <w:sz w:val="24"/>
                <w:szCs w:val="24"/>
              </w:rPr>
              <w:t>Valorisation complète du cycle de production dans une logique d'économie circulaire</w:t>
            </w:r>
          </w:p>
        </w:tc>
      </w:tr>
    </w:tbl>
    <w:p w14:paraId="1C985382" w14:textId="77777777" w:rsidR="0042033D" w:rsidRDefault="00000000">
      <w:pPr>
        <w:pStyle w:val="Heading2"/>
        <w:spacing w:before="150" w:after="60"/>
        <w:rPr>
          <w:rFonts w:ascii="Times New Roman" w:hAnsi="Times New Roman"/>
        </w:rPr>
      </w:pPr>
      <w:bookmarkStart w:id="18" w:name="_Toc100018"/>
      <w:bookmarkEnd w:id="18"/>
      <w:r>
        <w:rPr>
          <w:rFonts w:ascii="Times New Roman" w:hAnsi="Times New Roman"/>
        </w:rPr>
        <w:t>5.5 Avantage compétitif produit : valorisation multi-flux</w:t>
      </w:r>
    </w:p>
    <w:p w14:paraId="1AC867D6" w14:textId="77777777" w:rsidR="0042033D" w:rsidRDefault="00000000">
      <w:pPr>
        <w:pBdr>
          <w:left w:val="single" w:sz="10" w:space="12" w:color="D4875A"/>
        </w:pBdr>
        <w:spacing w:before="80" w:after="140" w:line="300" w:lineRule="auto"/>
        <w:ind w:left="360" w:right="240"/>
        <w:jc w:val="both"/>
        <w:rPr>
          <w:sz w:val="24"/>
          <w:szCs w:val="24"/>
        </w:rPr>
      </w:pPr>
      <w:r>
        <w:rPr>
          <w:sz w:val="24"/>
          <w:szCs w:val="24"/>
        </w:rPr>
        <w:t xml:space="preserve">Une tonne de substrat entrant produit simultanément plusieurs flux commercialisables. L’avantage économique recherché ne vient pas d’un multiplicateur de valeur théorique, </w:t>
      </w:r>
      <w:r>
        <w:rPr>
          <w:sz w:val="24"/>
          <w:szCs w:val="24"/>
        </w:rPr>
        <w:lastRenderedPageBreak/>
        <w:t>mais de la capacité à monétiser plusieurs sorties d’un même flux, sous réserve que chaque produit atteigne ses spécifications de marché et ses conditions d’écoulement.</w:t>
      </w:r>
    </w:p>
    <w:p w14:paraId="15444CC5" w14:textId="77777777" w:rsidR="0042033D" w:rsidRDefault="00000000">
      <w:pPr>
        <w:pStyle w:val="Heading1"/>
        <w:pBdr>
          <w:bottom w:val="single" w:sz="6" w:space="4" w:color="D4875A"/>
        </w:pBdr>
        <w:spacing w:before="200" w:after="90"/>
        <w:rPr>
          <w:rFonts w:ascii="League Spartan" w:hAnsi="League Spartan"/>
          <w:sz w:val="40"/>
          <w:szCs w:val="40"/>
        </w:rPr>
      </w:pPr>
      <w:bookmarkStart w:id="19" w:name="_Toc238821285"/>
      <w:r>
        <w:rPr>
          <w:rFonts w:ascii="League Spartan" w:hAnsi="League Spartan"/>
          <w:sz w:val="40"/>
          <w:szCs w:val="40"/>
        </w:rPr>
        <w:t>6. Analyse du marché</w:t>
      </w:r>
      <w:bookmarkEnd w:id="19"/>
    </w:p>
    <w:p w14:paraId="7841D4BD" w14:textId="77777777" w:rsidR="0042033D" w:rsidRDefault="00000000">
      <w:pPr>
        <w:pStyle w:val="Heading2"/>
        <w:spacing w:before="150" w:after="60"/>
        <w:rPr>
          <w:rFonts w:ascii="Times New Roman" w:hAnsi="Times New Roman"/>
        </w:rPr>
      </w:pPr>
      <w:bookmarkStart w:id="20" w:name="_Toc100020"/>
      <w:bookmarkEnd w:id="20"/>
      <w:r>
        <w:rPr>
          <w:rFonts w:ascii="Times New Roman" w:hAnsi="Times New Roman"/>
        </w:rPr>
        <w:t>6.1 Dimensionnement du marché : références, demande qualifiée et SOM interne</w:t>
      </w:r>
    </w:p>
    <w:p w14:paraId="108B5930" w14:textId="77777777" w:rsidR="0042033D" w:rsidRDefault="00000000">
      <w:pPr>
        <w:spacing w:after="60"/>
        <w:jc w:val="both"/>
        <w:rPr>
          <w:sz w:val="24"/>
          <w:szCs w:val="24"/>
        </w:rPr>
      </w:pPr>
      <w:r>
        <w:rPr>
          <w:sz w:val="24"/>
          <w:szCs w:val="24"/>
        </w:rPr>
        <w:t>Plutôt que de présenter un TAM agrégé construit à partir d’ordres de grandeur hétérogènes, le présent plan retient des références de marché vérifiables et sépare clairement trois niveaux de preuve : (i) taille observable d’un marché de référence, (ii) demande qualifiée identifiée par Bio Source Farm, (iii) chiffre d’affaires réellement modélisé. Le scénario central n’exige qu’une pénétration limitée de ces marchés de référence et ne comptabilise aucun revenu export.</w:t>
      </w:r>
    </w:p>
    <w:p w14:paraId="4CE94A19" w14:textId="27758D1E" w:rsidR="0042033D" w:rsidRDefault="00000000">
      <w:pPr>
        <w:keepNext/>
        <w:spacing w:before="140" w:after="50" w:line="260" w:lineRule="auto"/>
        <w:rPr>
          <w:sz w:val="24"/>
          <w:szCs w:val="24"/>
        </w:rPr>
      </w:pPr>
      <w:r>
        <w:rPr>
          <w:sz w:val="24"/>
          <w:szCs w:val="24"/>
        </w:rPr>
        <w:t>Tableau 1 bis — Références de marché et preuves de demande</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747"/>
        <w:gridCol w:w="1282"/>
        <w:gridCol w:w="5127"/>
      </w:tblGrid>
      <w:tr w:rsidR="0042033D" w14:paraId="7AFF7470" w14:textId="77777777">
        <w:trPr>
          <w:cantSplit/>
          <w:tblHeader/>
        </w:trPr>
        <w:tc>
          <w:tcPr>
            <w:tcW w:w="1500" w:type="pct"/>
            <w:shd w:val="clear" w:color="auto" w:fill="D98B4A"/>
            <w:tcMar>
              <w:top w:w="36" w:type="dxa"/>
              <w:left w:w="80" w:type="dxa"/>
              <w:bottom w:w="36" w:type="dxa"/>
              <w:right w:w="80" w:type="dxa"/>
            </w:tcMar>
            <w:vAlign w:val="center"/>
          </w:tcPr>
          <w:p w14:paraId="2CCC7BBF" w14:textId="77777777" w:rsidR="0042033D" w:rsidRDefault="00000000">
            <w:pPr>
              <w:rPr>
                <w:sz w:val="24"/>
                <w:szCs w:val="24"/>
              </w:rPr>
            </w:pPr>
            <w:r>
              <w:rPr>
                <w:b/>
                <w:sz w:val="24"/>
                <w:szCs w:val="24"/>
              </w:rPr>
              <w:t>Référence de marché</w:t>
            </w:r>
          </w:p>
        </w:tc>
        <w:tc>
          <w:tcPr>
            <w:tcW w:w="700" w:type="pct"/>
            <w:shd w:val="clear" w:color="auto" w:fill="D98B4A"/>
            <w:tcMar>
              <w:top w:w="36" w:type="dxa"/>
              <w:left w:w="80" w:type="dxa"/>
              <w:bottom w:w="36" w:type="dxa"/>
              <w:right w:w="80" w:type="dxa"/>
            </w:tcMar>
            <w:vAlign w:val="center"/>
          </w:tcPr>
          <w:p w14:paraId="3BB41FFC" w14:textId="77777777" w:rsidR="0042033D" w:rsidRDefault="00000000">
            <w:pPr>
              <w:rPr>
                <w:sz w:val="24"/>
                <w:szCs w:val="24"/>
              </w:rPr>
            </w:pPr>
            <w:r>
              <w:rPr>
                <w:b/>
                <w:sz w:val="24"/>
                <w:szCs w:val="24"/>
              </w:rPr>
              <w:t>Valeur observée</w:t>
            </w:r>
          </w:p>
        </w:tc>
        <w:tc>
          <w:tcPr>
            <w:tcW w:w="2800" w:type="pct"/>
            <w:shd w:val="clear" w:color="auto" w:fill="D98B4A"/>
            <w:tcMar>
              <w:top w:w="36" w:type="dxa"/>
              <w:left w:w="80" w:type="dxa"/>
              <w:bottom w:w="36" w:type="dxa"/>
              <w:right w:w="80" w:type="dxa"/>
            </w:tcMar>
            <w:vAlign w:val="center"/>
          </w:tcPr>
          <w:p w14:paraId="083BD8F9" w14:textId="77777777" w:rsidR="0042033D" w:rsidRDefault="00000000">
            <w:pPr>
              <w:rPr>
                <w:sz w:val="24"/>
                <w:szCs w:val="24"/>
              </w:rPr>
            </w:pPr>
            <w:r>
              <w:rPr>
                <w:b/>
                <w:sz w:val="24"/>
                <w:szCs w:val="24"/>
              </w:rPr>
              <w:t>Lecture pour Bio Source Farm</w:t>
            </w:r>
          </w:p>
        </w:tc>
      </w:tr>
      <w:tr w:rsidR="0042033D" w14:paraId="78DE58B3" w14:textId="77777777">
        <w:tc>
          <w:tcPr>
            <w:tcW w:w="100" w:type="dxa"/>
          </w:tcPr>
          <w:p w14:paraId="3522DE6E" w14:textId="77777777" w:rsidR="0042033D" w:rsidRDefault="00000000">
            <w:pPr>
              <w:rPr>
                <w:sz w:val="24"/>
                <w:szCs w:val="24"/>
              </w:rPr>
            </w:pPr>
            <w:r>
              <w:rPr>
                <w:sz w:val="24"/>
                <w:szCs w:val="24"/>
              </w:rPr>
              <w:t>Importations de fertilisants, HS 31 — Madagascar, 2023</w:t>
            </w:r>
          </w:p>
        </w:tc>
        <w:tc>
          <w:tcPr>
            <w:tcW w:w="100" w:type="dxa"/>
          </w:tcPr>
          <w:p w14:paraId="15BBF19D" w14:textId="77777777" w:rsidR="0042033D" w:rsidRDefault="00000000">
            <w:pPr>
              <w:rPr>
                <w:sz w:val="24"/>
                <w:szCs w:val="24"/>
              </w:rPr>
            </w:pPr>
            <w:r>
              <w:rPr>
                <w:sz w:val="24"/>
                <w:szCs w:val="24"/>
              </w:rPr>
              <w:t>28,9 M$</w:t>
            </w:r>
          </w:p>
        </w:tc>
        <w:tc>
          <w:tcPr>
            <w:tcW w:w="100" w:type="dxa"/>
          </w:tcPr>
          <w:p w14:paraId="6630CABB" w14:textId="77777777" w:rsidR="0042033D" w:rsidRDefault="00000000">
            <w:pPr>
              <w:rPr>
                <w:sz w:val="24"/>
                <w:szCs w:val="24"/>
              </w:rPr>
            </w:pPr>
            <w:r>
              <w:rPr>
                <w:sz w:val="24"/>
                <w:szCs w:val="24"/>
              </w:rPr>
              <w:t>Référence de marché importé ; le scénario 2030 de 420 K$ représente ~1,5 % de cette valeur historique, sans constituer une part de marché projetée.</w:t>
            </w:r>
          </w:p>
        </w:tc>
      </w:tr>
      <w:tr w:rsidR="0042033D" w14:paraId="52401A42" w14:textId="77777777">
        <w:tc>
          <w:tcPr>
            <w:tcW w:w="100" w:type="dxa"/>
          </w:tcPr>
          <w:p w14:paraId="04FDB308" w14:textId="77777777" w:rsidR="0042033D" w:rsidRDefault="00000000">
            <w:pPr>
              <w:rPr>
                <w:sz w:val="24"/>
                <w:szCs w:val="24"/>
              </w:rPr>
            </w:pPr>
            <w:r>
              <w:rPr>
                <w:sz w:val="24"/>
                <w:szCs w:val="24"/>
              </w:rPr>
              <w:t>Sous-ensemble HS 3105 — Madagascar, 2023</w:t>
            </w:r>
          </w:p>
        </w:tc>
        <w:tc>
          <w:tcPr>
            <w:tcW w:w="100" w:type="dxa"/>
          </w:tcPr>
          <w:p w14:paraId="13C9F1E1" w14:textId="77777777" w:rsidR="0042033D" w:rsidRDefault="00000000">
            <w:pPr>
              <w:rPr>
                <w:sz w:val="24"/>
                <w:szCs w:val="24"/>
              </w:rPr>
            </w:pPr>
            <w:r>
              <w:rPr>
                <w:sz w:val="24"/>
                <w:szCs w:val="24"/>
              </w:rPr>
              <w:t>19,2 M$ / 26,7 kt</w:t>
            </w:r>
          </w:p>
        </w:tc>
        <w:tc>
          <w:tcPr>
            <w:tcW w:w="100" w:type="dxa"/>
          </w:tcPr>
          <w:p w14:paraId="45511284" w14:textId="77777777" w:rsidR="0042033D" w:rsidRDefault="00000000">
            <w:pPr>
              <w:rPr>
                <w:sz w:val="24"/>
                <w:szCs w:val="24"/>
              </w:rPr>
            </w:pPr>
            <w:r>
              <w:rPr>
                <w:sz w:val="24"/>
                <w:szCs w:val="24"/>
              </w:rPr>
              <w:t>Point de référence plus ciblé sur les fertilisants minéraux/chimiques en préparations du code considéré.</w:t>
            </w:r>
          </w:p>
        </w:tc>
      </w:tr>
      <w:tr w:rsidR="0042033D" w14:paraId="7031EE78" w14:textId="77777777">
        <w:tc>
          <w:tcPr>
            <w:tcW w:w="100" w:type="dxa"/>
          </w:tcPr>
          <w:p w14:paraId="003C3AAF" w14:textId="77777777" w:rsidR="0042033D" w:rsidRDefault="00000000">
            <w:pPr>
              <w:rPr>
                <w:sz w:val="24"/>
                <w:szCs w:val="24"/>
              </w:rPr>
            </w:pPr>
            <w:r>
              <w:rPr>
                <w:sz w:val="24"/>
                <w:szCs w:val="24"/>
              </w:rPr>
              <w:t>Déchets solides municipaux — Madagascar, 2016</w:t>
            </w:r>
          </w:p>
        </w:tc>
        <w:tc>
          <w:tcPr>
            <w:tcW w:w="100" w:type="dxa"/>
          </w:tcPr>
          <w:p w14:paraId="21A403D9" w14:textId="77777777" w:rsidR="0042033D" w:rsidRDefault="00000000">
            <w:pPr>
              <w:rPr>
                <w:sz w:val="24"/>
                <w:szCs w:val="24"/>
              </w:rPr>
            </w:pPr>
            <w:r>
              <w:rPr>
                <w:sz w:val="24"/>
                <w:szCs w:val="24"/>
              </w:rPr>
              <w:t>3,77 Mt/an ; 96,7 % en dépôts à ciel ouvert</w:t>
            </w:r>
          </w:p>
        </w:tc>
        <w:tc>
          <w:tcPr>
            <w:tcW w:w="100" w:type="dxa"/>
          </w:tcPr>
          <w:p w14:paraId="2C345F1F" w14:textId="77777777" w:rsidR="0042033D" w:rsidRDefault="00000000">
            <w:pPr>
              <w:rPr>
                <w:sz w:val="24"/>
                <w:szCs w:val="24"/>
              </w:rPr>
            </w:pPr>
            <w:r>
              <w:rPr>
                <w:sz w:val="24"/>
                <w:szCs w:val="24"/>
              </w:rPr>
              <w:t>Indicateur d’ampleur du flux de déchets ; il ne doit pas être assimilé à un stock de déchets organiques adressables par BSF.</w:t>
            </w:r>
          </w:p>
        </w:tc>
      </w:tr>
      <w:tr w:rsidR="0042033D" w14:paraId="4FA4113F" w14:textId="77777777">
        <w:tc>
          <w:tcPr>
            <w:tcW w:w="100" w:type="dxa"/>
          </w:tcPr>
          <w:p w14:paraId="46965300" w14:textId="77777777" w:rsidR="0042033D" w:rsidRDefault="00000000">
            <w:pPr>
              <w:rPr>
                <w:sz w:val="24"/>
                <w:szCs w:val="24"/>
              </w:rPr>
            </w:pPr>
            <w:r>
              <w:rPr>
                <w:sz w:val="24"/>
                <w:szCs w:val="24"/>
              </w:rPr>
              <w:t>Demande protéines identifiée par Bio Source Farm</w:t>
            </w:r>
          </w:p>
        </w:tc>
        <w:tc>
          <w:tcPr>
            <w:tcW w:w="100" w:type="dxa"/>
          </w:tcPr>
          <w:p w14:paraId="0FFB05F0" w14:textId="77777777" w:rsidR="0042033D" w:rsidRDefault="00000000">
            <w:pPr>
              <w:rPr>
                <w:sz w:val="24"/>
                <w:szCs w:val="24"/>
              </w:rPr>
            </w:pPr>
            <w:r>
              <w:rPr>
                <w:sz w:val="24"/>
                <w:szCs w:val="24"/>
              </w:rPr>
              <w:t>1 100–1 500 t/an de farine de poisson substituable*</w:t>
            </w:r>
          </w:p>
        </w:tc>
        <w:tc>
          <w:tcPr>
            <w:tcW w:w="100" w:type="dxa"/>
          </w:tcPr>
          <w:p w14:paraId="2C1F80FC" w14:textId="77777777" w:rsidR="0042033D" w:rsidRDefault="00000000">
            <w:pPr>
              <w:rPr>
                <w:sz w:val="24"/>
                <w:szCs w:val="24"/>
              </w:rPr>
            </w:pPr>
            <w:r>
              <w:rPr>
                <w:sz w:val="24"/>
                <w:szCs w:val="24"/>
              </w:rPr>
              <w:t>Signal commercial interne, à traiter comme pipeline / hypothèse de qualification et non comme demande contractuelle.</w:t>
            </w:r>
          </w:p>
        </w:tc>
      </w:tr>
    </w:tbl>
    <w:p w14:paraId="64368596" w14:textId="63B38752" w:rsidR="0042033D" w:rsidRDefault="00C001FE">
      <w:pPr>
        <w:spacing w:before="80" w:after="30"/>
        <w:jc w:val="center"/>
        <w:rPr>
          <w:sz w:val="24"/>
          <w:szCs w:val="24"/>
        </w:rPr>
      </w:pPr>
      <w:r>
        <w:rPr>
          <w:noProof/>
          <w:sz w:val="24"/>
          <w:szCs w:val="24"/>
        </w:rPr>
        <w:lastRenderedPageBreak/>
        <w:drawing>
          <wp:anchor distT="0" distB="0" distL="114300" distR="114300" simplePos="0" relativeHeight="251658240" behindDoc="0" locked="0" layoutInCell="1" allowOverlap="1" wp14:anchorId="24C122CB" wp14:editId="69987851">
            <wp:simplePos x="0" y="0"/>
            <wp:positionH relativeFrom="column">
              <wp:posOffset>68580</wp:posOffset>
            </wp:positionH>
            <wp:positionV relativeFrom="paragraph">
              <wp:posOffset>0</wp:posOffset>
            </wp:positionV>
            <wp:extent cx="5753735" cy="2667000"/>
            <wp:effectExtent l="0" t="0" r="0" b="0"/>
            <wp:wrapTopAndBottom/>
            <wp:docPr id="1" name="Picture 1" descr="Illustration du Business Plan Bio Source Farm — élément graphique 1" title="Graphique ou illustr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735" cy="2667000"/>
                    </a:xfrm>
                    <a:prstGeom prst="rect">
                      <a:avLst/>
                    </a:prstGeom>
                  </pic:spPr>
                </pic:pic>
              </a:graphicData>
            </a:graphic>
            <wp14:sizeRelH relativeFrom="margin">
              <wp14:pctWidth>0</wp14:pctWidth>
            </wp14:sizeRelH>
            <wp14:sizeRelV relativeFrom="margin">
              <wp14:pctHeight>0</wp14:pctHeight>
            </wp14:sizeRelV>
          </wp:anchor>
        </w:drawing>
      </w:r>
    </w:p>
    <w:p w14:paraId="1AAFB452" w14:textId="77777777" w:rsidR="0042033D" w:rsidRDefault="00000000">
      <w:pPr>
        <w:spacing w:after="140" w:line="240" w:lineRule="auto"/>
        <w:jc w:val="center"/>
        <w:rPr>
          <w:sz w:val="24"/>
          <w:szCs w:val="24"/>
        </w:rPr>
      </w:pPr>
      <w:r>
        <w:rPr>
          <w:sz w:val="24"/>
          <w:szCs w:val="24"/>
        </w:rPr>
        <w:t>Figure 1 — Références de marché vérifiables et positionnement du scénario central de Bio Source Farm</w:t>
      </w:r>
    </w:p>
    <w:p w14:paraId="61A565AF" w14:textId="77777777" w:rsidR="0042033D" w:rsidRDefault="00000000">
      <w:pPr>
        <w:rPr>
          <w:sz w:val="24"/>
          <w:szCs w:val="24"/>
        </w:rPr>
      </w:pPr>
      <w:r>
        <w:rPr>
          <w:i/>
          <w:sz w:val="24"/>
          <w:szCs w:val="24"/>
        </w:rPr>
        <w:t>* Estimation interne : volumes issus des échanges commerciaux de Bio Source Farm ; non contractuels et non assimilés à un TAM.</w:t>
      </w:r>
    </w:p>
    <w:p w14:paraId="213AD7BF" w14:textId="77777777" w:rsidR="0042033D" w:rsidRDefault="00000000">
      <w:pPr>
        <w:pStyle w:val="Heading2"/>
        <w:spacing w:before="150" w:after="60"/>
        <w:rPr>
          <w:rFonts w:ascii="Times New Roman" w:hAnsi="Times New Roman"/>
        </w:rPr>
      </w:pPr>
      <w:bookmarkStart w:id="21" w:name="_Toc100021"/>
      <w:r>
        <w:rPr>
          <w:rFonts w:ascii="Times New Roman" w:hAnsi="Times New Roman"/>
        </w:rPr>
        <w:t>6.2 Marché des engrais à Madagascar : dépendance et prix</w:t>
      </w:r>
      <w:bookmarkEnd w:id="21"/>
    </w:p>
    <w:p w14:paraId="697386D0" w14:textId="77777777" w:rsidR="0042033D" w:rsidRDefault="00000000">
      <w:pPr>
        <w:spacing w:after="60"/>
        <w:jc w:val="both"/>
        <w:rPr>
          <w:sz w:val="24"/>
          <w:szCs w:val="24"/>
        </w:rPr>
      </w:pPr>
      <w:r>
        <w:rPr>
          <w:sz w:val="24"/>
          <w:szCs w:val="24"/>
        </w:rPr>
        <w:t>Les données WITS/UN Comtrade de la Banque mondiale montrent des importations de fertilisants (HS 31) d’environ 28,9 M$ par Madagascar en 2023 ; le code HS 3105 représente environ 19,2 M$ et 26,7 milliers de tonnes. Ces données établissent un marché importé significatif, mais ne permettent pas à elles seules d’estimer la consommation totale ni la part des engrais organiques. Le frass doit donc être positionné par agronomie, disponibilité locale, qualité et coût rendu à l’agriculteur, et non seulement par comparaison de prix catalogue. [S6]</w:t>
      </w:r>
    </w:p>
    <w:p w14:paraId="1007BDE5" w14:textId="77777777" w:rsidR="0042033D" w:rsidRDefault="00000000">
      <w:pPr>
        <w:pStyle w:val="Heading2"/>
        <w:spacing w:before="150" w:after="60"/>
        <w:rPr>
          <w:rFonts w:ascii="Times New Roman" w:hAnsi="Times New Roman"/>
        </w:rPr>
      </w:pPr>
      <w:bookmarkStart w:id="22" w:name="_Toc100022"/>
      <w:r>
        <w:rPr>
          <w:rFonts w:ascii="Times New Roman" w:hAnsi="Times New Roman"/>
        </w:rPr>
        <w:t>6.3 Marché des protéines animales : raréfaction structurelle</w:t>
      </w:r>
      <w:bookmarkEnd w:id="22"/>
    </w:p>
    <w:p w14:paraId="140CB5FD" w14:textId="77777777" w:rsidR="0042033D" w:rsidRDefault="00000000">
      <w:pPr>
        <w:spacing w:after="60"/>
        <w:jc w:val="both"/>
        <w:rPr>
          <w:sz w:val="24"/>
          <w:szCs w:val="24"/>
        </w:rPr>
      </w:pPr>
      <w:r>
        <w:rPr>
          <w:sz w:val="24"/>
          <w:szCs w:val="24"/>
        </w:rPr>
        <w:t>La FAO signalait en juillet 2026 un resserrement du marché mondial de la farine de poisson : les quotas 2026 du Pérou et du Chili étaient en baisse et la farine « Super Prime » FOB Pérou avait atteint 2 500 $/t en mai 2026, contre environ 1 400 $ un an plus tôt. La tension sur l’offre renforce l’intérêt de substituts, mais la proposition de valeur de Bio Source Farm dépendra d’abord du coût, de la régularité, de la qualité et de l’acceptation réglementaire du produit local. [S7]</w:t>
      </w:r>
    </w:p>
    <w:p w14:paraId="46AE5C70" w14:textId="77777777" w:rsidR="0042033D" w:rsidRDefault="00000000">
      <w:pPr>
        <w:keepNext/>
        <w:spacing w:before="140" w:after="50" w:line="260" w:lineRule="auto"/>
        <w:rPr>
          <w:sz w:val="24"/>
          <w:szCs w:val="24"/>
        </w:rPr>
      </w:pPr>
      <w:r>
        <w:rPr>
          <w:rFonts w:eastAsia="Arial"/>
          <w:b/>
          <w:bCs/>
          <w:color w:val="1A2330"/>
          <w:sz w:val="24"/>
          <w:szCs w:val="24"/>
        </w:rPr>
        <w:lastRenderedPageBreak/>
        <w:t>Tableau 5 bis — Étude de marché protéines animales Madagascar : principaux acheteurs potentiels</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380"/>
        <w:gridCol w:w="2564"/>
        <w:gridCol w:w="1831"/>
        <w:gridCol w:w="2381"/>
      </w:tblGrid>
      <w:tr w:rsidR="0042033D" w14:paraId="4A013F17" w14:textId="77777777">
        <w:trPr>
          <w:cantSplit/>
          <w:tblHeader/>
        </w:trPr>
        <w:tc>
          <w:tcPr>
            <w:tcW w:w="1300" w:type="pct"/>
            <w:shd w:val="clear" w:color="auto" w:fill="D4875A"/>
            <w:tcMar>
              <w:top w:w="36" w:type="dxa"/>
              <w:left w:w="80" w:type="dxa"/>
              <w:bottom w:w="36" w:type="dxa"/>
              <w:right w:w="80" w:type="dxa"/>
            </w:tcMar>
            <w:vAlign w:val="center"/>
          </w:tcPr>
          <w:p w14:paraId="2A1D1100" w14:textId="77777777" w:rsidR="0042033D" w:rsidRDefault="00000000">
            <w:pPr>
              <w:spacing w:line="232" w:lineRule="auto"/>
              <w:jc w:val="center"/>
              <w:rPr>
                <w:sz w:val="24"/>
                <w:szCs w:val="24"/>
              </w:rPr>
            </w:pPr>
            <w:r>
              <w:rPr>
                <w:b/>
                <w:bCs/>
                <w:color w:val="FFFFFF"/>
                <w:sz w:val="24"/>
                <w:szCs w:val="24"/>
              </w:rPr>
              <w:t>Acheteur potentiel / catégorie</w:t>
            </w:r>
          </w:p>
        </w:tc>
        <w:tc>
          <w:tcPr>
            <w:tcW w:w="1400" w:type="pct"/>
            <w:shd w:val="clear" w:color="auto" w:fill="D4875A"/>
            <w:tcMar>
              <w:top w:w="36" w:type="dxa"/>
              <w:left w:w="80" w:type="dxa"/>
              <w:bottom w:w="36" w:type="dxa"/>
              <w:right w:w="80" w:type="dxa"/>
            </w:tcMar>
            <w:vAlign w:val="center"/>
          </w:tcPr>
          <w:p w14:paraId="3821FE73" w14:textId="77777777" w:rsidR="0042033D" w:rsidRDefault="00000000">
            <w:pPr>
              <w:spacing w:line="232" w:lineRule="auto"/>
              <w:jc w:val="center"/>
              <w:rPr>
                <w:sz w:val="24"/>
                <w:szCs w:val="24"/>
              </w:rPr>
            </w:pPr>
            <w:r>
              <w:rPr>
                <w:b/>
                <w:bCs/>
                <w:color w:val="FFFFFF"/>
                <w:sz w:val="24"/>
                <w:szCs w:val="24"/>
              </w:rPr>
              <w:t>Besoin et usage recherché</w:t>
            </w:r>
          </w:p>
        </w:tc>
        <w:tc>
          <w:tcPr>
            <w:tcW w:w="1000" w:type="pct"/>
            <w:shd w:val="clear" w:color="auto" w:fill="D4875A"/>
            <w:tcMar>
              <w:top w:w="36" w:type="dxa"/>
              <w:left w:w="80" w:type="dxa"/>
              <w:bottom w:w="36" w:type="dxa"/>
              <w:right w:w="80" w:type="dxa"/>
            </w:tcMar>
            <w:vAlign w:val="center"/>
          </w:tcPr>
          <w:p w14:paraId="0B2B4644" w14:textId="77777777" w:rsidR="0042033D" w:rsidRDefault="00000000">
            <w:pPr>
              <w:spacing w:line="232" w:lineRule="auto"/>
              <w:jc w:val="center"/>
              <w:rPr>
                <w:sz w:val="24"/>
                <w:szCs w:val="24"/>
              </w:rPr>
            </w:pPr>
            <w:r>
              <w:rPr>
                <w:b/>
                <w:bCs/>
                <w:color w:val="FFFFFF"/>
                <w:sz w:val="24"/>
                <w:szCs w:val="24"/>
              </w:rPr>
              <w:t>Volume actuel de farine de poisson (estimation)</w:t>
            </w:r>
          </w:p>
        </w:tc>
        <w:tc>
          <w:tcPr>
            <w:tcW w:w="1300" w:type="pct"/>
            <w:shd w:val="clear" w:color="auto" w:fill="D4875A"/>
            <w:tcMar>
              <w:top w:w="36" w:type="dxa"/>
              <w:left w:w="80" w:type="dxa"/>
              <w:bottom w:w="36" w:type="dxa"/>
              <w:right w:w="80" w:type="dxa"/>
            </w:tcMar>
            <w:vAlign w:val="center"/>
          </w:tcPr>
          <w:p w14:paraId="163352EE" w14:textId="77777777" w:rsidR="0042033D" w:rsidRDefault="00000000">
            <w:pPr>
              <w:spacing w:line="232" w:lineRule="auto"/>
              <w:jc w:val="center"/>
              <w:rPr>
                <w:sz w:val="24"/>
                <w:szCs w:val="24"/>
              </w:rPr>
            </w:pPr>
            <w:r>
              <w:rPr>
                <w:b/>
                <w:bCs/>
                <w:color w:val="FFFFFF"/>
                <w:sz w:val="24"/>
                <w:szCs w:val="24"/>
              </w:rPr>
              <w:t>Statut de la relation</w:t>
            </w:r>
          </w:p>
        </w:tc>
      </w:tr>
      <w:tr w:rsidR="0042033D" w14:paraId="3250F049" w14:textId="77777777">
        <w:trPr>
          <w:cantSplit/>
        </w:trPr>
        <w:tc>
          <w:tcPr>
            <w:tcW w:w="1300" w:type="pct"/>
            <w:tcMar>
              <w:top w:w="28" w:type="dxa"/>
              <w:left w:w="80" w:type="dxa"/>
              <w:bottom w:w="28" w:type="dxa"/>
              <w:right w:w="80" w:type="dxa"/>
            </w:tcMar>
            <w:vAlign w:val="center"/>
          </w:tcPr>
          <w:p w14:paraId="2CDE2BE6" w14:textId="77777777" w:rsidR="0042033D" w:rsidRDefault="00000000">
            <w:pPr>
              <w:spacing w:line="232" w:lineRule="auto"/>
              <w:rPr>
                <w:sz w:val="24"/>
                <w:szCs w:val="24"/>
              </w:rPr>
            </w:pPr>
            <w:r>
              <w:rPr>
                <w:b/>
                <w:bCs/>
                <w:sz w:val="24"/>
                <w:szCs w:val="24"/>
              </w:rPr>
              <w:t>Intégrations avicoles de l'Analamanga (grands bassins de ponte)</w:t>
            </w:r>
          </w:p>
        </w:tc>
        <w:tc>
          <w:tcPr>
            <w:tcW w:w="1400" w:type="pct"/>
            <w:tcMar>
              <w:top w:w="28" w:type="dxa"/>
              <w:left w:w="80" w:type="dxa"/>
              <w:bottom w:w="28" w:type="dxa"/>
              <w:right w:w="80" w:type="dxa"/>
            </w:tcMar>
            <w:vAlign w:val="center"/>
          </w:tcPr>
          <w:p w14:paraId="6246E886" w14:textId="77777777" w:rsidR="0042033D" w:rsidRDefault="00000000">
            <w:pPr>
              <w:spacing w:line="232" w:lineRule="auto"/>
              <w:rPr>
                <w:sz w:val="24"/>
                <w:szCs w:val="24"/>
              </w:rPr>
            </w:pPr>
            <w:r>
              <w:rPr>
                <w:sz w:val="24"/>
                <w:szCs w:val="24"/>
              </w:rPr>
              <w:t>Substitution partielle de la farine de poisson dans les aliments démarrage et ponte</w:t>
            </w:r>
          </w:p>
        </w:tc>
        <w:tc>
          <w:tcPr>
            <w:tcW w:w="1000" w:type="pct"/>
            <w:tcMar>
              <w:top w:w="28" w:type="dxa"/>
              <w:left w:w="80" w:type="dxa"/>
              <w:bottom w:w="28" w:type="dxa"/>
              <w:right w:w="80" w:type="dxa"/>
            </w:tcMar>
            <w:vAlign w:val="center"/>
          </w:tcPr>
          <w:p w14:paraId="555351F1" w14:textId="77777777" w:rsidR="0042033D" w:rsidRDefault="00000000">
            <w:pPr>
              <w:spacing w:line="232" w:lineRule="auto"/>
              <w:rPr>
                <w:sz w:val="24"/>
                <w:szCs w:val="24"/>
              </w:rPr>
            </w:pPr>
            <w:r>
              <w:rPr>
                <w:b/>
                <w:bCs/>
                <w:sz w:val="24"/>
                <w:szCs w:val="24"/>
              </w:rPr>
              <w:t>600 à 800 T/an cumulées</w:t>
            </w:r>
          </w:p>
        </w:tc>
        <w:tc>
          <w:tcPr>
            <w:tcW w:w="1300" w:type="pct"/>
            <w:tcMar>
              <w:top w:w="28" w:type="dxa"/>
              <w:left w:w="80" w:type="dxa"/>
              <w:bottom w:w="28" w:type="dxa"/>
              <w:right w:w="80" w:type="dxa"/>
            </w:tcMar>
            <w:vAlign w:val="center"/>
          </w:tcPr>
          <w:p w14:paraId="787B6EA7" w14:textId="77777777" w:rsidR="0042033D" w:rsidRDefault="00000000">
            <w:pPr>
              <w:spacing w:line="232" w:lineRule="auto"/>
              <w:rPr>
                <w:sz w:val="24"/>
                <w:szCs w:val="24"/>
              </w:rPr>
            </w:pPr>
            <w:r>
              <w:rPr>
                <w:sz w:val="24"/>
                <w:szCs w:val="24"/>
              </w:rPr>
              <w:t>Deux comptes en visite technique ; essais de formulation sur lots pilotes</w:t>
            </w:r>
          </w:p>
        </w:tc>
      </w:tr>
      <w:tr w:rsidR="0042033D" w14:paraId="6E20C28A" w14:textId="77777777">
        <w:trPr>
          <w:cantSplit/>
        </w:trPr>
        <w:tc>
          <w:tcPr>
            <w:tcW w:w="1300" w:type="pct"/>
            <w:tcMar>
              <w:top w:w="28" w:type="dxa"/>
              <w:left w:w="80" w:type="dxa"/>
              <w:bottom w:w="28" w:type="dxa"/>
              <w:right w:w="80" w:type="dxa"/>
            </w:tcMar>
            <w:vAlign w:val="center"/>
          </w:tcPr>
          <w:p w14:paraId="661EDE7C" w14:textId="77777777" w:rsidR="0042033D" w:rsidRDefault="00000000">
            <w:pPr>
              <w:spacing w:line="232" w:lineRule="auto"/>
              <w:rPr>
                <w:sz w:val="24"/>
                <w:szCs w:val="24"/>
              </w:rPr>
            </w:pPr>
            <w:r>
              <w:rPr>
                <w:b/>
                <w:bCs/>
                <w:sz w:val="24"/>
                <w:szCs w:val="24"/>
              </w:rPr>
              <w:t>Aquaculteurs du bassin Alaotra-Mangoro</w:t>
            </w:r>
          </w:p>
        </w:tc>
        <w:tc>
          <w:tcPr>
            <w:tcW w:w="1400" w:type="pct"/>
            <w:tcMar>
              <w:top w:w="28" w:type="dxa"/>
              <w:left w:w="80" w:type="dxa"/>
              <w:bottom w:w="28" w:type="dxa"/>
              <w:right w:w="80" w:type="dxa"/>
            </w:tcMar>
            <w:vAlign w:val="center"/>
          </w:tcPr>
          <w:p w14:paraId="494A1D34" w14:textId="77777777" w:rsidR="0042033D" w:rsidRDefault="00000000">
            <w:pPr>
              <w:spacing w:line="232" w:lineRule="auto"/>
              <w:rPr>
                <w:sz w:val="24"/>
                <w:szCs w:val="24"/>
              </w:rPr>
            </w:pPr>
            <w:r>
              <w:rPr>
                <w:sz w:val="24"/>
                <w:szCs w:val="24"/>
              </w:rPr>
              <w:t>Farine pour alimentation tilapia, forte sensibilité au prix</w:t>
            </w:r>
          </w:p>
        </w:tc>
        <w:tc>
          <w:tcPr>
            <w:tcW w:w="1000" w:type="pct"/>
            <w:tcMar>
              <w:top w:w="28" w:type="dxa"/>
              <w:left w:w="80" w:type="dxa"/>
              <w:bottom w:w="28" w:type="dxa"/>
              <w:right w:w="80" w:type="dxa"/>
            </w:tcMar>
            <w:vAlign w:val="center"/>
          </w:tcPr>
          <w:p w14:paraId="3B4F2BC8" w14:textId="77777777" w:rsidR="0042033D" w:rsidRDefault="00000000">
            <w:pPr>
              <w:spacing w:line="232" w:lineRule="auto"/>
              <w:rPr>
                <w:sz w:val="24"/>
                <w:szCs w:val="24"/>
              </w:rPr>
            </w:pPr>
            <w:r>
              <w:rPr>
                <w:b/>
                <w:bCs/>
                <w:sz w:val="24"/>
                <w:szCs w:val="24"/>
              </w:rPr>
              <w:t>200 à 300 T/an</w:t>
            </w:r>
          </w:p>
        </w:tc>
        <w:tc>
          <w:tcPr>
            <w:tcW w:w="1300" w:type="pct"/>
            <w:tcMar>
              <w:top w:w="28" w:type="dxa"/>
              <w:left w:w="80" w:type="dxa"/>
              <w:bottom w:w="28" w:type="dxa"/>
              <w:right w:w="80" w:type="dxa"/>
            </w:tcMar>
            <w:vAlign w:val="center"/>
          </w:tcPr>
          <w:p w14:paraId="674F73F7" w14:textId="77777777" w:rsidR="0042033D" w:rsidRDefault="00000000">
            <w:pPr>
              <w:spacing w:line="232" w:lineRule="auto"/>
              <w:rPr>
                <w:sz w:val="24"/>
                <w:szCs w:val="24"/>
              </w:rPr>
            </w:pPr>
            <w:r>
              <w:rPr>
                <w:sz w:val="24"/>
                <w:szCs w:val="24"/>
              </w:rPr>
              <w:t>Contact établi avec trois fermes ; commande pilote visée en 2027</w:t>
            </w:r>
          </w:p>
        </w:tc>
      </w:tr>
      <w:tr w:rsidR="0042033D" w14:paraId="4C531D0A" w14:textId="77777777">
        <w:trPr>
          <w:cantSplit/>
        </w:trPr>
        <w:tc>
          <w:tcPr>
            <w:tcW w:w="1300" w:type="pct"/>
            <w:tcMar>
              <w:top w:w="28" w:type="dxa"/>
              <w:left w:w="80" w:type="dxa"/>
              <w:bottom w:w="28" w:type="dxa"/>
              <w:right w:w="80" w:type="dxa"/>
            </w:tcMar>
            <w:vAlign w:val="center"/>
          </w:tcPr>
          <w:p w14:paraId="79D412FA" w14:textId="77777777" w:rsidR="0042033D" w:rsidRDefault="00000000">
            <w:pPr>
              <w:spacing w:line="232" w:lineRule="auto"/>
              <w:rPr>
                <w:sz w:val="24"/>
                <w:szCs w:val="24"/>
              </w:rPr>
            </w:pPr>
            <w:r>
              <w:rPr>
                <w:b/>
                <w:bCs/>
                <w:sz w:val="24"/>
                <w:szCs w:val="24"/>
              </w:rPr>
              <w:t>Formulateur régional de provendes (Atsinanana)</w:t>
            </w:r>
          </w:p>
        </w:tc>
        <w:tc>
          <w:tcPr>
            <w:tcW w:w="1400" w:type="pct"/>
            <w:tcMar>
              <w:top w:w="28" w:type="dxa"/>
              <w:left w:w="80" w:type="dxa"/>
              <w:bottom w:w="28" w:type="dxa"/>
              <w:right w:w="80" w:type="dxa"/>
            </w:tcMar>
            <w:vAlign w:val="center"/>
          </w:tcPr>
          <w:p w14:paraId="57E901EC" w14:textId="77777777" w:rsidR="0042033D" w:rsidRDefault="00000000">
            <w:pPr>
              <w:spacing w:line="232" w:lineRule="auto"/>
              <w:rPr>
                <w:sz w:val="24"/>
                <w:szCs w:val="24"/>
              </w:rPr>
            </w:pPr>
            <w:r>
              <w:rPr>
                <w:sz w:val="24"/>
                <w:szCs w:val="24"/>
              </w:rPr>
              <w:t>Approvisionnement local fiable pour la filière multi-espèces</w:t>
            </w:r>
          </w:p>
        </w:tc>
        <w:tc>
          <w:tcPr>
            <w:tcW w:w="1000" w:type="pct"/>
            <w:tcMar>
              <w:top w:w="28" w:type="dxa"/>
              <w:left w:w="80" w:type="dxa"/>
              <w:bottom w:w="28" w:type="dxa"/>
              <w:right w:w="80" w:type="dxa"/>
            </w:tcMar>
            <w:vAlign w:val="center"/>
          </w:tcPr>
          <w:p w14:paraId="20FB9360" w14:textId="77777777" w:rsidR="0042033D" w:rsidRDefault="00000000">
            <w:pPr>
              <w:spacing w:line="232" w:lineRule="auto"/>
              <w:rPr>
                <w:sz w:val="24"/>
                <w:szCs w:val="24"/>
              </w:rPr>
            </w:pPr>
            <w:r>
              <w:rPr>
                <w:b/>
                <w:bCs/>
                <w:sz w:val="24"/>
                <w:szCs w:val="24"/>
              </w:rPr>
              <w:t>150 à 200 T/an</w:t>
            </w:r>
          </w:p>
        </w:tc>
        <w:tc>
          <w:tcPr>
            <w:tcW w:w="1300" w:type="pct"/>
            <w:tcMar>
              <w:top w:w="28" w:type="dxa"/>
              <w:left w:w="80" w:type="dxa"/>
              <w:bottom w:w="28" w:type="dxa"/>
              <w:right w:w="80" w:type="dxa"/>
            </w:tcMar>
            <w:vAlign w:val="center"/>
          </w:tcPr>
          <w:p w14:paraId="6E519F24" w14:textId="77777777" w:rsidR="0042033D" w:rsidRDefault="00000000">
            <w:pPr>
              <w:spacing w:line="232" w:lineRule="auto"/>
              <w:rPr>
                <w:sz w:val="24"/>
                <w:szCs w:val="24"/>
              </w:rPr>
            </w:pPr>
            <w:r>
              <w:rPr>
                <w:sz w:val="24"/>
                <w:szCs w:val="24"/>
              </w:rPr>
              <w:t>Discussions exploratoires en cours sur une lettre d'intention</w:t>
            </w:r>
          </w:p>
        </w:tc>
      </w:tr>
      <w:tr w:rsidR="0042033D" w14:paraId="5B92D173" w14:textId="77777777">
        <w:trPr>
          <w:cantSplit/>
        </w:trPr>
        <w:tc>
          <w:tcPr>
            <w:tcW w:w="1300" w:type="pct"/>
            <w:tcMar>
              <w:top w:w="28" w:type="dxa"/>
              <w:left w:w="80" w:type="dxa"/>
              <w:bottom w:w="28" w:type="dxa"/>
              <w:right w:w="80" w:type="dxa"/>
            </w:tcMar>
            <w:vAlign w:val="center"/>
          </w:tcPr>
          <w:p w14:paraId="2B8DF74E" w14:textId="77777777" w:rsidR="0042033D" w:rsidRDefault="00000000">
            <w:pPr>
              <w:spacing w:line="232" w:lineRule="auto"/>
              <w:rPr>
                <w:sz w:val="24"/>
                <w:szCs w:val="24"/>
              </w:rPr>
            </w:pPr>
            <w:r>
              <w:rPr>
                <w:b/>
                <w:bCs/>
                <w:sz w:val="24"/>
                <w:szCs w:val="24"/>
              </w:rPr>
              <w:t>Porcineries périurbaines organisées (Toamasina)</w:t>
            </w:r>
          </w:p>
        </w:tc>
        <w:tc>
          <w:tcPr>
            <w:tcW w:w="1400" w:type="pct"/>
            <w:tcMar>
              <w:top w:w="28" w:type="dxa"/>
              <w:left w:w="80" w:type="dxa"/>
              <w:bottom w:w="28" w:type="dxa"/>
              <w:right w:w="80" w:type="dxa"/>
            </w:tcMar>
            <w:vAlign w:val="center"/>
          </w:tcPr>
          <w:p w14:paraId="005529AE" w14:textId="77777777" w:rsidR="0042033D" w:rsidRDefault="00000000">
            <w:pPr>
              <w:spacing w:line="232" w:lineRule="auto"/>
              <w:rPr>
                <w:sz w:val="24"/>
                <w:szCs w:val="24"/>
              </w:rPr>
            </w:pPr>
            <w:r>
              <w:rPr>
                <w:sz w:val="24"/>
                <w:szCs w:val="24"/>
              </w:rPr>
              <w:t>Complément protéique en ferme, circuits courts</w:t>
            </w:r>
          </w:p>
        </w:tc>
        <w:tc>
          <w:tcPr>
            <w:tcW w:w="1000" w:type="pct"/>
            <w:tcMar>
              <w:top w:w="28" w:type="dxa"/>
              <w:left w:w="80" w:type="dxa"/>
              <w:bottom w:w="28" w:type="dxa"/>
              <w:right w:w="80" w:type="dxa"/>
            </w:tcMar>
            <w:vAlign w:val="center"/>
          </w:tcPr>
          <w:p w14:paraId="5E2CB07B" w14:textId="77777777" w:rsidR="0042033D" w:rsidRDefault="00000000">
            <w:pPr>
              <w:spacing w:line="232" w:lineRule="auto"/>
              <w:rPr>
                <w:sz w:val="24"/>
                <w:szCs w:val="24"/>
              </w:rPr>
            </w:pPr>
            <w:r>
              <w:rPr>
                <w:b/>
                <w:bCs/>
                <w:sz w:val="24"/>
                <w:szCs w:val="24"/>
              </w:rPr>
              <w:t>80 à 120 T/an</w:t>
            </w:r>
          </w:p>
        </w:tc>
        <w:tc>
          <w:tcPr>
            <w:tcW w:w="1300" w:type="pct"/>
            <w:tcMar>
              <w:top w:w="28" w:type="dxa"/>
              <w:left w:w="80" w:type="dxa"/>
              <w:bottom w:w="28" w:type="dxa"/>
              <w:right w:w="80" w:type="dxa"/>
            </w:tcMar>
            <w:vAlign w:val="center"/>
          </w:tcPr>
          <w:p w14:paraId="737B4855" w14:textId="77777777" w:rsidR="0042033D" w:rsidRDefault="00000000">
            <w:pPr>
              <w:spacing w:line="232" w:lineRule="auto"/>
              <w:rPr>
                <w:sz w:val="24"/>
                <w:szCs w:val="24"/>
              </w:rPr>
            </w:pPr>
            <w:r>
              <w:rPr>
                <w:sz w:val="24"/>
                <w:szCs w:val="24"/>
              </w:rPr>
              <w:t>Ventes ponctuelles de larves vivantes déjà réalisées (canal éprouvé)</w:t>
            </w:r>
          </w:p>
        </w:tc>
      </w:tr>
      <w:tr w:rsidR="0042033D" w14:paraId="7BD3D353" w14:textId="77777777">
        <w:trPr>
          <w:cantSplit/>
        </w:trPr>
        <w:tc>
          <w:tcPr>
            <w:tcW w:w="1300" w:type="pct"/>
            <w:tcMar>
              <w:top w:w="28" w:type="dxa"/>
              <w:left w:w="80" w:type="dxa"/>
              <w:bottom w:w="28" w:type="dxa"/>
              <w:right w:w="80" w:type="dxa"/>
            </w:tcMar>
            <w:vAlign w:val="center"/>
          </w:tcPr>
          <w:p w14:paraId="2A7A0A43" w14:textId="77777777" w:rsidR="0042033D" w:rsidRDefault="00000000">
            <w:pPr>
              <w:spacing w:line="232" w:lineRule="auto"/>
              <w:rPr>
                <w:sz w:val="24"/>
                <w:szCs w:val="24"/>
              </w:rPr>
            </w:pPr>
            <w:r>
              <w:rPr>
                <w:b/>
                <w:bCs/>
                <w:sz w:val="24"/>
                <w:szCs w:val="24"/>
              </w:rPr>
              <w:t>Exploitants aquacoles du littoral Est</w:t>
            </w:r>
          </w:p>
        </w:tc>
        <w:tc>
          <w:tcPr>
            <w:tcW w:w="1400" w:type="pct"/>
            <w:tcMar>
              <w:top w:w="28" w:type="dxa"/>
              <w:left w:w="80" w:type="dxa"/>
              <w:bottom w:w="28" w:type="dxa"/>
              <w:right w:w="80" w:type="dxa"/>
            </w:tcMar>
            <w:vAlign w:val="center"/>
          </w:tcPr>
          <w:p w14:paraId="26E86BE2" w14:textId="77777777" w:rsidR="0042033D" w:rsidRDefault="00000000">
            <w:pPr>
              <w:spacing w:line="232" w:lineRule="auto"/>
              <w:rPr>
                <w:sz w:val="24"/>
                <w:szCs w:val="24"/>
              </w:rPr>
            </w:pPr>
            <w:r>
              <w:rPr>
                <w:sz w:val="24"/>
                <w:szCs w:val="24"/>
              </w:rPr>
              <w:t>Approvisionnement direct en larves fraîches ou séchées</w:t>
            </w:r>
          </w:p>
        </w:tc>
        <w:tc>
          <w:tcPr>
            <w:tcW w:w="1000" w:type="pct"/>
            <w:tcMar>
              <w:top w:w="28" w:type="dxa"/>
              <w:left w:w="80" w:type="dxa"/>
              <w:bottom w:w="28" w:type="dxa"/>
              <w:right w:w="80" w:type="dxa"/>
            </w:tcMar>
            <w:vAlign w:val="center"/>
          </w:tcPr>
          <w:p w14:paraId="3D7F71C7" w14:textId="77777777" w:rsidR="0042033D" w:rsidRDefault="00000000">
            <w:pPr>
              <w:spacing w:line="232" w:lineRule="auto"/>
              <w:rPr>
                <w:sz w:val="24"/>
                <w:szCs w:val="24"/>
              </w:rPr>
            </w:pPr>
            <w:r>
              <w:rPr>
                <w:b/>
                <w:bCs/>
                <w:sz w:val="24"/>
                <w:szCs w:val="24"/>
              </w:rPr>
              <w:t>50 à 80 T/an</w:t>
            </w:r>
          </w:p>
        </w:tc>
        <w:tc>
          <w:tcPr>
            <w:tcW w:w="1300" w:type="pct"/>
            <w:tcMar>
              <w:top w:w="28" w:type="dxa"/>
              <w:left w:w="80" w:type="dxa"/>
              <w:bottom w:w="28" w:type="dxa"/>
              <w:right w:w="80" w:type="dxa"/>
            </w:tcMar>
            <w:vAlign w:val="center"/>
          </w:tcPr>
          <w:p w14:paraId="5D3CAD5E" w14:textId="77777777" w:rsidR="0042033D" w:rsidRDefault="00000000">
            <w:pPr>
              <w:spacing w:line="232" w:lineRule="auto"/>
              <w:rPr>
                <w:sz w:val="24"/>
                <w:szCs w:val="24"/>
              </w:rPr>
            </w:pPr>
            <w:r>
              <w:rPr>
                <w:sz w:val="24"/>
                <w:szCs w:val="24"/>
              </w:rPr>
              <w:t>Canal larves vivantes opérationnel depuis 2024</w:t>
            </w:r>
          </w:p>
        </w:tc>
      </w:tr>
    </w:tbl>
    <w:p w14:paraId="085F11BD" w14:textId="77777777" w:rsidR="0042033D" w:rsidRDefault="00000000">
      <w:pPr>
        <w:spacing w:after="60"/>
        <w:jc w:val="both"/>
        <w:rPr>
          <w:sz w:val="24"/>
          <w:szCs w:val="24"/>
        </w:rPr>
      </w:pPr>
      <w:r>
        <w:rPr>
          <w:sz w:val="24"/>
          <w:szCs w:val="24"/>
        </w:rPr>
        <w:t>Les volumes de 1 100 à 1 500 tonnes/an présentés dans l’étude de marché interne doivent être lus comme une estimation de besoins à qualifier auprès des acheteurs ciblés. Ils constituent un signal de potentiel supérieur aux volumes de farine de larves projetés, mais ne remplacent ni des contrats, ni des lettres d’intention, ni des essais de formulation validés. Le principal goulot d’étranglement demeure donc la qualification industrielle et réglementaire de la ligne protéines.</w:t>
      </w:r>
    </w:p>
    <w:p w14:paraId="4238396E" w14:textId="77777777" w:rsidR="0042033D" w:rsidRDefault="00000000">
      <w:pPr>
        <w:pStyle w:val="Heading2"/>
        <w:spacing w:before="150" w:after="60"/>
        <w:rPr>
          <w:rFonts w:ascii="Times New Roman" w:hAnsi="Times New Roman"/>
        </w:rPr>
      </w:pPr>
      <w:bookmarkStart w:id="23" w:name="_Toc100023"/>
      <w:r>
        <w:rPr>
          <w:rFonts w:ascii="Times New Roman" w:hAnsi="Times New Roman"/>
        </w:rPr>
        <w:t>6.4 Marché des services de gestion des déchets : contrainte et opportunité</w:t>
      </w:r>
      <w:bookmarkEnd w:id="23"/>
    </w:p>
    <w:p w14:paraId="02000C87" w14:textId="77777777" w:rsidR="0042033D" w:rsidRDefault="00000000">
      <w:pPr>
        <w:spacing w:after="60"/>
        <w:jc w:val="both"/>
        <w:rPr>
          <w:sz w:val="24"/>
          <w:szCs w:val="24"/>
        </w:rPr>
      </w:pPr>
      <w:r>
        <w:rPr>
          <w:sz w:val="24"/>
          <w:szCs w:val="24"/>
        </w:rPr>
        <w:t>Le marché des services de gestion et de valorisation des déchets organiques est en émergence à Madagascar. Les communes urbaines (Toamasina, Antananarivo, Mahajanga) font face à des volumes croissants de déchets non collectés ou mal gérés, et les contraintes budgétaires limitent les investissements publics. Bio Source Farm peut se positionner comme prestataire de valorisation pour le compte de grandes villes ou de complexes agro-industriels (SCRIMAD, restaurants), en générant un revenu de service au tonnage traité en complément de la vente des produits finis — un relais de croissance structurant à l'horizon 2028-2030, actuellement en phase de négociation pilote.</w:t>
      </w:r>
    </w:p>
    <w:p w14:paraId="56ED492B" w14:textId="77777777" w:rsidR="0042033D" w:rsidRDefault="00000000">
      <w:pPr>
        <w:pStyle w:val="Heading2"/>
        <w:spacing w:before="150" w:after="60"/>
        <w:rPr>
          <w:rFonts w:ascii="Times New Roman" w:hAnsi="Times New Roman"/>
        </w:rPr>
      </w:pPr>
      <w:bookmarkStart w:id="24" w:name="_Toc100024"/>
      <w:r>
        <w:rPr>
          <w:rFonts w:ascii="Times New Roman" w:hAnsi="Times New Roman"/>
        </w:rPr>
        <w:t>6.5 Marché de l'exportation régionale : Océan Indien</w:t>
      </w:r>
      <w:bookmarkEnd w:id="24"/>
    </w:p>
    <w:p w14:paraId="681CE451" w14:textId="77777777" w:rsidR="0042033D" w:rsidRDefault="00000000">
      <w:pPr>
        <w:spacing w:after="60"/>
        <w:jc w:val="both"/>
        <w:rPr>
          <w:sz w:val="24"/>
          <w:szCs w:val="24"/>
        </w:rPr>
      </w:pPr>
      <w:r>
        <w:rPr>
          <w:sz w:val="24"/>
          <w:szCs w:val="24"/>
        </w:rPr>
        <w:t>L’export régional est conservé comme option de moyen terme, sans contribution au scénario central. Les marchés visés pourront être instruits séparément après validation des exigences qualité, sanitaires et douanières applicables à chaque destination. Aucune hypothèse de prix export n’est retenue dans le compte de résultat de base.</w:t>
      </w:r>
    </w:p>
    <w:p w14:paraId="376FE546"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25" w:name="_Toc238821286"/>
      <w:r w:rsidRPr="005C594B">
        <w:rPr>
          <w:rFonts w:ascii="League Spartan" w:hAnsi="League Spartan"/>
          <w:sz w:val="40"/>
          <w:szCs w:val="40"/>
        </w:rPr>
        <w:lastRenderedPageBreak/>
        <w:t>7. Clients et segmentation</w:t>
      </w:r>
      <w:bookmarkEnd w:id="25"/>
    </w:p>
    <w:p w14:paraId="5ABB6CD8" w14:textId="13E4FA22" w:rsidR="0042033D" w:rsidRDefault="00000000">
      <w:pPr>
        <w:spacing w:after="60"/>
        <w:jc w:val="both"/>
        <w:rPr>
          <w:sz w:val="24"/>
          <w:szCs w:val="24"/>
        </w:rPr>
      </w:pPr>
      <w:r>
        <w:rPr>
          <w:sz w:val="24"/>
          <w:szCs w:val="24"/>
        </w:rPr>
        <w:t xml:space="preserve">La stratégie commerciale repose sur une segmentation de la demande en quatre segments différenciés, chacun avec une proposition de valeur, un positionnement prix et une stratégie d'acquisition spécifiques. Elle réduit progressivement la dépendance au canal </w:t>
      </w:r>
      <w:r w:rsidR="00C001FE">
        <w:rPr>
          <w:sz w:val="24"/>
          <w:szCs w:val="24"/>
          <w:lang w:val="fr-FR"/>
        </w:rPr>
        <w:t>MIASA (Ministère de l’Agriculture et de la Souveraineté Alimentaire)</w:t>
      </w:r>
      <w:r>
        <w:rPr>
          <w:sz w:val="24"/>
          <w:szCs w:val="24"/>
        </w:rPr>
        <w:t>, qui représente aujourd'hui 86,9 % du chiffre d'affaires mais qui doit descendre vers 58 % dès 2027 puis sous 46 % à l'horizon 2030 au profit des ventes directes et de la ligne protéines.</w:t>
      </w:r>
    </w:p>
    <w:p w14:paraId="634B8012" w14:textId="77777777" w:rsidR="0042033D" w:rsidRDefault="00000000">
      <w:pPr>
        <w:keepNext/>
        <w:spacing w:before="140" w:after="50" w:line="260" w:lineRule="auto"/>
        <w:rPr>
          <w:sz w:val="24"/>
          <w:szCs w:val="24"/>
        </w:rPr>
      </w:pPr>
      <w:r>
        <w:rPr>
          <w:rFonts w:eastAsia="Arial"/>
          <w:b/>
          <w:bCs/>
          <w:color w:val="1A2330"/>
          <w:sz w:val="24"/>
          <w:szCs w:val="24"/>
        </w:rPr>
        <w:t>Tableau 4 — Segmentation de la clientèle et stratégie par segment</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3113"/>
        <w:gridCol w:w="1099"/>
        <w:gridCol w:w="1831"/>
        <w:gridCol w:w="3113"/>
      </w:tblGrid>
      <w:tr w:rsidR="0042033D" w14:paraId="370C8E53" w14:textId="77777777">
        <w:trPr>
          <w:cantSplit/>
          <w:tblHeader/>
        </w:trPr>
        <w:tc>
          <w:tcPr>
            <w:tcW w:w="1700" w:type="pct"/>
            <w:shd w:val="clear" w:color="auto" w:fill="D4875A"/>
            <w:tcMar>
              <w:top w:w="36" w:type="dxa"/>
              <w:left w:w="80" w:type="dxa"/>
              <w:bottom w:w="36" w:type="dxa"/>
              <w:right w:w="80" w:type="dxa"/>
            </w:tcMar>
            <w:vAlign w:val="center"/>
          </w:tcPr>
          <w:p w14:paraId="627D1811" w14:textId="77777777" w:rsidR="0042033D" w:rsidRDefault="00000000">
            <w:pPr>
              <w:spacing w:line="232" w:lineRule="auto"/>
              <w:jc w:val="center"/>
              <w:rPr>
                <w:sz w:val="24"/>
                <w:szCs w:val="24"/>
              </w:rPr>
            </w:pPr>
            <w:r>
              <w:rPr>
                <w:b/>
                <w:bCs/>
                <w:color w:val="FFFFFF"/>
                <w:sz w:val="24"/>
                <w:szCs w:val="24"/>
              </w:rPr>
              <w:t>Segment</w:t>
            </w:r>
          </w:p>
        </w:tc>
        <w:tc>
          <w:tcPr>
            <w:tcW w:w="600" w:type="pct"/>
            <w:shd w:val="clear" w:color="auto" w:fill="D4875A"/>
            <w:tcMar>
              <w:top w:w="36" w:type="dxa"/>
              <w:left w:w="80" w:type="dxa"/>
              <w:bottom w:w="36" w:type="dxa"/>
              <w:right w:w="80" w:type="dxa"/>
            </w:tcMar>
            <w:vAlign w:val="center"/>
          </w:tcPr>
          <w:p w14:paraId="741122BC" w14:textId="77777777" w:rsidR="0042033D" w:rsidRDefault="00000000">
            <w:pPr>
              <w:spacing w:line="232" w:lineRule="auto"/>
              <w:jc w:val="center"/>
              <w:rPr>
                <w:sz w:val="24"/>
                <w:szCs w:val="24"/>
              </w:rPr>
            </w:pPr>
            <w:r>
              <w:rPr>
                <w:b/>
                <w:bCs/>
                <w:color w:val="FFFFFF"/>
                <w:sz w:val="24"/>
                <w:szCs w:val="24"/>
              </w:rPr>
              <w:t>Part du CA</w:t>
            </w:r>
          </w:p>
        </w:tc>
        <w:tc>
          <w:tcPr>
            <w:tcW w:w="1000" w:type="pct"/>
            <w:shd w:val="clear" w:color="auto" w:fill="D4875A"/>
            <w:tcMar>
              <w:top w:w="36" w:type="dxa"/>
              <w:left w:w="80" w:type="dxa"/>
              <w:bottom w:w="36" w:type="dxa"/>
              <w:right w:w="80" w:type="dxa"/>
            </w:tcMar>
            <w:vAlign w:val="center"/>
          </w:tcPr>
          <w:p w14:paraId="506E68FA" w14:textId="77777777" w:rsidR="0042033D" w:rsidRDefault="00000000">
            <w:pPr>
              <w:spacing w:line="232" w:lineRule="auto"/>
              <w:jc w:val="center"/>
              <w:rPr>
                <w:sz w:val="24"/>
                <w:szCs w:val="24"/>
              </w:rPr>
            </w:pPr>
            <w:r>
              <w:rPr>
                <w:b/>
                <w:bCs/>
                <w:color w:val="FFFFFF"/>
                <w:sz w:val="24"/>
                <w:szCs w:val="24"/>
              </w:rPr>
              <w:t>Pricing</w:t>
            </w:r>
          </w:p>
        </w:tc>
        <w:tc>
          <w:tcPr>
            <w:tcW w:w="1700" w:type="pct"/>
            <w:shd w:val="clear" w:color="auto" w:fill="D4875A"/>
            <w:tcMar>
              <w:top w:w="36" w:type="dxa"/>
              <w:left w:w="80" w:type="dxa"/>
              <w:bottom w:w="36" w:type="dxa"/>
              <w:right w:w="80" w:type="dxa"/>
            </w:tcMar>
            <w:vAlign w:val="center"/>
          </w:tcPr>
          <w:p w14:paraId="36BE2134" w14:textId="77777777" w:rsidR="0042033D" w:rsidRDefault="00000000">
            <w:pPr>
              <w:spacing w:line="232" w:lineRule="auto"/>
              <w:jc w:val="center"/>
              <w:rPr>
                <w:sz w:val="24"/>
                <w:szCs w:val="24"/>
              </w:rPr>
            </w:pPr>
            <w:r>
              <w:rPr>
                <w:b/>
                <w:bCs/>
                <w:color w:val="FFFFFF"/>
                <w:sz w:val="24"/>
                <w:szCs w:val="24"/>
              </w:rPr>
              <w:t>Stratégie de croissance</w:t>
            </w:r>
          </w:p>
        </w:tc>
      </w:tr>
      <w:tr w:rsidR="0042033D" w14:paraId="20042625" w14:textId="77777777">
        <w:trPr>
          <w:cantSplit/>
        </w:trPr>
        <w:tc>
          <w:tcPr>
            <w:tcW w:w="1700" w:type="pct"/>
            <w:tcMar>
              <w:top w:w="28" w:type="dxa"/>
              <w:left w:w="80" w:type="dxa"/>
              <w:bottom w:w="28" w:type="dxa"/>
              <w:right w:w="80" w:type="dxa"/>
            </w:tcMar>
            <w:vAlign w:val="center"/>
          </w:tcPr>
          <w:p w14:paraId="77BCD619" w14:textId="25F174C7" w:rsidR="0042033D" w:rsidRPr="00C001FE" w:rsidRDefault="00C001FE">
            <w:pPr>
              <w:spacing w:line="232" w:lineRule="auto"/>
              <w:rPr>
                <w:sz w:val="24"/>
                <w:szCs w:val="24"/>
                <w:lang w:val="fr-FR"/>
              </w:rPr>
            </w:pPr>
            <w:r>
              <w:rPr>
                <w:b/>
                <w:bCs/>
                <w:sz w:val="24"/>
                <w:szCs w:val="24"/>
                <w:lang w:val="fr-FR"/>
              </w:rPr>
              <w:t>P</w:t>
            </w:r>
            <w:r>
              <w:rPr>
                <w:b/>
                <w:bCs/>
                <w:sz w:val="24"/>
                <w:szCs w:val="24"/>
              </w:rPr>
              <w:t>rogrammes</w:t>
            </w:r>
            <w:r>
              <w:rPr>
                <w:b/>
                <w:bCs/>
                <w:sz w:val="24"/>
                <w:szCs w:val="24"/>
                <w:lang w:val="fr-FR"/>
              </w:rPr>
              <w:t xml:space="preserve"> agricoles du MIASA : </w:t>
            </w:r>
            <w:r>
              <w:rPr>
                <w:b/>
                <w:bCs/>
                <w:sz w:val="24"/>
                <w:szCs w:val="24"/>
              </w:rPr>
              <w:t xml:space="preserve"> </w:t>
            </w:r>
            <w:r>
              <w:rPr>
                <w:b/>
                <w:bCs/>
                <w:sz w:val="24"/>
                <w:szCs w:val="24"/>
                <w:lang w:val="fr-FR"/>
              </w:rPr>
              <w:t>PURPA, TITRE VERT, MIONJO, RIZ PLUS</w:t>
            </w:r>
          </w:p>
        </w:tc>
        <w:tc>
          <w:tcPr>
            <w:tcW w:w="600" w:type="pct"/>
            <w:tcMar>
              <w:top w:w="28" w:type="dxa"/>
              <w:left w:w="80" w:type="dxa"/>
              <w:bottom w:w="28" w:type="dxa"/>
              <w:right w:w="80" w:type="dxa"/>
            </w:tcMar>
            <w:vAlign w:val="center"/>
          </w:tcPr>
          <w:p w14:paraId="226E7605" w14:textId="77777777" w:rsidR="0042033D" w:rsidRDefault="00000000">
            <w:pPr>
              <w:spacing w:line="232" w:lineRule="auto"/>
              <w:jc w:val="center"/>
              <w:rPr>
                <w:sz w:val="24"/>
                <w:szCs w:val="24"/>
              </w:rPr>
            </w:pPr>
            <w:r>
              <w:rPr>
                <w:b/>
                <w:bCs/>
                <w:sz w:val="24"/>
                <w:szCs w:val="24"/>
              </w:rPr>
              <w:t>86,9 %</w:t>
            </w:r>
          </w:p>
        </w:tc>
        <w:tc>
          <w:tcPr>
            <w:tcW w:w="1000" w:type="pct"/>
            <w:tcMar>
              <w:top w:w="28" w:type="dxa"/>
              <w:left w:w="80" w:type="dxa"/>
              <w:bottom w:w="28" w:type="dxa"/>
              <w:right w:w="80" w:type="dxa"/>
            </w:tcMar>
            <w:vAlign w:val="center"/>
          </w:tcPr>
          <w:p w14:paraId="02B257E4" w14:textId="203F8ED9" w:rsidR="0042033D" w:rsidRDefault="00000000">
            <w:pPr>
              <w:spacing w:line="232" w:lineRule="auto"/>
              <w:rPr>
                <w:sz w:val="24"/>
                <w:szCs w:val="24"/>
              </w:rPr>
            </w:pPr>
            <w:r>
              <w:rPr>
                <w:sz w:val="24"/>
                <w:szCs w:val="24"/>
              </w:rPr>
              <w:t xml:space="preserve">1 </w:t>
            </w:r>
            <w:r w:rsidR="00E45BB8">
              <w:rPr>
                <w:sz w:val="24"/>
                <w:szCs w:val="24"/>
                <w:lang w:val="fr-FR"/>
              </w:rPr>
              <w:t>000</w:t>
            </w:r>
            <w:r>
              <w:rPr>
                <w:sz w:val="24"/>
                <w:szCs w:val="24"/>
              </w:rPr>
              <w:t xml:space="preserve"> à </w:t>
            </w:r>
            <w:r w:rsidR="00E45BB8">
              <w:rPr>
                <w:sz w:val="24"/>
                <w:szCs w:val="24"/>
                <w:lang w:val="fr-FR"/>
              </w:rPr>
              <w:t>2 500</w:t>
            </w:r>
            <w:r>
              <w:rPr>
                <w:sz w:val="24"/>
                <w:szCs w:val="24"/>
              </w:rPr>
              <w:t xml:space="preserve"> MGA/kg</w:t>
            </w:r>
          </w:p>
        </w:tc>
        <w:tc>
          <w:tcPr>
            <w:tcW w:w="1700" w:type="pct"/>
            <w:tcMar>
              <w:top w:w="28" w:type="dxa"/>
              <w:left w:w="80" w:type="dxa"/>
              <w:bottom w:w="28" w:type="dxa"/>
              <w:right w:w="80" w:type="dxa"/>
            </w:tcMar>
            <w:vAlign w:val="center"/>
          </w:tcPr>
          <w:p w14:paraId="0EE2708A" w14:textId="77777777" w:rsidR="0042033D" w:rsidRDefault="00000000">
            <w:pPr>
              <w:spacing w:line="232" w:lineRule="auto"/>
              <w:rPr>
                <w:sz w:val="24"/>
                <w:szCs w:val="24"/>
              </w:rPr>
            </w:pPr>
            <w:r>
              <w:rPr>
                <w:sz w:val="24"/>
                <w:szCs w:val="24"/>
              </w:rPr>
              <w:t>Maintenir le contrat cadre tout en réduisant la part relative au profit des canaux directs</w:t>
            </w:r>
          </w:p>
        </w:tc>
      </w:tr>
      <w:tr w:rsidR="0042033D" w14:paraId="026CB514" w14:textId="77777777">
        <w:trPr>
          <w:cantSplit/>
        </w:trPr>
        <w:tc>
          <w:tcPr>
            <w:tcW w:w="1700" w:type="pct"/>
            <w:tcMar>
              <w:top w:w="28" w:type="dxa"/>
              <w:left w:w="80" w:type="dxa"/>
              <w:bottom w:w="28" w:type="dxa"/>
              <w:right w:w="80" w:type="dxa"/>
            </w:tcMar>
            <w:vAlign w:val="center"/>
          </w:tcPr>
          <w:p w14:paraId="5A3812E9" w14:textId="77777777" w:rsidR="0042033D" w:rsidRDefault="00000000">
            <w:pPr>
              <w:spacing w:line="232" w:lineRule="auto"/>
              <w:rPr>
                <w:sz w:val="24"/>
                <w:szCs w:val="24"/>
              </w:rPr>
            </w:pPr>
            <w:r>
              <w:rPr>
                <w:b/>
                <w:bCs/>
                <w:sz w:val="24"/>
                <w:szCs w:val="24"/>
              </w:rPr>
              <w:t>Grands comptes agricoles et industriels (B2B)</w:t>
            </w:r>
          </w:p>
        </w:tc>
        <w:tc>
          <w:tcPr>
            <w:tcW w:w="600" w:type="pct"/>
            <w:tcMar>
              <w:top w:w="28" w:type="dxa"/>
              <w:left w:w="80" w:type="dxa"/>
              <w:bottom w:w="28" w:type="dxa"/>
              <w:right w:w="80" w:type="dxa"/>
            </w:tcMar>
            <w:vAlign w:val="center"/>
          </w:tcPr>
          <w:p w14:paraId="343A5AB3" w14:textId="77777777" w:rsidR="0042033D" w:rsidRDefault="00000000">
            <w:pPr>
              <w:spacing w:line="232" w:lineRule="auto"/>
              <w:jc w:val="center"/>
              <w:rPr>
                <w:sz w:val="24"/>
                <w:szCs w:val="24"/>
              </w:rPr>
            </w:pPr>
            <w:r>
              <w:rPr>
                <w:b/>
                <w:bCs/>
                <w:sz w:val="24"/>
                <w:szCs w:val="24"/>
              </w:rPr>
              <w:t>6,5 %</w:t>
            </w:r>
          </w:p>
        </w:tc>
        <w:tc>
          <w:tcPr>
            <w:tcW w:w="1000" w:type="pct"/>
            <w:tcMar>
              <w:top w:w="28" w:type="dxa"/>
              <w:left w:w="80" w:type="dxa"/>
              <w:bottom w:w="28" w:type="dxa"/>
              <w:right w:w="80" w:type="dxa"/>
            </w:tcMar>
            <w:vAlign w:val="center"/>
          </w:tcPr>
          <w:p w14:paraId="3DB647A4" w14:textId="0CCF7871" w:rsidR="0042033D" w:rsidRDefault="00E45BB8">
            <w:pPr>
              <w:spacing w:line="232" w:lineRule="auto"/>
              <w:rPr>
                <w:sz w:val="24"/>
                <w:szCs w:val="24"/>
              </w:rPr>
            </w:pPr>
            <w:r>
              <w:rPr>
                <w:sz w:val="24"/>
                <w:szCs w:val="24"/>
                <w:lang w:val="fr-FR"/>
              </w:rPr>
              <w:t>800</w:t>
            </w:r>
            <w:r>
              <w:rPr>
                <w:sz w:val="24"/>
                <w:szCs w:val="24"/>
              </w:rPr>
              <w:t xml:space="preserve"> à </w:t>
            </w:r>
            <w:r>
              <w:rPr>
                <w:sz w:val="24"/>
                <w:szCs w:val="24"/>
                <w:lang w:val="fr-FR"/>
              </w:rPr>
              <w:t>1 800</w:t>
            </w:r>
            <w:r>
              <w:rPr>
                <w:sz w:val="24"/>
                <w:szCs w:val="24"/>
              </w:rPr>
              <w:t xml:space="preserve"> MGA/kg</w:t>
            </w:r>
          </w:p>
        </w:tc>
        <w:tc>
          <w:tcPr>
            <w:tcW w:w="1700" w:type="pct"/>
            <w:tcMar>
              <w:top w:w="28" w:type="dxa"/>
              <w:left w:w="80" w:type="dxa"/>
              <w:bottom w:w="28" w:type="dxa"/>
              <w:right w:w="80" w:type="dxa"/>
            </w:tcMar>
            <w:vAlign w:val="center"/>
          </w:tcPr>
          <w:p w14:paraId="14E7246A" w14:textId="77777777" w:rsidR="0042033D" w:rsidRDefault="00000000">
            <w:pPr>
              <w:spacing w:line="232" w:lineRule="auto"/>
              <w:rPr>
                <w:sz w:val="24"/>
                <w:szCs w:val="24"/>
              </w:rPr>
            </w:pPr>
            <w:r>
              <w:rPr>
                <w:sz w:val="24"/>
                <w:szCs w:val="24"/>
              </w:rPr>
              <w:t>Recrutement daté d'un commercial B2B dédié (M+2), pipeline qualifié de dix comptes cibles (cf. Tableau 10 bis)</w:t>
            </w:r>
          </w:p>
        </w:tc>
      </w:tr>
      <w:tr w:rsidR="0042033D" w14:paraId="07A4EDC3" w14:textId="77777777">
        <w:trPr>
          <w:cantSplit/>
        </w:trPr>
        <w:tc>
          <w:tcPr>
            <w:tcW w:w="1700" w:type="pct"/>
            <w:tcMar>
              <w:top w:w="28" w:type="dxa"/>
              <w:left w:w="80" w:type="dxa"/>
              <w:bottom w:w="28" w:type="dxa"/>
              <w:right w:w="80" w:type="dxa"/>
            </w:tcMar>
            <w:vAlign w:val="center"/>
          </w:tcPr>
          <w:p w14:paraId="1F6B6715" w14:textId="77777777" w:rsidR="0042033D" w:rsidRDefault="00000000">
            <w:pPr>
              <w:spacing w:line="232" w:lineRule="auto"/>
              <w:rPr>
                <w:sz w:val="24"/>
                <w:szCs w:val="24"/>
              </w:rPr>
            </w:pPr>
            <w:r>
              <w:rPr>
                <w:b/>
                <w:bCs/>
                <w:sz w:val="24"/>
                <w:szCs w:val="24"/>
              </w:rPr>
              <w:t>Agriculteurs et maraîchers individuels (B2C)</w:t>
            </w:r>
          </w:p>
        </w:tc>
        <w:tc>
          <w:tcPr>
            <w:tcW w:w="600" w:type="pct"/>
            <w:tcMar>
              <w:top w:w="28" w:type="dxa"/>
              <w:left w:w="80" w:type="dxa"/>
              <w:bottom w:w="28" w:type="dxa"/>
              <w:right w:w="80" w:type="dxa"/>
            </w:tcMar>
            <w:vAlign w:val="center"/>
          </w:tcPr>
          <w:p w14:paraId="765E478D" w14:textId="77777777" w:rsidR="0042033D" w:rsidRDefault="00000000">
            <w:pPr>
              <w:spacing w:line="232" w:lineRule="auto"/>
              <w:jc w:val="center"/>
              <w:rPr>
                <w:sz w:val="24"/>
                <w:szCs w:val="24"/>
              </w:rPr>
            </w:pPr>
            <w:r>
              <w:rPr>
                <w:b/>
                <w:bCs/>
                <w:sz w:val="24"/>
                <w:szCs w:val="24"/>
              </w:rPr>
              <w:t>6,6 %</w:t>
            </w:r>
          </w:p>
        </w:tc>
        <w:tc>
          <w:tcPr>
            <w:tcW w:w="1000" w:type="pct"/>
            <w:tcMar>
              <w:top w:w="28" w:type="dxa"/>
              <w:left w:w="80" w:type="dxa"/>
              <w:bottom w:w="28" w:type="dxa"/>
              <w:right w:w="80" w:type="dxa"/>
            </w:tcMar>
            <w:vAlign w:val="center"/>
          </w:tcPr>
          <w:p w14:paraId="19EBE289" w14:textId="1EE0EE09" w:rsidR="0042033D" w:rsidRDefault="00000000">
            <w:pPr>
              <w:spacing w:line="232" w:lineRule="auto"/>
              <w:rPr>
                <w:sz w:val="24"/>
                <w:szCs w:val="24"/>
              </w:rPr>
            </w:pPr>
            <w:r>
              <w:rPr>
                <w:sz w:val="24"/>
                <w:szCs w:val="24"/>
              </w:rPr>
              <w:t xml:space="preserve">1 </w:t>
            </w:r>
            <w:r w:rsidR="00E45BB8">
              <w:rPr>
                <w:sz w:val="24"/>
                <w:szCs w:val="24"/>
                <w:lang w:val="fr-FR"/>
              </w:rPr>
              <w:t>5</w:t>
            </w:r>
            <w:r>
              <w:rPr>
                <w:sz w:val="24"/>
                <w:szCs w:val="24"/>
              </w:rPr>
              <w:t>00 à 2 000 MGA/kg</w:t>
            </w:r>
          </w:p>
        </w:tc>
        <w:tc>
          <w:tcPr>
            <w:tcW w:w="1700" w:type="pct"/>
            <w:tcMar>
              <w:top w:w="28" w:type="dxa"/>
              <w:left w:w="80" w:type="dxa"/>
              <w:bottom w:w="28" w:type="dxa"/>
              <w:right w:w="80" w:type="dxa"/>
            </w:tcMar>
            <w:vAlign w:val="center"/>
          </w:tcPr>
          <w:p w14:paraId="095E746B" w14:textId="77777777" w:rsidR="0042033D" w:rsidRDefault="00000000">
            <w:pPr>
              <w:spacing w:line="232" w:lineRule="auto"/>
              <w:rPr>
                <w:sz w:val="24"/>
                <w:szCs w:val="24"/>
              </w:rPr>
            </w:pPr>
            <w:r>
              <w:rPr>
                <w:sz w:val="24"/>
                <w:szCs w:val="24"/>
              </w:rPr>
              <w:t>Démonstrations terrain, bouche-à-oreille, réseau de revendeurs locaux</w:t>
            </w:r>
          </w:p>
        </w:tc>
      </w:tr>
      <w:tr w:rsidR="0042033D" w14:paraId="3ABFCBA7" w14:textId="77777777">
        <w:trPr>
          <w:cantSplit/>
        </w:trPr>
        <w:tc>
          <w:tcPr>
            <w:tcW w:w="1700" w:type="pct"/>
            <w:tcMar>
              <w:top w:w="28" w:type="dxa"/>
              <w:left w:w="80" w:type="dxa"/>
              <w:bottom w:w="28" w:type="dxa"/>
              <w:right w:w="80" w:type="dxa"/>
            </w:tcMar>
            <w:vAlign w:val="center"/>
          </w:tcPr>
          <w:p w14:paraId="5D4210DA" w14:textId="77777777" w:rsidR="0042033D" w:rsidRDefault="00000000">
            <w:pPr>
              <w:spacing w:line="232" w:lineRule="auto"/>
              <w:rPr>
                <w:sz w:val="24"/>
                <w:szCs w:val="24"/>
              </w:rPr>
            </w:pPr>
            <w:r>
              <w:rPr>
                <w:b/>
                <w:bCs/>
                <w:sz w:val="24"/>
                <w:szCs w:val="24"/>
              </w:rPr>
              <w:t>Exportation régionale (cible 2027-2030)</w:t>
            </w:r>
          </w:p>
        </w:tc>
        <w:tc>
          <w:tcPr>
            <w:tcW w:w="600" w:type="pct"/>
            <w:tcMar>
              <w:top w:w="28" w:type="dxa"/>
              <w:left w:w="80" w:type="dxa"/>
              <w:bottom w:w="28" w:type="dxa"/>
              <w:right w:w="80" w:type="dxa"/>
            </w:tcMar>
            <w:vAlign w:val="center"/>
          </w:tcPr>
          <w:p w14:paraId="4A8D722E" w14:textId="77777777" w:rsidR="0042033D" w:rsidRDefault="00000000">
            <w:pPr>
              <w:spacing w:line="232" w:lineRule="auto"/>
              <w:jc w:val="center"/>
              <w:rPr>
                <w:sz w:val="24"/>
                <w:szCs w:val="24"/>
              </w:rPr>
            </w:pPr>
            <w:r>
              <w:rPr>
                <w:b/>
                <w:bCs/>
                <w:sz w:val="24"/>
                <w:szCs w:val="24"/>
              </w:rPr>
              <w:t>0 %</w:t>
            </w:r>
          </w:p>
        </w:tc>
        <w:tc>
          <w:tcPr>
            <w:tcW w:w="1000" w:type="pct"/>
            <w:tcMar>
              <w:top w:w="28" w:type="dxa"/>
              <w:left w:w="80" w:type="dxa"/>
              <w:bottom w:w="28" w:type="dxa"/>
              <w:right w:w="80" w:type="dxa"/>
            </w:tcMar>
            <w:vAlign w:val="center"/>
          </w:tcPr>
          <w:p w14:paraId="2F6239A3" w14:textId="77777777" w:rsidR="0042033D" w:rsidRDefault="00000000">
            <w:pPr>
              <w:spacing w:line="232" w:lineRule="auto"/>
              <w:rPr>
                <w:sz w:val="24"/>
                <w:szCs w:val="24"/>
              </w:rPr>
            </w:pPr>
            <w:r>
              <w:rPr>
                <w:sz w:val="24"/>
                <w:szCs w:val="24"/>
              </w:rPr>
              <w:t>Positionnement premium bio</w:t>
            </w:r>
          </w:p>
        </w:tc>
        <w:tc>
          <w:tcPr>
            <w:tcW w:w="1700" w:type="pct"/>
            <w:tcMar>
              <w:top w:w="28" w:type="dxa"/>
              <w:left w:w="80" w:type="dxa"/>
              <w:bottom w:w="28" w:type="dxa"/>
              <w:right w:w="80" w:type="dxa"/>
            </w:tcMar>
            <w:vAlign w:val="center"/>
          </w:tcPr>
          <w:p w14:paraId="6649DD68" w14:textId="77777777" w:rsidR="0042033D" w:rsidRDefault="00000000">
            <w:pPr>
              <w:spacing w:line="232" w:lineRule="auto"/>
              <w:rPr>
                <w:sz w:val="24"/>
                <w:szCs w:val="24"/>
              </w:rPr>
            </w:pPr>
            <w:r>
              <w:rPr>
                <w:sz w:val="24"/>
                <w:szCs w:val="24"/>
              </w:rPr>
              <w:t>Certification qualité, labellisation biologique, partenariats bilatéraux</w:t>
            </w:r>
          </w:p>
        </w:tc>
      </w:tr>
    </w:tbl>
    <w:p w14:paraId="6AF49C95" w14:textId="77777777" w:rsidR="0042033D" w:rsidRDefault="00000000">
      <w:pPr>
        <w:pStyle w:val="Heading2"/>
        <w:spacing w:before="150" w:after="60"/>
        <w:rPr>
          <w:rFonts w:ascii="Times New Roman" w:hAnsi="Times New Roman"/>
        </w:rPr>
      </w:pPr>
      <w:bookmarkStart w:id="26" w:name="_Toc100026"/>
      <w:r>
        <w:rPr>
          <w:rFonts w:ascii="Times New Roman" w:hAnsi="Times New Roman"/>
        </w:rPr>
        <w:t>7.1 Problèmes clients et disposition à payer</w:t>
      </w:r>
      <w:bookmarkEnd w:id="26"/>
    </w:p>
    <w:p w14:paraId="4527F4F1" w14:textId="3558D3DC" w:rsidR="0042033D" w:rsidRDefault="00000000">
      <w:pPr>
        <w:spacing w:after="60"/>
        <w:jc w:val="both"/>
        <w:rPr>
          <w:sz w:val="24"/>
          <w:szCs w:val="24"/>
          <w:lang w:val="fr-FR"/>
        </w:rPr>
      </w:pPr>
      <w:r>
        <w:rPr>
          <w:sz w:val="24"/>
          <w:szCs w:val="24"/>
        </w:rPr>
        <w:t>Chaque segment est motivé par un problème spécifique. Pour les programmes institutionnels (</w:t>
      </w:r>
      <w:r w:rsidR="0023322B" w:rsidRPr="0023322B">
        <w:rPr>
          <w:sz w:val="24"/>
          <w:szCs w:val="24"/>
          <w:lang w:val="fr-FR"/>
        </w:rPr>
        <w:t>PURPA, TITRE VERT, MIONJO, RIZ PLUS</w:t>
      </w:r>
      <w:r>
        <w:rPr>
          <w:sz w:val="24"/>
          <w:szCs w:val="24"/>
        </w:rPr>
        <w:t xml:space="preserve">), le problème est </w:t>
      </w:r>
      <w:r w:rsidR="0023322B">
        <w:rPr>
          <w:sz w:val="24"/>
          <w:szCs w:val="24"/>
          <w:lang w:val="fr-FR"/>
        </w:rPr>
        <w:t>la disponibilité aux intrants de proximité et la faible productivité</w:t>
      </w:r>
      <w:r>
        <w:rPr>
          <w:sz w:val="24"/>
          <w:szCs w:val="24"/>
        </w:rPr>
        <w:t xml:space="preserve"> </w:t>
      </w:r>
      <w:r w:rsidR="0023322B">
        <w:rPr>
          <w:sz w:val="24"/>
          <w:szCs w:val="24"/>
          <w:lang w:val="fr-FR"/>
        </w:rPr>
        <w:t xml:space="preserve">agricoles </w:t>
      </w:r>
      <w:r>
        <w:rPr>
          <w:sz w:val="24"/>
          <w:szCs w:val="24"/>
        </w:rPr>
        <w:t>; la disposition à payer est forte, le produit étant intégré dans les programmes de subvention dotés d'un budget public annuel. Pour les grands comptes agricoles (</w:t>
      </w:r>
      <w:r w:rsidR="00157797">
        <w:rPr>
          <w:sz w:val="24"/>
          <w:szCs w:val="24"/>
          <w:lang w:val="fr-FR"/>
        </w:rPr>
        <w:t>SYMABIO</w:t>
      </w:r>
      <w:r>
        <w:rPr>
          <w:sz w:val="24"/>
          <w:szCs w:val="24"/>
        </w:rPr>
        <w:t xml:space="preserve">, </w:t>
      </w:r>
      <w:r w:rsidR="00157797">
        <w:rPr>
          <w:sz w:val="24"/>
          <w:szCs w:val="24"/>
          <w:lang w:val="fr-FR"/>
        </w:rPr>
        <w:t>Coopératives, Revendeurs</w:t>
      </w:r>
      <w:r>
        <w:rPr>
          <w:sz w:val="24"/>
          <w:szCs w:val="24"/>
        </w:rPr>
        <w:t xml:space="preserve">), le problème est la nécessité de réduire les coûts d'intrants tout en augmentant les rendements ; la disposition à payer est directe (paiement comptant ou à 30 jours) et le volume par client varie de 1 à </w:t>
      </w:r>
      <w:r w:rsidR="00157797">
        <w:rPr>
          <w:sz w:val="24"/>
          <w:szCs w:val="24"/>
          <w:lang w:val="fr-FR"/>
        </w:rPr>
        <w:t>10</w:t>
      </w:r>
      <w:r>
        <w:rPr>
          <w:sz w:val="24"/>
          <w:szCs w:val="24"/>
        </w:rPr>
        <w:t xml:space="preserve"> tonnes par commande. Pour les agriculteurs individuels et maraîchers, le problème est l'accès à des engrais abordables adaptés aux contraintes tropicales ; la disposition à payer est limitée par le pouvoir d'achat (revenu rural moyen inférieur à 50 $ par mois), mais le volume potentiel est considérable — plus de 4 millions d'actifs agricoles au niveau national —, le canal adapté étant celui du revendeur local intermédiaire (</w:t>
      </w:r>
      <w:r w:rsidR="00157797">
        <w:rPr>
          <w:sz w:val="24"/>
          <w:szCs w:val="24"/>
          <w:lang w:val="fr-FR"/>
        </w:rPr>
        <w:t>Régional</w:t>
      </w:r>
      <w:r>
        <w:rPr>
          <w:sz w:val="24"/>
          <w:szCs w:val="24"/>
        </w:rPr>
        <w:t>), qui touche 100 à 200 agriculteurs par point de vente. Pour les futurs clients de la ligne protéines, le problème est la hausse continue du coût de la farine de poisson importée.</w:t>
      </w:r>
    </w:p>
    <w:p w14:paraId="7764131D" w14:textId="77777777" w:rsidR="0018718E" w:rsidRPr="0018718E" w:rsidRDefault="0018718E">
      <w:pPr>
        <w:spacing w:after="60"/>
        <w:jc w:val="both"/>
        <w:rPr>
          <w:sz w:val="24"/>
          <w:szCs w:val="24"/>
          <w:lang w:val="fr-FR"/>
        </w:rPr>
      </w:pPr>
    </w:p>
    <w:p w14:paraId="28ECA249" w14:textId="77777777" w:rsidR="0042033D" w:rsidRDefault="00000000">
      <w:pPr>
        <w:pStyle w:val="Heading2"/>
        <w:spacing w:before="150" w:after="60"/>
        <w:rPr>
          <w:rFonts w:ascii="Times New Roman" w:hAnsi="Times New Roman"/>
        </w:rPr>
      </w:pPr>
      <w:bookmarkStart w:id="27" w:name="_Toc100027"/>
      <w:r>
        <w:rPr>
          <w:rFonts w:ascii="Times New Roman" w:hAnsi="Times New Roman"/>
        </w:rPr>
        <w:lastRenderedPageBreak/>
        <w:t>7.2 Analyse de la fidélité, du réachat et de la base clients</w:t>
      </w:r>
      <w:bookmarkEnd w:id="27"/>
    </w:p>
    <w:p w14:paraId="191A911B" w14:textId="77777777" w:rsidR="0042033D" w:rsidRDefault="00000000">
      <w:pPr>
        <w:spacing w:after="60"/>
        <w:jc w:val="both"/>
        <w:rPr>
          <w:sz w:val="24"/>
          <w:szCs w:val="24"/>
        </w:rPr>
      </w:pPr>
      <w:r>
        <w:rPr>
          <w:sz w:val="24"/>
          <w:szCs w:val="24"/>
        </w:rPr>
        <w:t>Le taux de rétention global de 60 % est conservé comme indicateur interne, mais la base commerciale est redéfinie pour éviter une confusion entre bénéficiaires, points de livraison et comptes payants. Les 930 occurrences cumulées ne sont pas traitées comme 930 clients institutionnels facturants : les analyses de revenu utilisent les contrats, factures et comptes réellement payeurs ; la base élargie sert au suivi de couverture / distribution.</w:t>
      </w:r>
    </w:p>
    <w:p w14:paraId="2B3D7055" w14:textId="77777777" w:rsidR="0042033D" w:rsidRDefault="00000000">
      <w:pPr>
        <w:keepNext/>
        <w:spacing w:before="140" w:after="50" w:line="260" w:lineRule="auto"/>
        <w:rPr>
          <w:sz w:val="24"/>
          <w:szCs w:val="24"/>
        </w:rPr>
      </w:pPr>
      <w:r>
        <w:rPr>
          <w:rFonts w:eastAsia="Arial"/>
          <w:b/>
          <w:bCs/>
          <w:color w:val="1A2330"/>
          <w:sz w:val="24"/>
          <w:szCs w:val="24"/>
        </w:rPr>
        <w:t>Tableau 4 bis — Structure de la base clients et panier moyen par segment</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014"/>
        <w:gridCol w:w="2197"/>
        <w:gridCol w:w="2564"/>
        <w:gridCol w:w="2381"/>
      </w:tblGrid>
      <w:tr w:rsidR="0042033D" w14:paraId="5735576D" w14:textId="77777777">
        <w:trPr>
          <w:cantSplit/>
          <w:tblHeader/>
        </w:trPr>
        <w:tc>
          <w:tcPr>
            <w:tcW w:w="1100" w:type="pct"/>
            <w:shd w:val="clear" w:color="auto" w:fill="D98B4A"/>
            <w:tcMar>
              <w:top w:w="36" w:type="dxa"/>
              <w:left w:w="80" w:type="dxa"/>
              <w:bottom w:w="36" w:type="dxa"/>
              <w:right w:w="80" w:type="dxa"/>
            </w:tcMar>
            <w:vAlign w:val="center"/>
          </w:tcPr>
          <w:p w14:paraId="6F0B3735" w14:textId="77777777" w:rsidR="0042033D" w:rsidRDefault="00000000">
            <w:pPr>
              <w:rPr>
                <w:sz w:val="24"/>
                <w:szCs w:val="24"/>
              </w:rPr>
            </w:pPr>
            <w:r>
              <w:rPr>
                <w:b/>
                <w:sz w:val="24"/>
                <w:szCs w:val="24"/>
              </w:rPr>
              <w:t>Population suivie</w:t>
            </w:r>
          </w:p>
        </w:tc>
        <w:tc>
          <w:tcPr>
            <w:tcW w:w="1200" w:type="pct"/>
            <w:shd w:val="clear" w:color="auto" w:fill="D98B4A"/>
            <w:tcMar>
              <w:top w:w="36" w:type="dxa"/>
              <w:left w:w="80" w:type="dxa"/>
              <w:bottom w:w="36" w:type="dxa"/>
              <w:right w:w="80" w:type="dxa"/>
            </w:tcMar>
            <w:vAlign w:val="center"/>
          </w:tcPr>
          <w:p w14:paraId="1C51CD4A" w14:textId="77777777" w:rsidR="0042033D" w:rsidRDefault="00000000">
            <w:pPr>
              <w:rPr>
                <w:sz w:val="24"/>
                <w:szCs w:val="24"/>
              </w:rPr>
            </w:pPr>
            <w:r>
              <w:rPr>
                <w:b/>
                <w:sz w:val="24"/>
                <w:szCs w:val="24"/>
              </w:rPr>
              <w:t>Base / rôle</w:t>
            </w:r>
          </w:p>
        </w:tc>
        <w:tc>
          <w:tcPr>
            <w:tcW w:w="1400" w:type="pct"/>
            <w:shd w:val="clear" w:color="auto" w:fill="D98B4A"/>
            <w:tcMar>
              <w:top w:w="36" w:type="dxa"/>
              <w:left w:w="80" w:type="dxa"/>
              <w:bottom w:w="36" w:type="dxa"/>
              <w:right w:w="80" w:type="dxa"/>
            </w:tcMar>
            <w:vAlign w:val="center"/>
          </w:tcPr>
          <w:p w14:paraId="093D4C0E" w14:textId="77777777" w:rsidR="0042033D" w:rsidRDefault="00000000">
            <w:pPr>
              <w:rPr>
                <w:sz w:val="24"/>
                <w:szCs w:val="24"/>
              </w:rPr>
            </w:pPr>
            <w:r>
              <w:rPr>
                <w:b/>
                <w:sz w:val="24"/>
                <w:szCs w:val="24"/>
              </w:rPr>
              <w:t>Panier indicatif</w:t>
            </w:r>
          </w:p>
        </w:tc>
        <w:tc>
          <w:tcPr>
            <w:tcW w:w="1300" w:type="pct"/>
            <w:shd w:val="clear" w:color="auto" w:fill="D98B4A"/>
            <w:tcMar>
              <w:top w:w="36" w:type="dxa"/>
              <w:left w:w="80" w:type="dxa"/>
              <w:bottom w:w="36" w:type="dxa"/>
              <w:right w:w="80" w:type="dxa"/>
            </w:tcMar>
            <w:vAlign w:val="center"/>
          </w:tcPr>
          <w:p w14:paraId="0F9B6318" w14:textId="77777777" w:rsidR="0042033D" w:rsidRDefault="00000000">
            <w:pPr>
              <w:rPr>
                <w:sz w:val="24"/>
                <w:szCs w:val="24"/>
              </w:rPr>
            </w:pPr>
            <w:r>
              <w:rPr>
                <w:b/>
                <w:sz w:val="24"/>
                <w:szCs w:val="24"/>
              </w:rPr>
              <w:t>Lecture financière</w:t>
            </w:r>
          </w:p>
        </w:tc>
      </w:tr>
      <w:tr w:rsidR="0042033D" w14:paraId="70DA7308" w14:textId="77777777">
        <w:tc>
          <w:tcPr>
            <w:tcW w:w="100" w:type="dxa"/>
          </w:tcPr>
          <w:p w14:paraId="3467C3EB" w14:textId="5175E89B" w:rsidR="0042033D" w:rsidRPr="008C3A12" w:rsidRDefault="00000000">
            <w:pPr>
              <w:rPr>
                <w:sz w:val="24"/>
                <w:szCs w:val="24"/>
                <w:lang w:val="fr-FR"/>
              </w:rPr>
            </w:pPr>
            <w:r>
              <w:rPr>
                <w:sz w:val="24"/>
                <w:szCs w:val="24"/>
              </w:rPr>
              <w:t xml:space="preserve">Contrats / comptes payants </w:t>
            </w:r>
            <w:r w:rsidR="008C3A12">
              <w:rPr>
                <w:sz w:val="24"/>
                <w:szCs w:val="24"/>
              </w:rPr>
              <w:t>entreprises</w:t>
            </w:r>
          </w:p>
        </w:tc>
        <w:tc>
          <w:tcPr>
            <w:tcW w:w="100" w:type="dxa"/>
          </w:tcPr>
          <w:p w14:paraId="0BD3E79D" w14:textId="77777777" w:rsidR="0042033D" w:rsidRDefault="00000000">
            <w:pPr>
              <w:rPr>
                <w:sz w:val="24"/>
                <w:szCs w:val="24"/>
              </w:rPr>
            </w:pPr>
            <w:r>
              <w:rPr>
                <w:sz w:val="24"/>
                <w:szCs w:val="24"/>
              </w:rPr>
              <w:t>Entités contractuelles et commandes groupées ; nombre à rapprocher de la comptabilité</w:t>
            </w:r>
          </w:p>
        </w:tc>
        <w:tc>
          <w:tcPr>
            <w:tcW w:w="100" w:type="dxa"/>
          </w:tcPr>
          <w:p w14:paraId="5B693253" w14:textId="54E9D953" w:rsidR="0042033D" w:rsidRDefault="00000000">
            <w:pPr>
              <w:rPr>
                <w:sz w:val="24"/>
                <w:szCs w:val="24"/>
              </w:rPr>
            </w:pPr>
            <w:r>
              <w:rPr>
                <w:sz w:val="24"/>
                <w:szCs w:val="24"/>
              </w:rPr>
              <w:t>Commande groupée ~</w:t>
            </w:r>
            <w:r w:rsidR="008C3A12">
              <w:rPr>
                <w:sz w:val="24"/>
                <w:szCs w:val="24"/>
                <w:lang w:val="fr-FR"/>
              </w:rPr>
              <w:t>1</w:t>
            </w:r>
            <w:r>
              <w:rPr>
                <w:sz w:val="24"/>
                <w:szCs w:val="24"/>
              </w:rPr>
              <w:t>–</w:t>
            </w:r>
            <w:r w:rsidR="008C3A12">
              <w:rPr>
                <w:sz w:val="24"/>
                <w:szCs w:val="24"/>
                <w:lang w:val="fr-FR"/>
              </w:rPr>
              <w:t>10</w:t>
            </w:r>
            <w:r>
              <w:rPr>
                <w:sz w:val="24"/>
                <w:szCs w:val="24"/>
              </w:rPr>
              <w:t xml:space="preserve"> T</w:t>
            </w:r>
          </w:p>
        </w:tc>
        <w:tc>
          <w:tcPr>
            <w:tcW w:w="100" w:type="dxa"/>
          </w:tcPr>
          <w:p w14:paraId="6DBC6E25" w14:textId="77777777" w:rsidR="0042033D" w:rsidRDefault="00000000">
            <w:pPr>
              <w:rPr>
                <w:sz w:val="24"/>
                <w:szCs w:val="24"/>
              </w:rPr>
            </w:pPr>
            <w:r>
              <w:rPr>
                <w:sz w:val="24"/>
                <w:szCs w:val="24"/>
              </w:rPr>
              <w:t>Seul périmètre pertinent pour calculer CA institutionnel</w:t>
            </w:r>
          </w:p>
        </w:tc>
      </w:tr>
      <w:tr w:rsidR="0042033D" w14:paraId="2F688035" w14:textId="77777777">
        <w:tc>
          <w:tcPr>
            <w:tcW w:w="100" w:type="dxa"/>
          </w:tcPr>
          <w:p w14:paraId="077BE1D6" w14:textId="77777777" w:rsidR="0042033D" w:rsidRDefault="00000000">
            <w:pPr>
              <w:rPr>
                <w:sz w:val="24"/>
                <w:szCs w:val="24"/>
              </w:rPr>
            </w:pPr>
            <w:r>
              <w:rPr>
                <w:sz w:val="24"/>
                <w:szCs w:val="24"/>
              </w:rPr>
              <w:t>Bénéficiaires / points via programmes</w:t>
            </w:r>
          </w:p>
        </w:tc>
        <w:tc>
          <w:tcPr>
            <w:tcW w:w="100" w:type="dxa"/>
          </w:tcPr>
          <w:p w14:paraId="36937FD2" w14:textId="77777777" w:rsidR="0042033D" w:rsidRDefault="00000000">
            <w:pPr>
              <w:rPr>
                <w:sz w:val="24"/>
                <w:szCs w:val="24"/>
              </w:rPr>
            </w:pPr>
            <w:r>
              <w:rPr>
                <w:sz w:val="24"/>
                <w:szCs w:val="24"/>
              </w:rPr>
              <w:t>≈930 occurrences cumulées dans la base opérationnelle</w:t>
            </w:r>
          </w:p>
        </w:tc>
        <w:tc>
          <w:tcPr>
            <w:tcW w:w="100" w:type="dxa"/>
          </w:tcPr>
          <w:p w14:paraId="539B7427" w14:textId="1A9C1F09" w:rsidR="0042033D" w:rsidRPr="008C3A12" w:rsidRDefault="008C3A12">
            <w:pPr>
              <w:rPr>
                <w:sz w:val="24"/>
                <w:szCs w:val="24"/>
                <w:lang w:val="fr-FR"/>
              </w:rPr>
            </w:pPr>
            <w:r>
              <w:rPr>
                <w:sz w:val="24"/>
                <w:szCs w:val="24"/>
                <w:lang w:val="fr-FR"/>
              </w:rPr>
              <w:t>5 à 50 T (par projet)</w:t>
            </w:r>
          </w:p>
        </w:tc>
        <w:tc>
          <w:tcPr>
            <w:tcW w:w="100" w:type="dxa"/>
          </w:tcPr>
          <w:p w14:paraId="0DC3E658" w14:textId="77777777" w:rsidR="0042033D" w:rsidRDefault="00000000">
            <w:pPr>
              <w:rPr>
                <w:sz w:val="24"/>
                <w:szCs w:val="24"/>
              </w:rPr>
            </w:pPr>
            <w:r>
              <w:rPr>
                <w:sz w:val="24"/>
                <w:szCs w:val="24"/>
              </w:rPr>
              <w:t>Indicateur de couverture ; ne pas multiplier par le panier FDA</w:t>
            </w:r>
          </w:p>
        </w:tc>
      </w:tr>
      <w:tr w:rsidR="0042033D" w14:paraId="388A301D" w14:textId="77777777">
        <w:tc>
          <w:tcPr>
            <w:tcW w:w="100" w:type="dxa"/>
          </w:tcPr>
          <w:p w14:paraId="570B3A9C" w14:textId="77777777" w:rsidR="0042033D" w:rsidRDefault="00000000">
            <w:pPr>
              <w:rPr>
                <w:sz w:val="24"/>
                <w:szCs w:val="24"/>
              </w:rPr>
            </w:pPr>
            <w:r>
              <w:rPr>
                <w:sz w:val="24"/>
                <w:szCs w:val="24"/>
              </w:rPr>
              <w:t>B2B agricole / industriel</w:t>
            </w:r>
          </w:p>
        </w:tc>
        <w:tc>
          <w:tcPr>
            <w:tcW w:w="100" w:type="dxa"/>
          </w:tcPr>
          <w:p w14:paraId="64D445D7" w14:textId="77777777" w:rsidR="0042033D" w:rsidRDefault="00000000">
            <w:pPr>
              <w:rPr>
                <w:sz w:val="24"/>
                <w:szCs w:val="24"/>
              </w:rPr>
            </w:pPr>
            <w:r>
              <w:rPr>
                <w:sz w:val="24"/>
                <w:szCs w:val="24"/>
              </w:rPr>
              <w:t>5 grands comptes actifs documentés</w:t>
            </w:r>
          </w:p>
        </w:tc>
        <w:tc>
          <w:tcPr>
            <w:tcW w:w="100" w:type="dxa"/>
          </w:tcPr>
          <w:p w14:paraId="3E883AC6" w14:textId="77777777" w:rsidR="0042033D" w:rsidRDefault="00000000">
            <w:pPr>
              <w:rPr>
                <w:sz w:val="24"/>
                <w:szCs w:val="24"/>
              </w:rPr>
            </w:pPr>
            <w:r>
              <w:rPr>
                <w:sz w:val="24"/>
                <w:szCs w:val="24"/>
              </w:rPr>
              <w:t>Médiane historique ~450 $</w:t>
            </w:r>
          </w:p>
        </w:tc>
        <w:tc>
          <w:tcPr>
            <w:tcW w:w="100" w:type="dxa"/>
          </w:tcPr>
          <w:p w14:paraId="0B438677" w14:textId="77777777" w:rsidR="0042033D" w:rsidRDefault="00000000">
            <w:pPr>
              <w:rPr>
                <w:sz w:val="24"/>
                <w:szCs w:val="24"/>
              </w:rPr>
            </w:pPr>
            <w:r>
              <w:rPr>
                <w:sz w:val="24"/>
                <w:szCs w:val="24"/>
              </w:rPr>
              <w:t>Segment prioritaire de diversification</w:t>
            </w:r>
          </w:p>
        </w:tc>
      </w:tr>
      <w:tr w:rsidR="0042033D" w14:paraId="765C86CD" w14:textId="77777777">
        <w:tc>
          <w:tcPr>
            <w:tcW w:w="100" w:type="dxa"/>
          </w:tcPr>
          <w:p w14:paraId="28649ACF" w14:textId="77777777" w:rsidR="0042033D" w:rsidRDefault="00000000">
            <w:pPr>
              <w:rPr>
                <w:sz w:val="24"/>
                <w:szCs w:val="24"/>
              </w:rPr>
            </w:pPr>
            <w:r>
              <w:rPr>
                <w:sz w:val="24"/>
                <w:szCs w:val="24"/>
              </w:rPr>
              <w:t>B2C agriculteurs / maraîchers</w:t>
            </w:r>
          </w:p>
        </w:tc>
        <w:tc>
          <w:tcPr>
            <w:tcW w:w="100" w:type="dxa"/>
          </w:tcPr>
          <w:p w14:paraId="3693BB9C" w14:textId="77777777" w:rsidR="0042033D" w:rsidRDefault="00000000">
            <w:pPr>
              <w:rPr>
                <w:sz w:val="24"/>
                <w:szCs w:val="24"/>
              </w:rPr>
            </w:pPr>
            <w:r>
              <w:rPr>
                <w:sz w:val="24"/>
                <w:szCs w:val="24"/>
              </w:rPr>
              <w:t>Base directe plus réduite ; réachat suivi par cohorte</w:t>
            </w:r>
          </w:p>
        </w:tc>
        <w:tc>
          <w:tcPr>
            <w:tcW w:w="100" w:type="dxa"/>
          </w:tcPr>
          <w:p w14:paraId="5C91234A" w14:textId="77777777" w:rsidR="0042033D" w:rsidRDefault="00000000">
            <w:pPr>
              <w:rPr>
                <w:sz w:val="24"/>
                <w:szCs w:val="24"/>
              </w:rPr>
            </w:pPr>
            <w:r>
              <w:rPr>
                <w:sz w:val="24"/>
                <w:szCs w:val="24"/>
              </w:rPr>
              <w:t>~14 $ par sac de 30 kg au prix de référence</w:t>
            </w:r>
          </w:p>
        </w:tc>
        <w:tc>
          <w:tcPr>
            <w:tcW w:w="100" w:type="dxa"/>
          </w:tcPr>
          <w:p w14:paraId="4703C2FF" w14:textId="77777777" w:rsidR="0042033D" w:rsidRDefault="00000000">
            <w:pPr>
              <w:rPr>
                <w:sz w:val="24"/>
                <w:szCs w:val="24"/>
              </w:rPr>
            </w:pPr>
            <w:r>
              <w:rPr>
                <w:sz w:val="24"/>
                <w:szCs w:val="24"/>
              </w:rPr>
              <w:t>Canal de volume / notoriété, CAC à suivre séparément</w:t>
            </w:r>
          </w:p>
        </w:tc>
      </w:tr>
      <w:tr w:rsidR="0042033D" w14:paraId="275F41BD" w14:textId="77777777">
        <w:tc>
          <w:tcPr>
            <w:tcW w:w="100" w:type="dxa"/>
          </w:tcPr>
          <w:p w14:paraId="56AC6254" w14:textId="77777777" w:rsidR="0042033D" w:rsidRDefault="00000000">
            <w:pPr>
              <w:rPr>
                <w:sz w:val="24"/>
                <w:szCs w:val="24"/>
              </w:rPr>
            </w:pPr>
            <w:r>
              <w:rPr>
                <w:sz w:val="24"/>
                <w:szCs w:val="24"/>
              </w:rPr>
              <w:t>Lecture consolidée</w:t>
            </w:r>
          </w:p>
        </w:tc>
        <w:tc>
          <w:tcPr>
            <w:tcW w:w="100" w:type="dxa"/>
          </w:tcPr>
          <w:p w14:paraId="2E451419" w14:textId="77777777" w:rsidR="0042033D" w:rsidRDefault="00000000">
            <w:pPr>
              <w:rPr>
                <w:sz w:val="24"/>
                <w:szCs w:val="24"/>
              </w:rPr>
            </w:pPr>
            <w:r>
              <w:rPr>
                <w:sz w:val="24"/>
                <w:szCs w:val="24"/>
              </w:rPr>
              <w:t>≈250 actifs sur les 12 derniers mois selon la base interne</w:t>
            </w:r>
          </w:p>
        </w:tc>
        <w:tc>
          <w:tcPr>
            <w:tcW w:w="100" w:type="dxa"/>
          </w:tcPr>
          <w:p w14:paraId="2B20C5EB" w14:textId="77777777" w:rsidR="0042033D" w:rsidRDefault="00000000">
            <w:pPr>
              <w:rPr>
                <w:sz w:val="24"/>
                <w:szCs w:val="24"/>
              </w:rPr>
            </w:pPr>
            <w:r>
              <w:rPr>
                <w:sz w:val="24"/>
                <w:szCs w:val="24"/>
              </w:rPr>
              <w:t>Panier global 101 $ : indicatif uniquement</w:t>
            </w:r>
          </w:p>
        </w:tc>
        <w:tc>
          <w:tcPr>
            <w:tcW w:w="100" w:type="dxa"/>
          </w:tcPr>
          <w:p w14:paraId="2355A31D" w14:textId="77777777" w:rsidR="0042033D" w:rsidRDefault="00000000">
            <w:pPr>
              <w:rPr>
                <w:sz w:val="24"/>
                <w:szCs w:val="24"/>
              </w:rPr>
            </w:pPr>
            <w:r>
              <w:rPr>
                <w:sz w:val="24"/>
                <w:szCs w:val="24"/>
              </w:rPr>
              <w:t>Pilotage commercial par segment, pas par moyenne agrégée</w:t>
            </w:r>
          </w:p>
        </w:tc>
      </w:tr>
    </w:tbl>
    <w:p w14:paraId="0C69BDF7" w14:textId="3A6422A8" w:rsidR="0042033D" w:rsidRDefault="00000000">
      <w:pPr>
        <w:spacing w:after="60"/>
        <w:jc w:val="both"/>
        <w:rPr>
          <w:sz w:val="24"/>
          <w:szCs w:val="24"/>
        </w:rPr>
      </w:pPr>
      <w:r>
        <w:rPr>
          <w:sz w:val="24"/>
          <w:szCs w:val="24"/>
        </w:rPr>
        <w:t xml:space="preserve">Le LTV/CAC global historique est conservé uniquement comme indicateur directionnel. Le calcul agrégé est fragile car le panier de 101 $ mélange des segments très différents. Pour le pilotage, Bio Source Farm privilégie désormais des economics par canal : B2C avec CAC direct documenté, B2B avec valeur de compte et marge contributive, FDA avec marge et coût de </w:t>
      </w:r>
      <w:r>
        <w:rPr>
          <w:sz w:val="24"/>
          <w:szCs w:val="24"/>
        </w:rPr>
        <w:lastRenderedPageBreak/>
        <w:t xml:space="preserve">financement du BFR. La médiane sectorielle citée précédemment n’est pas utilisée comme </w:t>
      </w:r>
      <w:r w:rsidR="008C3A12">
        <w:rPr>
          <w:noProof/>
          <w:sz w:val="24"/>
          <w:szCs w:val="24"/>
        </w:rPr>
        <w:drawing>
          <wp:anchor distT="0" distB="0" distL="114300" distR="114300" simplePos="0" relativeHeight="251659264" behindDoc="0" locked="0" layoutInCell="1" allowOverlap="1" wp14:anchorId="332DCDD1" wp14:editId="7399AD40">
            <wp:simplePos x="0" y="0"/>
            <wp:positionH relativeFrom="column">
              <wp:posOffset>-635</wp:posOffset>
            </wp:positionH>
            <wp:positionV relativeFrom="paragraph">
              <wp:posOffset>645160</wp:posOffset>
            </wp:positionV>
            <wp:extent cx="5796915" cy="2926080"/>
            <wp:effectExtent l="0" t="0" r="0" b="7620"/>
            <wp:wrapTopAndBottom/>
            <wp:docPr id="2" name="Picture 2" descr="Illustration du Business Plan Bio Source Farm — élément graphique 2" title="Graphique ou illustr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6915" cy="292608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preuve de performance ; aucune décision d’investissement n’en dépend.</w:t>
      </w:r>
    </w:p>
    <w:p w14:paraId="4FA95916" w14:textId="49A42D21" w:rsidR="0042033D" w:rsidRDefault="0042033D">
      <w:pPr>
        <w:spacing w:before="80" w:after="30"/>
        <w:jc w:val="center"/>
        <w:rPr>
          <w:sz w:val="24"/>
          <w:szCs w:val="24"/>
        </w:rPr>
      </w:pPr>
    </w:p>
    <w:p w14:paraId="2ECB8F37" w14:textId="22C01A69" w:rsidR="0042033D" w:rsidRDefault="00000000">
      <w:pPr>
        <w:spacing w:after="140" w:line="240" w:lineRule="auto"/>
        <w:jc w:val="center"/>
        <w:rPr>
          <w:sz w:val="24"/>
          <w:szCs w:val="24"/>
        </w:rPr>
      </w:pPr>
      <w:r>
        <w:rPr>
          <w:sz w:val="24"/>
          <w:szCs w:val="24"/>
        </w:rPr>
        <w:t>Figure 2 — Traction historique sur 30 mois : chiffre d’affaires cumulé et couverture commerciale cumulée (sources : comptabilité certifiée et données opérationnelles internes)</w:t>
      </w:r>
    </w:p>
    <w:p w14:paraId="5241EBE0"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28" w:name="_Toc238821287"/>
      <w:r w:rsidRPr="005C594B">
        <w:rPr>
          <w:rFonts w:ascii="League Spartan" w:hAnsi="League Spartan"/>
          <w:sz w:val="40"/>
          <w:szCs w:val="40"/>
        </w:rPr>
        <w:t>8. Analyse concurrentielle</w:t>
      </w:r>
      <w:bookmarkEnd w:id="28"/>
    </w:p>
    <w:p w14:paraId="4602C15F" w14:textId="16B1AA2D" w:rsidR="0042033D" w:rsidRPr="008C3A12" w:rsidRDefault="00000000">
      <w:pPr>
        <w:spacing w:after="60"/>
        <w:jc w:val="both"/>
        <w:rPr>
          <w:sz w:val="32"/>
          <w:szCs w:val="32"/>
        </w:rPr>
      </w:pPr>
      <w:r w:rsidRPr="008C3A12">
        <w:rPr>
          <w:sz w:val="24"/>
          <w:szCs w:val="24"/>
        </w:rPr>
        <w:t>L'analyse concurrentielle distingue les substitutions historiques (engrais minéraux, compost/fumier, farine de poisson) et les concurrents directs BSF désormais identifiables à Madagascar. Bio Source Farm n'est donc pas présentée comme l'unique opérateur BSF du pays : BSF Tamatave est actif dans la région Atsinanana, tandis qu'EXA Feed</w:t>
      </w:r>
      <w:r w:rsidR="008C3A12">
        <w:rPr>
          <w:sz w:val="24"/>
          <w:szCs w:val="24"/>
          <w:lang w:val="fr-FR"/>
        </w:rPr>
        <w:t>/Food</w:t>
      </w:r>
      <w:r w:rsidRPr="008C3A12">
        <w:rPr>
          <w:sz w:val="24"/>
          <w:szCs w:val="24"/>
        </w:rPr>
        <w:t xml:space="preserve"> développe une activité de protéines d'insectes en Analamanga</w:t>
      </w:r>
      <w:r w:rsidR="008C3A12">
        <w:rPr>
          <w:sz w:val="24"/>
          <w:szCs w:val="24"/>
          <w:lang w:val="fr-FR"/>
        </w:rPr>
        <w:t xml:space="preserve"> et le Nord</w:t>
      </w:r>
      <w:r w:rsidRPr="008C3A12">
        <w:rPr>
          <w:sz w:val="24"/>
          <w:szCs w:val="24"/>
        </w:rPr>
        <w:t>. La concurrence locale reste fragmentée et les capacités comparables publiquement documentées sont limitées ; l'avantage de Bio Source Farm repose surtout sur son historique opérationnel à Toamasina, son réseau de substrats, sa base commerciale et la formalisation de son procédé.</w:t>
      </w:r>
    </w:p>
    <w:p w14:paraId="72C140E9" w14:textId="77777777" w:rsidR="0042033D" w:rsidRDefault="00000000">
      <w:pPr>
        <w:keepNext/>
        <w:spacing w:before="140" w:after="50" w:line="260" w:lineRule="auto"/>
        <w:rPr>
          <w:sz w:val="24"/>
          <w:szCs w:val="24"/>
        </w:rPr>
      </w:pPr>
      <w:r>
        <w:rPr>
          <w:rFonts w:eastAsia="Arial"/>
          <w:b/>
          <w:bCs/>
          <w:color w:val="1A2330"/>
          <w:sz w:val="24"/>
          <w:szCs w:val="24"/>
        </w:rPr>
        <w:t>Tableau 5 — Matrice concurrentielle et avantage différenciant de Bio Source Farm</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013"/>
        <w:gridCol w:w="2381"/>
        <w:gridCol w:w="2381"/>
        <w:gridCol w:w="2381"/>
      </w:tblGrid>
      <w:tr w:rsidR="0042033D" w14:paraId="5EFA9F7C" w14:textId="77777777">
        <w:trPr>
          <w:cantSplit/>
          <w:tblHeader/>
        </w:trPr>
        <w:tc>
          <w:tcPr>
            <w:tcW w:w="1100" w:type="pct"/>
            <w:shd w:val="clear" w:color="auto" w:fill="D4875A"/>
            <w:tcMar>
              <w:top w:w="36" w:type="dxa"/>
              <w:left w:w="80" w:type="dxa"/>
              <w:bottom w:w="36" w:type="dxa"/>
              <w:right w:w="80" w:type="dxa"/>
            </w:tcMar>
            <w:vAlign w:val="center"/>
          </w:tcPr>
          <w:p w14:paraId="7AE41DF5" w14:textId="77777777" w:rsidR="0042033D" w:rsidRDefault="00000000">
            <w:pPr>
              <w:spacing w:line="232" w:lineRule="auto"/>
              <w:jc w:val="center"/>
              <w:rPr>
                <w:sz w:val="24"/>
                <w:szCs w:val="24"/>
              </w:rPr>
            </w:pPr>
            <w:r>
              <w:rPr>
                <w:b/>
                <w:bCs/>
                <w:color w:val="FFFFFF"/>
                <w:sz w:val="24"/>
                <w:szCs w:val="24"/>
              </w:rPr>
              <w:t>Concurrent / alternative</w:t>
            </w:r>
          </w:p>
        </w:tc>
        <w:tc>
          <w:tcPr>
            <w:tcW w:w="1300" w:type="pct"/>
            <w:shd w:val="clear" w:color="auto" w:fill="D4875A"/>
            <w:tcMar>
              <w:top w:w="36" w:type="dxa"/>
              <w:left w:w="80" w:type="dxa"/>
              <w:bottom w:w="36" w:type="dxa"/>
              <w:right w:w="80" w:type="dxa"/>
            </w:tcMar>
            <w:vAlign w:val="center"/>
          </w:tcPr>
          <w:p w14:paraId="1C5E2ED3" w14:textId="77777777" w:rsidR="0042033D" w:rsidRDefault="00000000">
            <w:pPr>
              <w:spacing w:line="232" w:lineRule="auto"/>
              <w:jc w:val="center"/>
              <w:rPr>
                <w:sz w:val="24"/>
                <w:szCs w:val="24"/>
              </w:rPr>
            </w:pPr>
            <w:r>
              <w:rPr>
                <w:b/>
                <w:bCs/>
                <w:color w:val="FFFFFF"/>
                <w:sz w:val="24"/>
                <w:szCs w:val="24"/>
              </w:rPr>
              <w:t>Forces</w:t>
            </w:r>
          </w:p>
        </w:tc>
        <w:tc>
          <w:tcPr>
            <w:tcW w:w="1300" w:type="pct"/>
            <w:shd w:val="clear" w:color="auto" w:fill="D4875A"/>
            <w:tcMar>
              <w:top w:w="36" w:type="dxa"/>
              <w:left w:w="80" w:type="dxa"/>
              <w:bottom w:w="36" w:type="dxa"/>
              <w:right w:w="80" w:type="dxa"/>
            </w:tcMar>
            <w:vAlign w:val="center"/>
          </w:tcPr>
          <w:p w14:paraId="64372101" w14:textId="77777777" w:rsidR="0042033D" w:rsidRDefault="00000000">
            <w:pPr>
              <w:spacing w:line="232" w:lineRule="auto"/>
              <w:jc w:val="center"/>
              <w:rPr>
                <w:sz w:val="24"/>
                <w:szCs w:val="24"/>
              </w:rPr>
            </w:pPr>
            <w:r>
              <w:rPr>
                <w:b/>
                <w:bCs/>
                <w:color w:val="FFFFFF"/>
                <w:sz w:val="24"/>
                <w:szCs w:val="24"/>
              </w:rPr>
              <w:t>Faiblesses</w:t>
            </w:r>
          </w:p>
        </w:tc>
        <w:tc>
          <w:tcPr>
            <w:tcW w:w="1300" w:type="pct"/>
            <w:shd w:val="clear" w:color="auto" w:fill="D4875A"/>
            <w:tcMar>
              <w:top w:w="36" w:type="dxa"/>
              <w:left w:w="80" w:type="dxa"/>
              <w:bottom w:w="36" w:type="dxa"/>
              <w:right w:w="80" w:type="dxa"/>
            </w:tcMar>
            <w:vAlign w:val="center"/>
          </w:tcPr>
          <w:p w14:paraId="31FA00BA" w14:textId="77777777" w:rsidR="0042033D" w:rsidRDefault="00000000">
            <w:pPr>
              <w:spacing w:line="232" w:lineRule="auto"/>
              <w:jc w:val="center"/>
              <w:rPr>
                <w:sz w:val="24"/>
                <w:szCs w:val="24"/>
              </w:rPr>
            </w:pPr>
            <w:r>
              <w:rPr>
                <w:b/>
                <w:bCs/>
                <w:color w:val="FFFFFF"/>
                <w:sz w:val="24"/>
                <w:szCs w:val="24"/>
              </w:rPr>
              <w:t>Position de Bio Source Farm</w:t>
            </w:r>
          </w:p>
        </w:tc>
      </w:tr>
      <w:tr w:rsidR="0042033D" w14:paraId="3FCA4995" w14:textId="77777777">
        <w:trPr>
          <w:cantSplit/>
        </w:trPr>
        <w:tc>
          <w:tcPr>
            <w:tcW w:w="1100" w:type="pct"/>
            <w:tcMar>
              <w:top w:w="28" w:type="dxa"/>
              <w:left w:w="80" w:type="dxa"/>
              <w:bottom w:w="28" w:type="dxa"/>
              <w:right w:w="80" w:type="dxa"/>
            </w:tcMar>
            <w:vAlign w:val="center"/>
          </w:tcPr>
          <w:p w14:paraId="4FC52F90" w14:textId="77777777" w:rsidR="0042033D" w:rsidRDefault="00000000">
            <w:pPr>
              <w:spacing w:line="232" w:lineRule="auto"/>
              <w:rPr>
                <w:sz w:val="24"/>
                <w:szCs w:val="24"/>
              </w:rPr>
            </w:pPr>
            <w:r>
              <w:rPr>
                <w:b/>
                <w:bCs/>
                <w:sz w:val="24"/>
                <w:szCs w:val="24"/>
              </w:rPr>
              <w:t>Engrais chimiques importés (NPK 15-15-15, urée, DAP)</w:t>
            </w:r>
          </w:p>
        </w:tc>
        <w:tc>
          <w:tcPr>
            <w:tcW w:w="1300" w:type="pct"/>
            <w:tcMar>
              <w:top w:w="28" w:type="dxa"/>
              <w:left w:w="80" w:type="dxa"/>
              <w:bottom w:w="28" w:type="dxa"/>
              <w:right w:w="80" w:type="dxa"/>
            </w:tcMar>
            <w:vAlign w:val="center"/>
          </w:tcPr>
          <w:p w14:paraId="5ABE8725" w14:textId="77777777" w:rsidR="0042033D" w:rsidRDefault="00000000">
            <w:pPr>
              <w:spacing w:line="232" w:lineRule="auto"/>
              <w:rPr>
                <w:sz w:val="24"/>
                <w:szCs w:val="24"/>
              </w:rPr>
            </w:pPr>
            <w:r>
              <w:rPr>
                <w:sz w:val="24"/>
                <w:szCs w:val="24"/>
              </w:rPr>
              <w:t>Réseau de distribution large, prix subventionnés par l'État via la FDA, reconnaissance agronomique</w:t>
            </w:r>
          </w:p>
        </w:tc>
        <w:tc>
          <w:tcPr>
            <w:tcW w:w="1300" w:type="pct"/>
            <w:tcMar>
              <w:top w:w="28" w:type="dxa"/>
              <w:left w:w="80" w:type="dxa"/>
              <w:bottom w:w="28" w:type="dxa"/>
              <w:right w:w="80" w:type="dxa"/>
            </w:tcMar>
            <w:vAlign w:val="center"/>
          </w:tcPr>
          <w:p w14:paraId="5A537C7E" w14:textId="77777777" w:rsidR="0042033D" w:rsidRDefault="00000000">
            <w:pPr>
              <w:rPr>
                <w:sz w:val="24"/>
                <w:szCs w:val="24"/>
              </w:rPr>
            </w:pPr>
            <w:r>
              <w:rPr>
                <w:sz w:val="24"/>
                <w:szCs w:val="24"/>
              </w:rPr>
              <w:t>Dépendance aux importations et à la logistique internationale ; coûts volatils</w:t>
            </w:r>
          </w:p>
        </w:tc>
        <w:tc>
          <w:tcPr>
            <w:tcW w:w="1300" w:type="pct"/>
            <w:tcMar>
              <w:top w:w="28" w:type="dxa"/>
              <w:left w:w="80" w:type="dxa"/>
              <w:bottom w:w="28" w:type="dxa"/>
              <w:right w:w="80" w:type="dxa"/>
            </w:tcMar>
            <w:vAlign w:val="center"/>
          </w:tcPr>
          <w:p w14:paraId="4FDBD6BF" w14:textId="77777777" w:rsidR="0042033D" w:rsidRDefault="00000000">
            <w:pPr>
              <w:spacing w:line="232" w:lineRule="auto"/>
              <w:rPr>
                <w:sz w:val="24"/>
                <w:szCs w:val="24"/>
              </w:rPr>
            </w:pPr>
            <w:r>
              <w:rPr>
                <w:sz w:val="24"/>
                <w:szCs w:val="24"/>
              </w:rPr>
              <w:t>Le frass combine fertilisation minérale et amendement organique durable, à prix compétitif</w:t>
            </w:r>
          </w:p>
        </w:tc>
      </w:tr>
      <w:tr w:rsidR="0042033D" w14:paraId="7969B5C6" w14:textId="77777777">
        <w:trPr>
          <w:cantSplit/>
        </w:trPr>
        <w:tc>
          <w:tcPr>
            <w:tcW w:w="1100" w:type="pct"/>
            <w:tcMar>
              <w:top w:w="28" w:type="dxa"/>
              <w:left w:w="80" w:type="dxa"/>
              <w:bottom w:w="28" w:type="dxa"/>
              <w:right w:w="80" w:type="dxa"/>
            </w:tcMar>
            <w:vAlign w:val="center"/>
          </w:tcPr>
          <w:p w14:paraId="4E75BE0F" w14:textId="77777777" w:rsidR="0042033D" w:rsidRDefault="00000000">
            <w:pPr>
              <w:spacing w:line="232" w:lineRule="auto"/>
              <w:rPr>
                <w:sz w:val="24"/>
                <w:szCs w:val="24"/>
              </w:rPr>
            </w:pPr>
            <w:r>
              <w:rPr>
                <w:b/>
                <w:bCs/>
                <w:sz w:val="24"/>
                <w:szCs w:val="24"/>
              </w:rPr>
              <w:lastRenderedPageBreak/>
              <w:t>Compost traditionnel et fumier</w:t>
            </w:r>
          </w:p>
        </w:tc>
        <w:tc>
          <w:tcPr>
            <w:tcW w:w="1300" w:type="pct"/>
            <w:tcMar>
              <w:top w:w="28" w:type="dxa"/>
              <w:left w:w="80" w:type="dxa"/>
              <w:bottom w:w="28" w:type="dxa"/>
              <w:right w:w="80" w:type="dxa"/>
            </w:tcMar>
            <w:vAlign w:val="center"/>
          </w:tcPr>
          <w:p w14:paraId="160912A1" w14:textId="77777777" w:rsidR="0042033D" w:rsidRDefault="00000000">
            <w:pPr>
              <w:spacing w:line="232" w:lineRule="auto"/>
              <w:rPr>
                <w:sz w:val="24"/>
                <w:szCs w:val="24"/>
              </w:rPr>
            </w:pPr>
            <w:r>
              <w:rPr>
                <w:sz w:val="24"/>
                <w:szCs w:val="24"/>
              </w:rPr>
              <w:t>Gratuit ou peu coûteux, disponible localement, acceptation sociale</w:t>
            </w:r>
          </w:p>
        </w:tc>
        <w:tc>
          <w:tcPr>
            <w:tcW w:w="1300" w:type="pct"/>
            <w:tcMar>
              <w:top w:w="28" w:type="dxa"/>
              <w:left w:w="80" w:type="dxa"/>
              <w:bottom w:w="28" w:type="dxa"/>
              <w:right w:w="80" w:type="dxa"/>
            </w:tcMar>
            <w:vAlign w:val="center"/>
          </w:tcPr>
          <w:p w14:paraId="751C6168" w14:textId="77777777" w:rsidR="0042033D" w:rsidRDefault="00000000">
            <w:pPr>
              <w:spacing w:line="232" w:lineRule="auto"/>
              <w:rPr>
                <w:sz w:val="24"/>
                <w:szCs w:val="24"/>
              </w:rPr>
            </w:pPr>
            <w:r>
              <w:rPr>
                <w:sz w:val="24"/>
                <w:szCs w:val="24"/>
              </w:rPr>
              <w:t>Processus lent (3 à 6 mois), rendement faible, qualité variable, aucune standardisation</w:t>
            </w:r>
          </w:p>
        </w:tc>
        <w:tc>
          <w:tcPr>
            <w:tcW w:w="1300" w:type="pct"/>
            <w:tcMar>
              <w:top w:w="28" w:type="dxa"/>
              <w:left w:w="80" w:type="dxa"/>
              <w:bottom w:w="28" w:type="dxa"/>
              <w:right w:w="80" w:type="dxa"/>
            </w:tcMar>
            <w:vAlign w:val="center"/>
          </w:tcPr>
          <w:p w14:paraId="5CD1D874" w14:textId="77777777" w:rsidR="0042033D" w:rsidRDefault="00000000">
            <w:pPr>
              <w:rPr>
                <w:sz w:val="24"/>
                <w:szCs w:val="24"/>
              </w:rPr>
            </w:pPr>
            <w:r>
              <w:rPr>
                <w:sz w:val="24"/>
                <w:szCs w:val="24"/>
              </w:rPr>
              <w:t>Cycle de bioconversion court selon le procédé interne ; qualité suivie par lot et traçabilité opérationnelle</w:t>
            </w:r>
          </w:p>
        </w:tc>
      </w:tr>
      <w:tr w:rsidR="0042033D" w14:paraId="442CCE89" w14:textId="77777777">
        <w:trPr>
          <w:cantSplit/>
        </w:trPr>
        <w:tc>
          <w:tcPr>
            <w:tcW w:w="1100" w:type="pct"/>
            <w:tcMar>
              <w:top w:w="28" w:type="dxa"/>
              <w:left w:w="80" w:type="dxa"/>
              <w:bottom w:w="28" w:type="dxa"/>
              <w:right w:w="80" w:type="dxa"/>
            </w:tcMar>
            <w:vAlign w:val="center"/>
          </w:tcPr>
          <w:p w14:paraId="676F72C0" w14:textId="77777777" w:rsidR="0042033D" w:rsidRDefault="00000000">
            <w:pPr>
              <w:spacing w:line="232" w:lineRule="auto"/>
              <w:rPr>
                <w:sz w:val="24"/>
                <w:szCs w:val="24"/>
              </w:rPr>
            </w:pPr>
            <w:r>
              <w:rPr>
                <w:b/>
                <w:bCs/>
                <w:sz w:val="24"/>
                <w:szCs w:val="24"/>
              </w:rPr>
              <w:t>Farine de poisson importée</w:t>
            </w:r>
          </w:p>
        </w:tc>
        <w:tc>
          <w:tcPr>
            <w:tcW w:w="1300" w:type="pct"/>
            <w:tcMar>
              <w:top w:w="28" w:type="dxa"/>
              <w:left w:w="80" w:type="dxa"/>
              <w:bottom w:w="28" w:type="dxa"/>
              <w:right w:w="80" w:type="dxa"/>
            </w:tcMar>
            <w:vAlign w:val="center"/>
          </w:tcPr>
          <w:p w14:paraId="39921979" w14:textId="77777777" w:rsidR="0042033D" w:rsidRDefault="00000000">
            <w:pPr>
              <w:spacing w:line="232" w:lineRule="auto"/>
              <w:rPr>
                <w:sz w:val="24"/>
                <w:szCs w:val="24"/>
              </w:rPr>
            </w:pPr>
            <w:r>
              <w:rPr>
                <w:sz w:val="24"/>
                <w:szCs w:val="24"/>
              </w:rPr>
              <w:t>Référentiel de qualité reconnu, chaîne logistique mondiale mature</w:t>
            </w:r>
          </w:p>
        </w:tc>
        <w:tc>
          <w:tcPr>
            <w:tcW w:w="1300" w:type="pct"/>
            <w:tcMar>
              <w:top w:w="28" w:type="dxa"/>
              <w:left w:w="80" w:type="dxa"/>
              <w:bottom w:w="28" w:type="dxa"/>
              <w:right w:w="80" w:type="dxa"/>
            </w:tcMar>
            <w:vAlign w:val="center"/>
          </w:tcPr>
          <w:p w14:paraId="34E81C1C" w14:textId="77777777" w:rsidR="0042033D" w:rsidRDefault="00000000">
            <w:pPr>
              <w:rPr>
                <w:sz w:val="24"/>
                <w:szCs w:val="24"/>
              </w:rPr>
            </w:pPr>
            <w:r>
              <w:rPr>
                <w:sz w:val="24"/>
                <w:szCs w:val="24"/>
              </w:rPr>
              <w:t>Offre mondiale sensible aux quotas et à la disponibilité des captures</w:t>
            </w:r>
          </w:p>
        </w:tc>
        <w:tc>
          <w:tcPr>
            <w:tcW w:w="1300" w:type="pct"/>
            <w:tcMar>
              <w:top w:w="28" w:type="dxa"/>
              <w:left w:w="80" w:type="dxa"/>
              <w:bottom w:w="28" w:type="dxa"/>
              <w:right w:w="80" w:type="dxa"/>
            </w:tcMar>
            <w:vAlign w:val="center"/>
          </w:tcPr>
          <w:p w14:paraId="478B4041" w14:textId="77777777" w:rsidR="0042033D" w:rsidRDefault="00000000">
            <w:pPr>
              <w:rPr>
                <w:sz w:val="24"/>
                <w:szCs w:val="24"/>
              </w:rPr>
            </w:pPr>
            <w:r>
              <w:rPr>
                <w:sz w:val="24"/>
                <w:szCs w:val="24"/>
              </w:rPr>
              <w:t>Larves BSF : alternative locale ; coût et compétitivité à démontrer par la montée en échelle</w:t>
            </w:r>
          </w:p>
        </w:tc>
      </w:tr>
      <w:tr w:rsidR="0042033D" w14:paraId="26678188" w14:textId="77777777">
        <w:trPr>
          <w:cantSplit/>
        </w:trPr>
        <w:tc>
          <w:tcPr>
            <w:tcW w:w="1100" w:type="pct"/>
            <w:tcMar>
              <w:top w:w="28" w:type="dxa"/>
              <w:left w:w="80" w:type="dxa"/>
              <w:bottom w:w="28" w:type="dxa"/>
              <w:right w:w="80" w:type="dxa"/>
            </w:tcMar>
            <w:vAlign w:val="center"/>
          </w:tcPr>
          <w:p w14:paraId="05FC3E35" w14:textId="77777777" w:rsidR="0042033D" w:rsidRDefault="00000000">
            <w:pPr>
              <w:spacing w:line="232" w:lineRule="auto"/>
              <w:rPr>
                <w:sz w:val="24"/>
                <w:szCs w:val="24"/>
              </w:rPr>
            </w:pPr>
            <w:r>
              <w:rPr>
                <w:b/>
                <w:bCs/>
                <w:sz w:val="24"/>
                <w:szCs w:val="24"/>
              </w:rPr>
              <w:t>Acteurs BSF émergents (BSF Tamatave, EXA Feeds/Foods, projets d'Afrique de l'Est et d'Asie)</w:t>
            </w:r>
          </w:p>
        </w:tc>
        <w:tc>
          <w:tcPr>
            <w:tcW w:w="1300" w:type="pct"/>
            <w:tcMar>
              <w:top w:w="28" w:type="dxa"/>
              <w:left w:w="80" w:type="dxa"/>
              <w:bottom w:w="28" w:type="dxa"/>
              <w:right w:w="80" w:type="dxa"/>
            </w:tcMar>
            <w:vAlign w:val="center"/>
          </w:tcPr>
          <w:p w14:paraId="38EB21F7" w14:textId="77777777" w:rsidR="0042033D" w:rsidRDefault="00000000">
            <w:pPr>
              <w:spacing w:line="232" w:lineRule="auto"/>
              <w:rPr>
                <w:sz w:val="24"/>
                <w:szCs w:val="24"/>
              </w:rPr>
            </w:pPr>
            <w:r>
              <w:rPr>
                <w:sz w:val="24"/>
                <w:szCs w:val="24"/>
              </w:rPr>
              <w:t>Même technologie, financements internationaux disponibles</w:t>
            </w:r>
          </w:p>
        </w:tc>
        <w:tc>
          <w:tcPr>
            <w:tcW w:w="1300" w:type="pct"/>
            <w:tcMar>
              <w:top w:w="28" w:type="dxa"/>
              <w:left w:w="80" w:type="dxa"/>
              <w:bottom w:w="28" w:type="dxa"/>
              <w:right w:w="80" w:type="dxa"/>
            </w:tcMar>
            <w:vAlign w:val="center"/>
          </w:tcPr>
          <w:p w14:paraId="2F82C8BD" w14:textId="77777777" w:rsidR="0042033D" w:rsidRDefault="00000000">
            <w:pPr>
              <w:spacing w:line="232" w:lineRule="auto"/>
              <w:rPr>
                <w:sz w:val="24"/>
                <w:szCs w:val="24"/>
              </w:rPr>
            </w:pPr>
            <w:r>
              <w:rPr>
                <w:sz w:val="24"/>
                <w:szCs w:val="24"/>
              </w:rPr>
              <w:t>Pas encore de production industrielle locale, pas de maîtrise des substrats locaux, délai d'implantation</w:t>
            </w:r>
          </w:p>
        </w:tc>
        <w:tc>
          <w:tcPr>
            <w:tcW w:w="1300" w:type="pct"/>
            <w:tcMar>
              <w:top w:w="28" w:type="dxa"/>
              <w:left w:w="80" w:type="dxa"/>
              <w:bottom w:w="28" w:type="dxa"/>
              <w:right w:w="80" w:type="dxa"/>
            </w:tcMar>
            <w:vAlign w:val="center"/>
          </w:tcPr>
          <w:p w14:paraId="475BC37E" w14:textId="77777777" w:rsidR="0042033D" w:rsidRDefault="00000000">
            <w:pPr>
              <w:rPr>
                <w:sz w:val="24"/>
                <w:szCs w:val="24"/>
              </w:rPr>
            </w:pPr>
            <w:r>
              <w:rPr>
                <w:sz w:val="24"/>
                <w:szCs w:val="24"/>
              </w:rPr>
              <w:t>Avance opérationnelle ; savoir-faire acclimaté ; réseau de substrats et base commerciale à préserver</w:t>
            </w:r>
          </w:p>
        </w:tc>
      </w:tr>
    </w:tbl>
    <w:p w14:paraId="6BE10031" w14:textId="77777777" w:rsidR="0042033D" w:rsidRDefault="00000000">
      <w:pPr>
        <w:pStyle w:val="Heading2"/>
        <w:spacing w:before="150" w:after="60"/>
        <w:rPr>
          <w:rFonts w:ascii="Times New Roman" w:hAnsi="Times New Roman"/>
        </w:rPr>
      </w:pPr>
      <w:bookmarkStart w:id="29" w:name="_Toc100029"/>
      <w:r>
        <w:rPr>
          <w:rFonts w:ascii="Times New Roman" w:hAnsi="Times New Roman"/>
        </w:rPr>
        <w:t>8.1 Synthèse des barrières à l'entrée et veille concurrentielle</w:t>
      </w:r>
      <w:bookmarkEnd w:id="29"/>
    </w:p>
    <w:p w14:paraId="31D14413" w14:textId="77777777" w:rsidR="0042033D" w:rsidRPr="008C3A12" w:rsidRDefault="00000000">
      <w:pPr>
        <w:spacing w:after="60"/>
        <w:jc w:val="both"/>
        <w:rPr>
          <w:sz w:val="32"/>
          <w:szCs w:val="32"/>
        </w:rPr>
      </w:pPr>
      <w:r w:rsidRPr="008C3A12">
        <w:rPr>
          <w:sz w:val="24"/>
          <w:szCs w:val="24"/>
        </w:rPr>
        <w:t>La barrière à l'entrée est principalement opérationnelle et temporelle, non juridique. Elle repose sur l'historique d'exploitation, le SOP, la connaissance des substrats, les relations commerciales, la capacité à tenir une qualité régulière et l'apprentissage accumulé sur les cycles de production. Elle ne constitue pas un monopole. La défense concurrentielle recherchée repose sur quatre leviers : sécurisation des substrats, fidélisation des comptes B2B, baisse du coût de revient par mécanisation et montée en qualité / certification. Cette position est d'autant plus importante que des concurrents directs BSF sont déjà identifiés sur le marché malgache [S10][S11].</w:t>
      </w:r>
    </w:p>
    <w:p w14:paraId="442D5283" w14:textId="77777777" w:rsidR="0042033D" w:rsidRDefault="00000000">
      <w:pPr>
        <w:spacing w:after="60"/>
        <w:jc w:val="both"/>
        <w:rPr>
          <w:sz w:val="24"/>
          <w:szCs w:val="24"/>
          <w:lang w:val="fr-FR"/>
        </w:rPr>
      </w:pPr>
      <w:r>
        <w:rPr>
          <w:sz w:val="24"/>
          <w:szCs w:val="24"/>
        </w:rPr>
        <w:t>Veille concurrentielle. Bio Source Farm suit les initiatives BSF à Madagascar, en Afrique de l’Est et dans l’Océan Indien via les programmes de bailleurs, incubateurs, salons et publications professionnelles. La défense concurrentielle repose sur quatre leviers : sécurisation des substrats, fidélisation des comptes B2B, baisse du coût de revient par mécanisation et montée en qualité / certification.</w:t>
      </w:r>
    </w:p>
    <w:p w14:paraId="0B30FC85" w14:textId="77777777" w:rsidR="005C594B" w:rsidRDefault="005C594B">
      <w:pPr>
        <w:spacing w:after="60"/>
        <w:jc w:val="both"/>
        <w:rPr>
          <w:sz w:val="24"/>
          <w:szCs w:val="24"/>
          <w:lang w:val="fr-FR"/>
        </w:rPr>
      </w:pPr>
    </w:p>
    <w:p w14:paraId="47F73931" w14:textId="77777777" w:rsidR="005C594B" w:rsidRDefault="005C594B">
      <w:pPr>
        <w:spacing w:after="60"/>
        <w:jc w:val="both"/>
        <w:rPr>
          <w:sz w:val="24"/>
          <w:szCs w:val="24"/>
          <w:lang w:val="fr-FR"/>
        </w:rPr>
      </w:pPr>
    </w:p>
    <w:p w14:paraId="3598C7A1" w14:textId="77777777" w:rsidR="005C594B" w:rsidRDefault="005C594B">
      <w:pPr>
        <w:spacing w:after="60"/>
        <w:jc w:val="both"/>
        <w:rPr>
          <w:sz w:val="24"/>
          <w:szCs w:val="24"/>
          <w:lang w:val="fr-FR"/>
        </w:rPr>
      </w:pPr>
    </w:p>
    <w:p w14:paraId="23233665" w14:textId="77777777" w:rsidR="005C594B" w:rsidRDefault="005C594B">
      <w:pPr>
        <w:spacing w:after="60"/>
        <w:jc w:val="both"/>
        <w:rPr>
          <w:sz w:val="24"/>
          <w:szCs w:val="24"/>
          <w:lang w:val="fr-FR"/>
        </w:rPr>
      </w:pPr>
    </w:p>
    <w:p w14:paraId="55E260E4" w14:textId="77777777" w:rsidR="005C594B" w:rsidRPr="005C594B" w:rsidRDefault="005C594B">
      <w:pPr>
        <w:spacing w:after="60"/>
        <w:jc w:val="both"/>
        <w:rPr>
          <w:sz w:val="24"/>
          <w:szCs w:val="24"/>
          <w:lang w:val="fr-FR"/>
        </w:rPr>
      </w:pPr>
    </w:p>
    <w:p w14:paraId="19C33B9E"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30" w:name="_Toc238821288"/>
      <w:r w:rsidRPr="005C594B">
        <w:rPr>
          <w:rFonts w:ascii="League Spartan" w:hAnsi="League Spartan"/>
          <w:sz w:val="40"/>
          <w:szCs w:val="40"/>
        </w:rPr>
        <w:lastRenderedPageBreak/>
        <w:t>9. Modèle économique</w:t>
      </w:r>
      <w:bookmarkEnd w:id="30"/>
    </w:p>
    <w:p w14:paraId="269FA047" w14:textId="25078A2B" w:rsidR="008C3A12" w:rsidRPr="008C3A12" w:rsidRDefault="00000000">
      <w:pPr>
        <w:spacing w:after="60"/>
        <w:jc w:val="both"/>
        <w:rPr>
          <w:sz w:val="24"/>
          <w:szCs w:val="24"/>
          <w:lang w:val="fr-FR"/>
        </w:rPr>
      </w:pPr>
      <w:r>
        <w:rPr>
          <w:sz w:val="24"/>
          <w:szCs w:val="24"/>
        </w:rPr>
        <w:t>Le modèle économique repose sur la valorisation de plusieurs sorties issues d’un même flux organique. Le frass constitue le revenu actuel ; la biomasse larvaire ouvre un relais de croissance conditionnel aux validations techniques et réglementaires ; les bioactivateurs restent en pré-commercialisation. La rentabilité historique est démontrée sur les deux exercices certifiés.</w:t>
      </w:r>
    </w:p>
    <w:p w14:paraId="3F721691" w14:textId="77777777" w:rsidR="0042033D" w:rsidRDefault="00000000">
      <w:pPr>
        <w:pStyle w:val="Heading2"/>
        <w:spacing w:before="150" w:after="60"/>
        <w:rPr>
          <w:rFonts w:ascii="Times New Roman" w:hAnsi="Times New Roman"/>
        </w:rPr>
      </w:pPr>
      <w:bookmarkStart w:id="31" w:name="_Toc100031"/>
      <w:r>
        <w:rPr>
          <w:rFonts w:ascii="Times New Roman" w:hAnsi="Times New Roman"/>
        </w:rPr>
        <w:t>9.1 Structure des revenus : mix actuel et trajectoire cible</w:t>
      </w:r>
      <w:bookmarkEnd w:id="31"/>
    </w:p>
    <w:p w14:paraId="16D87C57" w14:textId="77777777" w:rsidR="0042033D" w:rsidRDefault="00000000">
      <w:pPr>
        <w:spacing w:after="60"/>
        <w:jc w:val="both"/>
        <w:rPr>
          <w:sz w:val="24"/>
          <w:szCs w:val="24"/>
        </w:rPr>
      </w:pPr>
      <w:r>
        <w:rPr>
          <w:noProof/>
          <w:sz w:val="24"/>
          <w:szCs w:val="24"/>
        </w:rPr>
        <w:drawing>
          <wp:anchor distT="0" distB="0" distL="114300" distR="114300" simplePos="0" relativeHeight="251660288" behindDoc="0" locked="0" layoutInCell="1" allowOverlap="1" wp14:anchorId="77B94979" wp14:editId="1A448FC9">
            <wp:simplePos x="0" y="0"/>
            <wp:positionH relativeFrom="column">
              <wp:posOffset>-76200</wp:posOffset>
            </wp:positionH>
            <wp:positionV relativeFrom="paragraph">
              <wp:posOffset>2415540</wp:posOffset>
            </wp:positionV>
            <wp:extent cx="5791200" cy="2923177"/>
            <wp:effectExtent l="0" t="0" r="0" b="0"/>
            <wp:wrapTopAndBottom/>
            <wp:docPr id="3" name="Picture 3" descr="Illustration du Business Plan Bio Source Farm — élément graphique 3" title="Graphique ou illustr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1200" cy="2923177"/>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Le chiffre d'affaires actuel se répartit entre les contrats institutionnels (FDA : 86,9 %) et les ventes directes B2B et B2C (13,1 %). Cette concentration sur un canal unique constitue à la fois une force (sécurité du paiement, volumes garantis) et une vulnérabilité (dépendance à une décision publique, marges plus faibles, absence de prime de prix). La stratégie 2026-2030 vise à rééquilibrer progressivement ce mix : 30 % de revenus hors FDA en 2026, </w:t>
      </w:r>
      <w:r>
        <w:rPr>
          <w:b/>
          <w:bCs/>
          <w:sz w:val="24"/>
          <w:szCs w:val="24"/>
        </w:rPr>
        <w:t>40 à 45 % dès 2027</w:t>
      </w:r>
      <w:r>
        <w:rPr>
          <w:sz w:val="24"/>
          <w:szCs w:val="24"/>
        </w:rPr>
        <w:t xml:space="preserve"> — objectif accéléré par rapport aux trajectoires usuelles du secteur —, puis environ 46 % de contrats FDA, 31 % de ventes directes de frass et 23 % de protéines larvaires en 2030, l'exportation régionale étant traitée comme un relais optionnel soumis aux critères de certification de la phase suivante (cf. sections 6.5 et 24). La ligne protéines animales y figure comme composante propre du mix, avec une montée en charge à partir de 2027.</w:t>
      </w:r>
    </w:p>
    <w:p w14:paraId="0A26C9E9" w14:textId="77777777" w:rsidR="0042033D" w:rsidRDefault="0042033D">
      <w:pPr>
        <w:spacing w:before="80" w:after="30"/>
        <w:jc w:val="center"/>
        <w:rPr>
          <w:sz w:val="24"/>
          <w:szCs w:val="24"/>
        </w:rPr>
      </w:pPr>
    </w:p>
    <w:p w14:paraId="0D1C9AE2" w14:textId="77777777" w:rsidR="0042033D" w:rsidRDefault="00000000">
      <w:pPr>
        <w:spacing w:after="140" w:line="240" w:lineRule="auto"/>
        <w:jc w:val="center"/>
        <w:rPr>
          <w:i/>
          <w:iCs/>
          <w:color w:val="5A6472"/>
          <w:sz w:val="24"/>
          <w:szCs w:val="24"/>
          <w:lang w:val="fr-FR"/>
        </w:rPr>
      </w:pPr>
      <w:r>
        <w:rPr>
          <w:i/>
          <w:iCs/>
          <w:color w:val="5A6472"/>
          <w:sz w:val="24"/>
          <w:szCs w:val="24"/>
        </w:rPr>
        <w:t>Figure 3 — Évolution projetée du mix de revenus 2025-2030 (source : modèle financier interne ; scénario central hors export)</w:t>
      </w:r>
    </w:p>
    <w:p w14:paraId="1D6E7C29" w14:textId="77777777" w:rsidR="0042033D" w:rsidRDefault="0042033D">
      <w:pPr>
        <w:spacing w:after="140" w:line="240" w:lineRule="auto"/>
        <w:jc w:val="center"/>
        <w:rPr>
          <w:sz w:val="24"/>
          <w:szCs w:val="24"/>
          <w:lang w:val="fr-FR"/>
        </w:rPr>
      </w:pPr>
    </w:p>
    <w:p w14:paraId="329E033E" w14:textId="77777777" w:rsidR="0042033D" w:rsidRDefault="00000000">
      <w:pPr>
        <w:pStyle w:val="Heading2"/>
        <w:spacing w:before="150" w:after="60"/>
        <w:rPr>
          <w:rFonts w:ascii="Times New Roman" w:hAnsi="Times New Roman"/>
        </w:rPr>
      </w:pPr>
      <w:bookmarkStart w:id="32" w:name="_Toc100032"/>
      <w:r>
        <w:rPr>
          <w:rFonts w:ascii="Times New Roman" w:hAnsi="Times New Roman"/>
        </w:rPr>
        <w:t>9.2 Structure des coûts : décomposition et explication du palier de marge 2026</w:t>
      </w:r>
      <w:bookmarkEnd w:id="32"/>
    </w:p>
    <w:p w14:paraId="72EF2CE6" w14:textId="77777777" w:rsidR="0042033D" w:rsidRDefault="00000000">
      <w:pPr>
        <w:spacing w:after="60"/>
        <w:jc w:val="both"/>
        <w:rPr>
          <w:sz w:val="24"/>
          <w:szCs w:val="24"/>
        </w:rPr>
      </w:pPr>
      <w:r>
        <w:rPr>
          <w:sz w:val="24"/>
          <w:szCs w:val="24"/>
        </w:rPr>
        <w:t xml:space="preserve">Les coûts opérationnels cumulés sur les deux exercices certifiés (2023-2024 et 2024-2025) s'établissent à 253,1 millions d'Ariary (environ 56 240 $), soit un coût moyen de revient de 955 MGA par kilogramme (≈ 0,21 $/kg) de frass produit. La décomposition, reconstituée sur la base </w:t>
      </w:r>
      <w:r>
        <w:rPr>
          <w:sz w:val="24"/>
          <w:szCs w:val="24"/>
        </w:rPr>
        <w:lastRenderedPageBreak/>
        <w:t>de l'effectif réel de 16 ETP, montre une prédominance des charges de personnel (36,3 %), suivies des matières premières et emballages (21,7 %), des autres charges opérationnelles (21,7 %), de l'énergie et du carburant (11,9 %) et des amortissements (8,3 %). Les économies d'échelle attendues reposent sur la mécanisation du criblage et du séchage, la contractualisation exclusive des substrats et l'optimisation de la cadence des équipes.</w:t>
      </w:r>
    </w:p>
    <w:p w14:paraId="5C9A696A" w14:textId="77777777" w:rsidR="0042033D" w:rsidRDefault="00000000">
      <w:pPr>
        <w:spacing w:after="60"/>
        <w:jc w:val="both"/>
        <w:rPr>
          <w:sz w:val="24"/>
          <w:szCs w:val="24"/>
          <w:lang w:val="fr-FR"/>
        </w:rPr>
      </w:pPr>
      <w:r>
        <w:rPr>
          <w:noProof/>
          <w:sz w:val="24"/>
          <w:szCs w:val="24"/>
        </w:rPr>
        <w:drawing>
          <wp:anchor distT="0" distB="0" distL="114300" distR="114300" simplePos="0" relativeHeight="251662336" behindDoc="0" locked="0" layoutInCell="1" allowOverlap="1" wp14:anchorId="534CC9FD" wp14:editId="43EDE30D">
            <wp:simplePos x="0" y="0"/>
            <wp:positionH relativeFrom="column">
              <wp:posOffset>-30480</wp:posOffset>
            </wp:positionH>
            <wp:positionV relativeFrom="paragraph">
              <wp:posOffset>1482090</wp:posOffset>
            </wp:positionV>
            <wp:extent cx="5791200" cy="2794000"/>
            <wp:effectExtent l="0" t="0" r="0" b="6350"/>
            <wp:wrapTopAndBottom/>
            <wp:docPr id="4" name="Picture 4" descr="Illustration du Business Plan Bio Source Farm — élément graphique 4" title="Graphique ou illustr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91200" cy="279400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Pourquoi la marge brute 2026 évolue. Dans le compte de résultat, la marge brute de 2026 ressort à 45 % (80 K$ de CA pour 44 K$ de COGS). Les amortissements et le salaire commercial expliquent ensuite le niveau d’EBITDA ; ils ne doivent pas être décrits comme une composante de la marge brute sauf si le référentiel comptable du modèle les inclut explicitement dans le COGS. La remontée vers 53 % en 2030 repose sur la croissance des volumes, la mécanisation, le meilleur taux d’utilisation des actifs et la montée des ventes directes / protéines.</w:t>
      </w:r>
    </w:p>
    <w:p w14:paraId="2ACAFD12" w14:textId="77777777" w:rsidR="0042033D" w:rsidRDefault="0042033D">
      <w:pPr>
        <w:spacing w:before="80" w:after="30"/>
        <w:jc w:val="center"/>
        <w:rPr>
          <w:sz w:val="24"/>
          <w:szCs w:val="24"/>
          <w:lang w:val="fr-FR"/>
        </w:rPr>
      </w:pPr>
    </w:p>
    <w:p w14:paraId="485B7527" w14:textId="77777777" w:rsidR="0042033D" w:rsidRDefault="00000000">
      <w:pPr>
        <w:spacing w:after="140" w:line="240" w:lineRule="auto"/>
        <w:jc w:val="center"/>
        <w:rPr>
          <w:sz w:val="24"/>
          <w:szCs w:val="24"/>
        </w:rPr>
      </w:pPr>
      <w:r>
        <w:rPr>
          <w:i/>
          <w:iCs/>
          <w:color w:val="5A6472"/>
          <w:sz w:val="24"/>
          <w:szCs w:val="24"/>
        </w:rPr>
        <w:t>Figure 4 — Évolution de la structure des coûts opérationnels 2025-2030 (économies d'échelle attendues ; décomposition 2025 issue des exercices certifiés, effectif 16 ETP)</w:t>
      </w:r>
    </w:p>
    <w:p w14:paraId="77AA3C4C" w14:textId="77777777" w:rsidR="0042033D" w:rsidRDefault="00000000">
      <w:pPr>
        <w:pStyle w:val="Heading2"/>
        <w:spacing w:before="150" w:after="60"/>
        <w:rPr>
          <w:rFonts w:ascii="Times New Roman" w:hAnsi="Times New Roman"/>
        </w:rPr>
      </w:pPr>
      <w:bookmarkStart w:id="33" w:name="_Toc100033"/>
      <w:r>
        <w:rPr>
          <w:rFonts w:ascii="Times New Roman" w:hAnsi="Times New Roman"/>
        </w:rPr>
        <w:t>9.3 Unit economics : rentabilité par unité produite</w:t>
      </w:r>
      <w:bookmarkEnd w:id="33"/>
    </w:p>
    <w:p w14:paraId="58D8155C" w14:textId="77777777" w:rsidR="0042033D" w:rsidRDefault="00000000">
      <w:pPr>
        <w:spacing w:after="60"/>
        <w:jc w:val="both"/>
        <w:rPr>
          <w:sz w:val="24"/>
          <w:szCs w:val="24"/>
        </w:rPr>
      </w:pPr>
      <w:r>
        <w:rPr>
          <w:sz w:val="24"/>
          <w:szCs w:val="24"/>
        </w:rPr>
        <w:t>Les unit economics sont présentés comme un indicateur de niveau de production, et non comme une reconstitution comptable complète. Le modèle 2025 retient environ 212 $/t de coût de production direct et 444 $/t de prix de vente moyen, soit 232 $/t de marge contributive avant certains coûts commerciaux et structurels. Cette marge unitaire de 52 % ne doit pas être comparée directement à la marge brute consolidée de 49 % du compte de résultat sans tenir compte du mix de canaux, des coûts de conditionnement, des stocks et des autres coûts incorporés selon le périmètre comptable.</w:t>
      </w:r>
    </w:p>
    <w:p w14:paraId="74B85E09" w14:textId="77777777" w:rsidR="0042033D" w:rsidRDefault="00000000">
      <w:pPr>
        <w:keepNext/>
        <w:spacing w:before="140" w:after="50" w:line="260" w:lineRule="auto"/>
        <w:rPr>
          <w:sz w:val="24"/>
          <w:szCs w:val="24"/>
        </w:rPr>
      </w:pPr>
      <w:r>
        <w:rPr>
          <w:rFonts w:eastAsia="Arial"/>
          <w:b/>
          <w:bCs/>
          <w:color w:val="1A2330"/>
          <w:sz w:val="24"/>
          <w:szCs w:val="24"/>
        </w:rPr>
        <w:lastRenderedPageBreak/>
        <w:t>Tableau 6 — Unit economics de Bio Source Farm (situation 2025, indicateurs ajustés)</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197"/>
        <w:gridCol w:w="2381"/>
        <w:gridCol w:w="4578"/>
      </w:tblGrid>
      <w:tr w:rsidR="0042033D" w14:paraId="44C93943" w14:textId="77777777">
        <w:trPr>
          <w:cantSplit/>
          <w:tblHeader/>
        </w:trPr>
        <w:tc>
          <w:tcPr>
            <w:tcW w:w="1200" w:type="pct"/>
            <w:shd w:val="clear" w:color="auto" w:fill="D4875A"/>
            <w:tcMar>
              <w:top w:w="36" w:type="dxa"/>
              <w:left w:w="80" w:type="dxa"/>
              <w:bottom w:w="36" w:type="dxa"/>
              <w:right w:w="80" w:type="dxa"/>
            </w:tcMar>
            <w:vAlign w:val="center"/>
          </w:tcPr>
          <w:p w14:paraId="5FFC6386" w14:textId="77777777" w:rsidR="0042033D" w:rsidRDefault="00000000">
            <w:pPr>
              <w:spacing w:line="232" w:lineRule="auto"/>
              <w:jc w:val="center"/>
              <w:rPr>
                <w:sz w:val="24"/>
                <w:szCs w:val="24"/>
              </w:rPr>
            </w:pPr>
            <w:r>
              <w:rPr>
                <w:b/>
                <w:bCs/>
                <w:color w:val="FFFFFF"/>
                <w:sz w:val="24"/>
                <w:szCs w:val="24"/>
              </w:rPr>
              <w:t>Indicateur</w:t>
            </w:r>
          </w:p>
        </w:tc>
        <w:tc>
          <w:tcPr>
            <w:tcW w:w="1300" w:type="pct"/>
            <w:shd w:val="clear" w:color="auto" w:fill="D4875A"/>
            <w:tcMar>
              <w:top w:w="36" w:type="dxa"/>
              <w:left w:w="80" w:type="dxa"/>
              <w:bottom w:w="36" w:type="dxa"/>
              <w:right w:w="80" w:type="dxa"/>
            </w:tcMar>
            <w:vAlign w:val="center"/>
          </w:tcPr>
          <w:p w14:paraId="7082E704" w14:textId="77777777" w:rsidR="0042033D" w:rsidRDefault="00000000">
            <w:pPr>
              <w:spacing w:line="232" w:lineRule="auto"/>
              <w:jc w:val="center"/>
              <w:rPr>
                <w:sz w:val="24"/>
                <w:szCs w:val="24"/>
              </w:rPr>
            </w:pPr>
            <w:r>
              <w:rPr>
                <w:b/>
                <w:bCs/>
                <w:color w:val="FFFFFF"/>
                <w:sz w:val="24"/>
                <w:szCs w:val="24"/>
              </w:rPr>
              <w:t>Valeur</w:t>
            </w:r>
          </w:p>
        </w:tc>
        <w:tc>
          <w:tcPr>
            <w:tcW w:w="2500" w:type="pct"/>
            <w:shd w:val="clear" w:color="auto" w:fill="D4875A"/>
            <w:tcMar>
              <w:top w:w="36" w:type="dxa"/>
              <w:left w:w="80" w:type="dxa"/>
              <w:bottom w:w="36" w:type="dxa"/>
              <w:right w:w="80" w:type="dxa"/>
            </w:tcMar>
            <w:vAlign w:val="center"/>
          </w:tcPr>
          <w:p w14:paraId="68E56E66" w14:textId="77777777" w:rsidR="0042033D" w:rsidRDefault="00000000">
            <w:pPr>
              <w:spacing w:line="232" w:lineRule="auto"/>
              <w:jc w:val="center"/>
              <w:rPr>
                <w:sz w:val="24"/>
                <w:szCs w:val="24"/>
              </w:rPr>
            </w:pPr>
            <w:r>
              <w:rPr>
                <w:b/>
                <w:bCs/>
                <w:color w:val="FFFFFF"/>
                <w:sz w:val="24"/>
                <w:szCs w:val="24"/>
              </w:rPr>
              <w:t>Commentaire</w:t>
            </w:r>
          </w:p>
        </w:tc>
      </w:tr>
      <w:tr w:rsidR="0042033D" w14:paraId="68141401" w14:textId="77777777">
        <w:trPr>
          <w:cantSplit/>
        </w:trPr>
        <w:tc>
          <w:tcPr>
            <w:tcW w:w="1200" w:type="pct"/>
            <w:tcMar>
              <w:top w:w="28" w:type="dxa"/>
              <w:left w:w="80" w:type="dxa"/>
              <w:bottom w:w="28" w:type="dxa"/>
              <w:right w:w="80" w:type="dxa"/>
            </w:tcMar>
            <w:vAlign w:val="center"/>
          </w:tcPr>
          <w:p w14:paraId="76A6A2FE" w14:textId="77777777" w:rsidR="0042033D" w:rsidRDefault="00000000">
            <w:pPr>
              <w:spacing w:line="232" w:lineRule="auto"/>
              <w:rPr>
                <w:sz w:val="24"/>
                <w:szCs w:val="24"/>
              </w:rPr>
            </w:pPr>
            <w:r>
              <w:rPr>
                <w:b/>
                <w:bCs/>
                <w:sz w:val="24"/>
                <w:szCs w:val="24"/>
              </w:rPr>
              <w:t>Coût de production du frass</w:t>
            </w:r>
          </w:p>
        </w:tc>
        <w:tc>
          <w:tcPr>
            <w:tcW w:w="1300" w:type="pct"/>
            <w:tcMar>
              <w:top w:w="28" w:type="dxa"/>
              <w:left w:w="80" w:type="dxa"/>
              <w:bottom w:w="28" w:type="dxa"/>
              <w:right w:w="80" w:type="dxa"/>
            </w:tcMar>
            <w:vAlign w:val="center"/>
          </w:tcPr>
          <w:p w14:paraId="71C7DA70" w14:textId="77777777" w:rsidR="0042033D" w:rsidRDefault="00000000">
            <w:pPr>
              <w:spacing w:line="232" w:lineRule="auto"/>
              <w:rPr>
                <w:sz w:val="24"/>
                <w:szCs w:val="24"/>
              </w:rPr>
            </w:pPr>
            <w:r>
              <w:rPr>
                <w:b/>
                <w:bCs/>
                <w:sz w:val="24"/>
                <w:szCs w:val="24"/>
              </w:rPr>
              <w:t>212 $/tonne</w:t>
            </w:r>
          </w:p>
        </w:tc>
        <w:tc>
          <w:tcPr>
            <w:tcW w:w="2500" w:type="pct"/>
            <w:tcMar>
              <w:top w:w="28" w:type="dxa"/>
              <w:left w:w="80" w:type="dxa"/>
              <w:bottom w:w="28" w:type="dxa"/>
              <w:right w:w="80" w:type="dxa"/>
            </w:tcMar>
            <w:vAlign w:val="center"/>
          </w:tcPr>
          <w:p w14:paraId="1B13F7BF" w14:textId="77777777" w:rsidR="0042033D" w:rsidRDefault="00000000">
            <w:pPr>
              <w:spacing w:line="232" w:lineRule="auto"/>
              <w:rPr>
                <w:sz w:val="24"/>
                <w:szCs w:val="24"/>
              </w:rPr>
            </w:pPr>
            <w:r>
              <w:rPr>
                <w:sz w:val="24"/>
                <w:szCs w:val="24"/>
              </w:rPr>
              <w:t>Hors frais commerciaux et structurels ; personnel direct de production inclus (14 ouvriers à 267 000 MGA/mois rattachés aux volumes)</w:t>
            </w:r>
          </w:p>
        </w:tc>
      </w:tr>
      <w:tr w:rsidR="0042033D" w14:paraId="2BEC8762" w14:textId="77777777">
        <w:trPr>
          <w:cantSplit/>
        </w:trPr>
        <w:tc>
          <w:tcPr>
            <w:tcW w:w="1200" w:type="pct"/>
            <w:tcMar>
              <w:top w:w="28" w:type="dxa"/>
              <w:left w:w="80" w:type="dxa"/>
              <w:bottom w:w="28" w:type="dxa"/>
              <w:right w:w="80" w:type="dxa"/>
            </w:tcMar>
            <w:vAlign w:val="center"/>
          </w:tcPr>
          <w:p w14:paraId="65505E5A" w14:textId="77777777" w:rsidR="0042033D" w:rsidRDefault="00000000">
            <w:pPr>
              <w:spacing w:line="232" w:lineRule="auto"/>
              <w:rPr>
                <w:sz w:val="24"/>
                <w:szCs w:val="24"/>
              </w:rPr>
            </w:pPr>
            <w:r>
              <w:rPr>
                <w:b/>
                <w:bCs/>
                <w:sz w:val="24"/>
                <w:szCs w:val="24"/>
              </w:rPr>
              <w:t>Prix de vente moyen du frass</w:t>
            </w:r>
          </w:p>
        </w:tc>
        <w:tc>
          <w:tcPr>
            <w:tcW w:w="1300" w:type="pct"/>
            <w:tcMar>
              <w:top w:w="28" w:type="dxa"/>
              <w:left w:w="80" w:type="dxa"/>
              <w:bottom w:w="28" w:type="dxa"/>
              <w:right w:w="80" w:type="dxa"/>
            </w:tcMar>
            <w:vAlign w:val="center"/>
          </w:tcPr>
          <w:p w14:paraId="5740836D" w14:textId="77777777" w:rsidR="0042033D" w:rsidRDefault="00000000">
            <w:pPr>
              <w:spacing w:line="232" w:lineRule="auto"/>
              <w:rPr>
                <w:sz w:val="24"/>
                <w:szCs w:val="24"/>
              </w:rPr>
            </w:pPr>
            <w:r>
              <w:rPr>
                <w:b/>
                <w:bCs/>
                <w:sz w:val="24"/>
                <w:szCs w:val="24"/>
              </w:rPr>
              <w:t>444 $/tonne</w:t>
            </w:r>
          </w:p>
        </w:tc>
        <w:tc>
          <w:tcPr>
            <w:tcW w:w="2500" w:type="pct"/>
            <w:tcMar>
              <w:top w:w="28" w:type="dxa"/>
              <w:left w:w="80" w:type="dxa"/>
              <w:bottom w:w="28" w:type="dxa"/>
              <w:right w:w="80" w:type="dxa"/>
            </w:tcMar>
            <w:vAlign w:val="center"/>
          </w:tcPr>
          <w:p w14:paraId="60FED98B" w14:textId="77777777" w:rsidR="0042033D" w:rsidRDefault="00000000">
            <w:pPr>
              <w:spacing w:line="232" w:lineRule="auto"/>
              <w:rPr>
                <w:sz w:val="24"/>
                <w:szCs w:val="24"/>
              </w:rPr>
            </w:pPr>
            <w:r>
              <w:rPr>
                <w:sz w:val="24"/>
                <w:szCs w:val="24"/>
              </w:rPr>
              <w:t>Moyenne pondérée FDA, direct et B2B</w:t>
            </w:r>
          </w:p>
        </w:tc>
      </w:tr>
      <w:tr w:rsidR="0042033D" w14:paraId="30F08FD6" w14:textId="77777777">
        <w:trPr>
          <w:cantSplit/>
        </w:trPr>
        <w:tc>
          <w:tcPr>
            <w:tcW w:w="1200" w:type="pct"/>
            <w:tcMar>
              <w:top w:w="28" w:type="dxa"/>
              <w:left w:w="80" w:type="dxa"/>
              <w:bottom w:w="28" w:type="dxa"/>
              <w:right w:w="80" w:type="dxa"/>
            </w:tcMar>
            <w:vAlign w:val="center"/>
          </w:tcPr>
          <w:p w14:paraId="2C1284EF" w14:textId="77777777" w:rsidR="0042033D" w:rsidRDefault="00000000">
            <w:pPr>
              <w:spacing w:line="232" w:lineRule="auto"/>
              <w:rPr>
                <w:sz w:val="24"/>
                <w:szCs w:val="24"/>
              </w:rPr>
            </w:pPr>
            <w:r>
              <w:rPr>
                <w:b/>
                <w:bCs/>
                <w:sz w:val="24"/>
                <w:szCs w:val="24"/>
              </w:rPr>
              <w:t>Marge brute unitaire</w:t>
            </w:r>
          </w:p>
        </w:tc>
        <w:tc>
          <w:tcPr>
            <w:tcW w:w="1300" w:type="pct"/>
            <w:tcMar>
              <w:top w:w="28" w:type="dxa"/>
              <w:left w:w="80" w:type="dxa"/>
              <w:bottom w:w="28" w:type="dxa"/>
              <w:right w:w="80" w:type="dxa"/>
            </w:tcMar>
            <w:vAlign w:val="center"/>
          </w:tcPr>
          <w:p w14:paraId="5D827F7E" w14:textId="77777777" w:rsidR="0042033D" w:rsidRDefault="00000000">
            <w:pPr>
              <w:spacing w:line="232" w:lineRule="auto"/>
              <w:rPr>
                <w:sz w:val="24"/>
                <w:szCs w:val="24"/>
              </w:rPr>
            </w:pPr>
            <w:r>
              <w:rPr>
                <w:b/>
                <w:bCs/>
                <w:sz w:val="24"/>
                <w:szCs w:val="24"/>
              </w:rPr>
              <w:t>232 $/tonne</w:t>
            </w:r>
          </w:p>
        </w:tc>
        <w:tc>
          <w:tcPr>
            <w:tcW w:w="2500" w:type="pct"/>
            <w:tcMar>
              <w:top w:w="28" w:type="dxa"/>
              <w:left w:w="80" w:type="dxa"/>
              <w:bottom w:w="28" w:type="dxa"/>
              <w:right w:w="80" w:type="dxa"/>
            </w:tcMar>
            <w:vAlign w:val="center"/>
          </w:tcPr>
          <w:p w14:paraId="7261E73A" w14:textId="77777777" w:rsidR="0042033D" w:rsidRDefault="00000000">
            <w:pPr>
              <w:spacing w:line="232" w:lineRule="auto"/>
              <w:rPr>
                <w:sz w:val="24"/>
                <w:szCs w:val="24"/>
              </w:rPr>
            </w:pPr>
            <w:r>
              <w:rPr>
                <w:sz w:val="24"/>
                <w:szCs w:val="24"/>
              </w:rPr>
              <w:t>52 % du prix de vente</w:t>
            </w:r>
          </w:p>
        </w:tc>
      </w:tr>
      <w:tr w:rsidR="0042033D" w14:paraId="5664B6CB" w14:textId="77777777">
        <w:trPr>
          <w:cantSplit/>
        </w:trPr>
        <w:tc>
          <w:tcPr>
            <w:tcW w:w="1200" w:type="pct"/>
            <w:tcMar>
              <w:top w:w="28" w:type="dxa"/>
              <w:left w:w="80" w:type="dxa"/>
              <w:bottom w:w="28" w:type="dxa"/>
              <w:right w:w="80" w:type="dxa"/>
            </w:tcMar>
            <w:vAlign w:val="center"/>
          </w:tcPr>
          <w:p w14:paraId="17CAD0A6" w14:textId="77777777" w:rsidR="0042033D" w:rsidRDefault="00000000">
            <w:pPr>
              <w:spacing w:line="232" w:lineRule="auto"/>
              <w:rPr>
                <w:sz w:val="24"/>
                <w:szCs w:val="24"/>
              </w:rPr>
            </w:pPr>
            <w:r>
              <w:rPr>
                <w:b/>
                <w:bCs/>
                <w:sz w:val="24"/>
                <w:szCs w:val="24"/>
              </w:rPr>
              <w:t>Panier moyen par commande</w:t>
            </w:r>
          </w:p>
        </w:tc>
        <w:tc>
          <w:tcPr>
            <w:tcW w:w="1300" w:type="pct"/>
            <w:tcMar>
              <w:top w:w="28" w:type="dxa"/>
              <w:left w:w="80" w:type="dxa"/>
              <w:bottom w:w="28" w:type="dxa"/>
              <w:right w:w="80" w:type="dxa"/>
            </w:tcMar>
            <w:vAlign w:val="center"/>
          </w:tcPr>
          <w:p w14:paraId="5AB323DB" w14:textId="77777777" w:rsidR="0042033D" w:rsidRDefault="00000000">
            <w:pPr>
              <w:spacing w:line="232" w:lineRule="auto"/>
              <w:rPr>
                <w:sz w:val="24"/>
                <w:szCs w:val="24"/>
              </w:rPr>
            </w:pPr>
            <w:r>
              <w:rPr>
                <w:sz w:val="24"/>
                <w:szCs w:val="24"/>
              </w:rPr>
              <w:t>FDA ≈ 1 200 $ ; B2B ≈ 450 $ (médiane) ; B2C ≈ 14 $</w:t>
            </w:r>
          </w:p>
        </w:tc>
        <w:tc>
          <w:tcPr>
            <w:tcW w:w="2500" w:type="pct"/>
            <w:tcMar>
              <w:top w:w="28" w:type="dxa"/>
              <w:left w:w="80" w:type="dxa"/>
              <w:bottom w:w="28" w:type="dxa"/>
              <w:right w:w="80" w:type="dxa"/>
            </w:tcMar>
            <w:vAlign w:val="center"/>
          </w:tcPr>
          <w:p w14:paraId="25736133" w14:textId="77777777" w:rsidR="0042033D" w:rsidRDefault="00000000">
            <w:pPr>
              <w:spacing w:line="232" w:lineRule="auto"/>
              <w:rPr>
                <w:sz w:val="24"/>
                <w:szCs w:val="24"/>
              </w:rPr>
            </w:pPr>
            <w:r>
              <w:rPr>
                <w:sz w:val="24"/>
                <w:szCs w:val="24"/>
              </w:rPr>
              <w:t>Lecture par segment (cf. Tableau 4 bis) ; le panier global de 101 $ n'est qu'une moyenne indicative</w:t>
            </w:r>
          </w:p>
        </w:tc>
      </w:tr>
      <w:tr w:rsidR="0042033D" w14:paraId="0660C6EF" w14:textId="77777777">
        <w:trPr>
          <w:cantSplit/>
        </w:trPr>
        <w:tc>
          <w:tcPr>
            <w:tcW w:w="1200" w:type="pct"/>
            <w:tcMar>
              <w:top w:w="28" w:type="dxa"/>
              <w:left w:w="80" w:type="dxa"/>
              <w:bottom w:w="28" w:type="dxa"/>
              <w:right w:w="80" w:type="dxa"/>
            </w:tcMar>
            <w:vAlign w:val="center"/>
          </w:tcPr>
          <w:p w14:paraId="70C57EB5" w14:textId="77777777" w:rsidR="0042033D" w:rsidRDefault="00000000">
            <w:pPr>
              <w:spacing w:line="232" w:lineRule="auto"/>
              <w:rPr>
                <w:sz w:val="24"/>
                <w:szCs w:val="24"/>
              </w:rPr>
            </w:pPr>
            <w:r>
              <w:rPr>
                <w:b/>
                <w:bCs/>
                <w:sz w:val="24"/>
                <w:szCs w:val="24"/>
              </w:rPr>
              <w:t>Coût d'acquisition client ajusté (CAC)</w:t>
            </w:r>
          </w:p>
        </w:tc>
        <w:tc>
          <w:tcPr>
            <w:tcW w:w="1300" w:type="pct"/>
            <w:tcMar>
              <w:top w:w="28" w:type="dxa"/>
              <w:left w:w="80" w:type="dxa"/>
              <w:bottom w:w="28" w:type="dxa"/>
              <w:right w:w="80" w:type="dxa"/>
            </w:tcMar>
            <w:vAlign w:val="center"/>
          </w:tcPr>
          <w:p w14:paraId="639AD459" w14:textId="77777777" w:rsidR="0042033D" w:rsidRDefault="00000000">
            <w:pPr>
              <w:spacing w:line="232" w:lineRule="auto"/>
              <w:rPr>
                <w:sz w:val="24"/>
                <w:szCs w:val="24"/>
              </w:rPr>
            </w:pPr>
            <w:r>
              <w:rPr>
                <w:b/>
                <w:bCs/>
                <w:sz w:val="24"/>
                <w:szCs w:val="24"/>
              </w:rPr>
              <w:t>25 $</w:t>
            </w:r>
          </w:p>
        </w:tc>
        <w:tc>
          <w:tcPr>
            <w:tcW w:w="2500" w:type="pct"/>
            <w:tcMar>
              <w:top w:w="28" w:type="dxa"/>
              <w:left w:w="80" w:type="dxa"/>
              <w:bottom w:w="28" w:type="dxa"/>
              <w:right w:w="80" w:type="dxa"/>
            </w:tcMar>
            <w:vAlign w:val="center"/>
          </w:tcPr>
          <w:p w14:paraId="45D13811" w14:textId="77777777" w:rsidR="0042033D" w:rsidRDefault="00000000">
            <w:pPr>
              <w:spacing w:line="232" w:lineRule="auto"/>
              <w:rPr>
                <w:sz w:val="24"/>
                <w:szCs w:val="24"/>
              </w:rPr>
            </w:pPr>
            <w:r>
              <w:rPr>
                <w:sz w:val="24"/>
                <w:szCs w:val="24"/>
              </w:rPr>
              <w:t>Budget marketing et démonstrations B2C 2024-2025 (1 200 $) rapporté à 80 nouveaux clients directs (15 $), augmenté de la valorisation minimale du temps fondateur (≈ 800 $/an, soit 10 $ par client)</w:t>
            </w:r>
          </w:p>
        </w:tc>
      </w:tr>
      <w:tr w:rsidR="0042033D" w14:paraId="790728DF" w14:textId="77777777">
        <w:trPr>
          <w:cantSplit/>
        </w:trPr>
        <w:tc>
          <w:tcPr>
            <w:tcW w:w="1200" w:type="pct"/>
            <w:tcMar>
              <w:top w:w="28" w:type="dxa"/>
              <w:left w:w="80" w:type="dxa"/>
              <w:bottom w:w="28" w:type="dxa"/>
              <w:right w:w="80" w:type="dxa"/>
            </w:tcMar>
            <w:vAlign w:val="center"/>
          </w:tcPr>
          <w:p w14:paraId="49BC81BC" w14:textId="77777777" w:rsidR="0042033D" w:rsidRDefault="00000000">
            <w:pPr>
              <w:spacing w:line="232" w:lineRule="auto"/>
              <w:rPr>
                <w:sz w:val="24"/>
                <w:szCs w:val="24"/>
              </w:rPr>
            </w:pPr>
            <w:r>
              <w:rPr>
                <w:b/>
                <w:bCs/>
                <w:sz w:val="24"/>
                <w:szCs w:val="24"/>
              </w:rPr>
              <w:t>Valeur vie client ajustée (LTV)</w:t>
            </w:r>
          </w:p>
        </w:tc>
        <w:tc>
          <w:tcPr>
            <w:tcW w:w="1300" w:type="pct"/>
            <w:tcMar>
              <w:top w:w="28" w:type="dxa"/>
              <w:left w:w="80" w:type="dxa"/>
              <w:bottom w:w="28" w:type="dxa"/>
              <w:right w:w="80" w:type="dxa"/>
            </w:tcMar>
            <w:vAlign w:val="center"/>
          </w:tcPr>
          <w:p w14:paraId="5FC9EB00" w14:textId="77777777" w:rsidR="0042033D" w:rsidRDefault="00000000">
            <w:pPr>
              <w:rPr>
                <w:sz w:val="24"/>
                <w:szCs w:val="24"/>
              </w:rPr>
            </w:pPr>
            <w:r>
              <w:rPr>
                <w:sz w:val="24"/>
                <w:szCs w:val="24"/>
              </w:rPr>
              <w:t>Indicateur directionnel</w:t>
            </w:r>
          </w:p>
        </w:tc>
        <w:tc>
          <w:tcPr>
            <w:tcW w:w="2500" w:type="pct"/>
            <w:tcMar>
              <w:top w:w="28" w:type="dxa"/>
              <w:left w:w="80" w:type="dxa"/>
              <w:bottom w:w="28" w:type="dxa"/>
              <w:right w:w="80" w:type="dxa"/>
            </w:tcMar>
            <w:vAlign w:val="center"/>
          </w:tcPr>
          <w:p w14:paraId="604959CE" w14:textId="77777777" w:rsidR="0042033D" w:rsidRDefault="00000000">
            <w:pPr>
              <w:rPr>
                <w:sz w:val="24"/>
                <w:szCs w:val="24"/>
              </w:rPr>
            </w:pPr>
            <w:r>
              <w:rPr>
                <w:sz w:val="24"/>
                <w:szCs w:val="24"/>
              </w:rPr>
              <w:t>Panier global hétérogène ; ne pas utiliser comme preuve de performance B2B/FDA.</w:t>
            </w:r>
          </w:p>
        </w:tc>
      </w:tr>
      <w:tr w:rsidR="0042033D" w14:paraId="5E0EE0C5" w14:textId="77777777">
        <w:trPr>
          <w:cantSplit/>
        </w:trPr>
        <w:tc>
          <w:tcPr>
            <w:tcW w:w="1200" w:type="pct"/>
            <w:tcMar>
              <w:top w:w="28" w:type="dxa"/>
              <w:left w:w="80" w:type="dxa"/>
              <w:bottom w:w="28" w:type="dxa"/>
              <w:right w:w="80" w:type="dxa"/>
            </w:tcMar>
            <w:vAlign w:val="center"/>
          </w:tcPr>
          <w:p w14:paraId="22B7E894" w14:textId="77777777" w:rsidR="0042033D" w:rsidRDefault="00000000">
            <w:pPr>
              <w:spacing w:line="232" w:lineRule="auto"/>
              <w:rPr>
                <w:sz w:val="24"/>
                <w:szCs w:val="24"/>
              </w:rPr>
            </w:pPr>
            <w:r>
              <w:rPr>
                <w:b/>
                <w:bCs/>
                <w:sz w:val="24"/>
                <w:szCs w:val="24"/>
              </w:rPr>
              <w:t>Ratio LTV / CAC ajusté</w:t>
            </w:r>
          </w:p>
        </w:tc>
        <w:tc>
          <w:tcPr>
            <w:tcW w:w="1300" w:type="pct"/>
            <w:tcMar>
              <w:top w:w="28" w:type="dxa"/>
              <w:left w:w="80" w:type="dxa"/>
              <w:bottom w:w="28" w:type="dxa"/>
              <w:right w:w="80" w:type="dxa"/>
            </w:tcMar>
            <w:vAlign w:val="center"/>
          </w:tcPr>
          <w:p w14:paraId="04622918" w14:textId="77777777" w:rsidR="0042033D" w:rsidRDefault="00000000">
            <w:pPr>
              <w:rPr>
                <w:sz w:val="24"/>
                <w:szCs w:val="24"/>
              </w:rPr>
            </w:pPr>
            <w:r>
              <w:rPr>
                <w:sz w:val="24"/>
                <w:szCs w:val="24"/>
              </w:rPr>
              <w:t>Non utilisé comme KPI principal</w:t>
            </w:r>
          </w:p>
        </w:tc>
        <w:tc>
          <w:tcPr>
            <w:tcW w:w="2500" w:type="pct"/>
            <w:tcMar>
              <w:top w:w="28" w:type="dxa"/>
              <w:left w:w="80" w:type="dxa"/>
              <w:bottom w:w="28" w:type="dxa"/>
              <w:right w:w="80" w:type="dxa"/>
            </w:tcMar>
            <w:vAlign w:val="center"/>
          </w:tcPr>
          <w:p w14:paraId="44CF4174" w14:textId="77777777" w:rsidR="0042033D" w:rsidRDefault="00000000">
            <w:pPr>
              <w:rPr>
                <w:sz w:val="24"/>
                <w:szCs w:val="24"/>
              </w:rPr>
            </w:pPr>
            <w:r>
              <w:rPr>
                <w:sz w:val="24"/>
                <w:szCs w:val="24"/>
              </w:rPr>
              <w:t>Pilotage désormais par segment : CAC B2C, marge contributive B2B et coût du BFR FDA.</w:t>
            </w:r>
          </w:p>
        </w:tc>
      </w:tr>
      <w:tr w:rsidR="0042033D" w14:paraId="39FACEDD" w14:textId="77777777">
        <w:trPr>
          <w:cantSplit/>
        </w:trPr>
        <w:tc>
          <w:tcPr>
            <w:tcW w:w="1200" w:type="pct"/>
            <w:tcMar>
              <w:top w:w="28" w:type="dxa"/>
              <w:left w:w="80" w:type="dxa"/>
              <w:bottom w:w="28" w:type="dxa"/>
              <w:right w:w="80" w:type="dxa"/>
            </w:tcMar>
            <w:vAlign w:val="center"/>
          </w:tcPr>
          <w:p w14:paraId="7BD1D967" w14:textId="77777777" w:rsidR="0042033D" w:rsidRDefault="00000000">
            <w:pPr>
              <w:spacing w:line="232" w:lineRule="auto"/>
              <w:rPr>
                <w:sz w:val="24"/>
                <w:szCs w:val="24"/>
              </w:rPr>
            </w:pPr>
            <w:r>
              <w:rPr>
                <w:b/>
                <w:bCs/>
                <w:sz w:val="24"/>
                <w:szCs w:val="24"/>
              </w:rPr>
              <w:t>Rémunération des fondateurs</w:t>
            </w:r>
          </w:p>
        </w:tc>
        <w:tc>
          <w:tcPr>
            <w:tcW w:w="1300" w:type="pct"/>
            <w:tcMar>
              <w:top w:w="28" w:type="dxa"/>
              <w:left w:w="80" w:type="dxa"/>
              <w:bottom w:w="28" w:type="dxa"/>
              <w:right w:w="80" w:type="dxa"/>
            </w:tcMar>
            <w:vAlign w:val="center"/>
          </w:tcPr>
          <w:p w14:paraId="3C8E3D94" w14:textId="77777777" w:rsidR="0042033D" w:rsidRDefault="00000000">
            <w:pPr>
              <w:spacing w:line="232" w:lineRule="auto"/>
              <w:rPr>
                <w:sz w:val="24"/>
                <w:szCs w:val="24"/>
              </w:rPr>
            </w:pPr>
            <w:r>
              <w:rPr>
                <w:sz w:val="24"/>
                <w:szCs w:val="24"/>
              </w:rPr>
              <w:t xml:space="preserve">0 jusqu'en 2026 ; </w:t>
            </w:r>
            <w:r>
              <w:rPr>
                <w:b/>
                <w:bCs/>
                <w:sz w:val="24"/>
                <w:szCs w:val="24"/>
              </w:rPr>
              <w:t>6 000 000 MGA/mois cumulés dès 2027</w:t>
            </w:r>
            <w:r>
              <w:rPr>
                <w:sz w:val="24"/>
                <w:szCs w:val="24"/>
              </w:rPr>
              <w:t xml:space="preserve"> (≈ 16 000 $/an)</w:t>
            </w:r>
          </w:p>
        </w:tc>
        <w:tc>
          <w:tcPr>
            <w:tcW w:w="2500" w:type="pct"/>
            <w:tcMar>
              <w:top w:w="28" w:type="dxa"/>
              <w:left w:w="80" w:type="dxa"/>
              <w:bottom w:w="28" w:type="dxa"/>
              <w:right w:w="80" w:type="dxa"/>
            </w:tcMar>
            <w:vAlign w:val="center"/>
          </w:tcPr>
          <w:p w14:paraId="37DD25AA" w14:textId="77777777" w:rsidR="0042033D" w:rsidRDefault="00000000">
            <w:pPr>
              <w:spacing w:line="232" w:lineRule="auto"/>
              <w:rPr>
                <w:sz w:val="24"/>
                <w:szCs w:val="24"/>
              </w:rPr>
            </w:pPr>
            <w:r>
              <w:rPr>
                <w:sz w:val="24"/>
                <w:szCs w:val="24"/>
              </w:rPr>
              <w:t>Gérant 2 M MGA, 1 M MGA par partenaire ; charge intégrée au modèle financier dès 2027 (cf. Tableau 9 bis)</w:t>
            </w:r>
          </w:p>
        </w:tc>
      </w:tr>
      <w:tr w:rsidR="0042033D" w14:paraId="1EDBA02A" w14:textId="77777777">
        <w:trPr>
          <w:cantSplit/>
        </w:trPr>
        <w:tc>
          <w:tcPr>
            <w:tcW w:w="1200" w:type="pct"/>
            <w:tcMar>
              <w:top w:w="28" w:type="dxa"/>
              <w:left w:w="80" w:type="dxa"/>
              <w:bottom w:w="28" w:type="dxa"/>
              <w:right w:w="80" w:type="dxa"/>
            </w:tcMar>
            <w:vAlign w:val="center"/>
          </w:tcPr>
          <w:p w14:paraId="65DEC189" w14:textId="77777777" w:rsidR="0042033D" w:rsidRDefault="00000000">
            <w:pPr>
              <w:spacing w:line="232" w:lineRule="auto"/>
              <w:rPr>
                <w:sz w:val="24"/>
                <w:szCs w:val="24"/>
              </w:rPr>
            </w:pPr>
            <w:r>
              <w:rPr>
                <w:b/>
                <w:bCs/>
                <w:sz w:val="24"/>
                <w:szCs w:val="24"/>
              </w:rPr>
              <w:t>Surcharge pro forma de coût complet</w:t>
            </w:r>
          </w:p>
        </w:tc>
        <w:tc>
          <w:tcPr>
            <w:tcW w:w="1300" w:type="pct"/>
            <w:tcMar>
              <w:top w:w="28" w:type="dxa"/>
              <w:left w:w="80" w:type="dxa"/>
              <w:bottom w:w="28" w:type="dxa"/>
              <w:right w:w="80" w:type="dxa"/>
            </w:tcMar>
            <w:vAlign w:val="center"/>
          </w:tcPr>
          <w:p w14:paraId="2DB38906" w14:textId="77777777" w:rsidR="0042033D" w:rsidRDefault="00000000">
            <w:pPr>
              <w:spacing w:line="232" w:lineRule="auto"/>
              <w:rPr>
                <w:sz w:val="24"/>
                <w:szCs w:val="24"/>
              </w:rPr>
            </w:pPr>
            <w:r>
              <w:rPr>
                <w:sz w:val="24"/>
                <w:szCs w:val="24"/>
              </w:rPr>
              <w:t>≈ 67 $/tonne au niveau 2026</w:t>
            </w:r>
          </w:p>
        </w:tc>
        <w:tc>
          <w:tcPr>
            <w:tcW w:w="2500" w:type="pct"/>
            <w:tcMar>
              <w:top w:w="28" w:type="dxa"/>
              <w:left w:w="80" w:type="dxa"/>
              <w:bottom w:w="28" w:type="dxa"/>
              <w:right w:w="80" w:type="dxa"/>
            </w:tcMar>
            <w:vAlign w:val="center"/>
          </w:tcPr>
          <w:p w14:paraId="5B9C865E" w14:textId="77777777" w:rsidR="0042033D" w:rsidRDefault="00000000">
            <w:pPr>
              <w:spacing w:line="232" w:lineRule="auto"/>
              <w:rPr>
                <w:sz w:val="24"/>
                <w:szCs w:val="24"/>
              </w:rPr>
            </w:pPr>
            <w:r>
              <w:rPr>
                <w:sz w:val="24"/>
                <w:szCs w:val="24"/>
              </w:rPr>
              <w:t>16 000 $/an rapportés à ≈ 240 T/an : coût complet ≈ 279 $/T, marge unitaire complète ≈ 165 $/T</w:t>
            </w:r>
          </w:p>
        </w:tc>
      </w:tr>
      <w:tr w:rsidR="0042033D" w14:paraId="64897AF3" w14:textId="77777777">
        <w:trPr>
          <w:cantSplit/>
        </w:trPr>
        <w:tc>
          <w:tcPr>
            <w:tcW w:w="1200" w:type="pct"/>
            <w:tcMar>
              <w:top w:w="28" w:type="dxa"/>
              <w:left w:w="80" w:type="dxa"/>
              <w:bottom w:w="28" w:type="dxa"/>
              <w:right w:w="80" w:type="dxa"/>
            </w:tcMar>
            <w:vAlign w:val="center"/>
          </w:tcPr>
          <w:p w14:paraId="6A9C20D4" w14:textId="77777777" w:rsidR="0042033D" w:rsidRDefault="00000000">
            <w:pPr>
              <w:spacing w:line="232" w:lineRule="auto"/>
              <w:rPr>
                <w:sz w:val="24"/>
                <w:szCs w:val="24"/>
              </w:rPr>
            </w:pPr>
            <w:r>
              <w:rPr>
                <w:b/>
                <w:bCs/>
                <w:sz w:val="24"/>
                <w:szCs w:val="24"/>
              </w:rPr>
              <w:t>Productivité par ETP</w:t>
            </w:r>
          </w:p>
        </w:tc>
        <w:tc>
          <w:tcPr>
            <w:tcW w:w="1300" w:type="pct"/>
            <w:tcMar>
              <w:top w:w="28" w:type="dxa"/>
              <w:left w:w="80" w:type="dxa"/>
              <w:bottom w:w="28" w:type="dxa"/>
              <w:right w:w="80" w:type="dxa"/>
            </w:tcMar>
            <w:vAlign w:val="center"/>
          </w:tcPr>
          <w:p w14:paraId="02A4605A" w14:textId="77777777" w:rsidR="0042033D" w:rsidRDefault="00000000">
            <w:pPr>
              <w:spacing w:line="232" w:lineRule="auto"/>
              <w:rPr>
                <w:sz w:val="24"/>
                <w:szCs w:val="24"/>
              </w:rPr>
            </w:pPr>
            <w:r>
              <w:rPr>
                <w:b/>
                <w:bCs/>
                <w:sz w:val="24"/>
                <w:szCs w:val="24"/>
              </w:rPr>
              <w:t>0,63 T/mois/ETP</w:t>
            </w:r>
            <w:r>
              <w:rPr>
                <w:sz w:val="24"/>
                <w:szCs w:val="24"/>
              </w:rPr>
              <w:t xml:space="preserve"> ; CA par ETP ≈ 3,0 K $ (2024-2025)</w:t>
            </w:r>
          </w:p>
        </w:tc>
        <w:tc>
          <w:tcPr>
            <w:tcW w:w="2500" w:type="pct"/>
            <w:tcMar>
              <w:top w:w="28" w:type="dxa"/>
              <w:left w:w="80" w:type="dxa"/>
              <w:bottom w:w="28" w:type="dxa"/>
              <w:right w:w="80" w:type="dxa"/>
            </w:tcMar>
            <w:vAlign w:val="center"/>
          </w:tcPr>
          <w:p w14:paraId="77110F6B" w14:textId="77777777" w:rsidR="0042033D" w:rsidRDefault="00000000">
            <w:pPr>
              <w:spacing w:line="232" w:lineRule="auto"/>
              <w:rPr>
                <w:sz w:val="24"/>
                <w:szCs w:val="24"/>
              </w:rPr>
            </w:pPr>
            <w:r>
              <w:rPr>
                <w:sz w:val="24"/>
                <w:szCs w:val="24"/>
              </w:rPr>
              <w:t>10 T/mois rapportées aux 16 ETP ; ≈ 2,8 K $ par personne en incluant le fondateur ; cible ≈ 1,1 T/mois/ETP en 2030 après mécanisation (cf. § 11.3)</w:t>
            </w:r>
          </w:p>
        </w:tc>
      </w:tr>
    </w:tbl>
    <w:p w14:paraId="093EAF98" w14:textId="77777777" w:rsidR="0042033D" w:rsidRDefault="00000000">
      <w:pPr>
        <w:pStyle w:val="Heading2"/>
        <w:spacing w:before="150" w:after="60"/>
        <w:rPr>
          <w:rFonts w:ascii="Times New Roman" w:hAnsi="Times New Roman"/>
        </w:rPr>
      </w:pPr>
      <w:bookmarkStart w:id="34" w:name="_Toc100034"/>
      <w:r>
        <w:rPr>
          <w:rFonts w:ascii="Times New Roman" w:hAnsi="Times New Roman"/>
        </w:rPr>
        <w:t>9.4 Mécanisme de monétisation et flux de trésorerie</w:t>
      </w:r>
      <w:bookmarkEnd w:id="34"/>
    </w:p>
    <w:p w14:paraId="44E32299" w14:textId="77CC04D7" w:rsidR="0042033D" w:rsidRDefault="00000000">
      <w:pPr>
        <w:spacing w:after="60"/>
        <w:jc w:val="both"/>
        <w:rPr>
          <w:sz w:val="24"/>
          <w:szCs w:val="24"/>
        </w:rPr>
      </w:pPr>
      <w:r>
        <w:rPr>
          <w:sz w:val="24"/>
          <w:szCs w:val="24"/>
        </w:rPr>
        <w:t xml:space="preserve">Le modèle de monétisation suit deux circuits distincts : pour les ventes FDA, un mécanisme contractuel annuel avec paiement à 90 jours après livraison, qui pèse sur le besoin en fonds de roulement mais garantit un volume minimum ; pour les ventes directes B2B et B2C, un paiement majoritairement comptant ou à 30 jours, qui génère un cash-flow plus rapide. Les futurs contrats de larves séchées seront négociés avec des échéances mensuelles courtes, conformément aux usages de la filière alimentation animale. La stratégie de rééquilibrage du mix vise précisément à améliorer le profil de trésorerie en augmentant la part des ventes à cycle court ; elle est complétée par un besoin en fonds de roulement renforcé à 18 000 $ et par une ligne de crédit court terme négociée avec la </w:t>
      </w:r>
      <w:r w:rsidR="00ED4AD3">
        <w:rPr>
          <w:sz w:val="24"/>
          <w:szCs w:val="24"/>
        </w:rPr>
        <w:t>BNI</w:t>
      </w:r>
      <w:r>
        <w:rPr>
          <w:sz w:val="24"/>
          <w:szCs w:val="24"/>
        </w:rPr>
        <w:t>, chiffrée en section 12.1.</w:t>
      </w:r>
    </w:p>
    <w:p w14:paraId="58B33341"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35" w:name="_Toc238821289"/>
      <w:r w:rsidRPr="005C594B">
        <w:rPr>
          <w:rFonts w:ascii="League Spartan" w:hAnsi="League Spartan"/>
          <w:sz w:val="40"/>
          <w:szCs w:val="40"/>
        </w:rPr>
        <w:lastRenderedPageBreak/>
        <w:t>10. Stratégie commerciale</w:t>
      </w:r>
      <w:bookmarkEnd w:id="35"/>
    </w:p>
    <w:p w14:paraId="6DC21F20" w14:textId="77777777" w:rsidR="0042033D" w:rsidRDefault="00000000">
      <w:pPr>
        <w:spacing w:after="60"/>
        <w:jc w:val="both"/>
        <w:rPr>
          <w:sz w:val="24"/>
          <w:szCs w:val="24"/>
        </w:rPr>
      </w:pPr>
      <w:r>
        <w:rPr>
          <w:sz w:val="24"/>
          <w:szCs w:val="24"/>
        </w:rPr>
        <w:t>La stratégie commerciale pour les trente-six prochains mois s'articule autour de quatre leviers opérationnels : la consolidation du canal FDA comme socle de revenus contractualisé, le développement prioritaire du canal B2B direct comme moteur de diversification et de marge, la structuration du canal B2C par un réseau de revendeurs locaux, et la préparation conditionnelle du canal export sous réserve de certification qualité. Cette stratégie est directement alignée avec l'allocation du financement catalytique de 50 000 $, qui consacre 16 % de l'enveloppe (8 000 $) au développement commercial B2B et sécurise par ailleurs un fonds de roulement renforcé à 18 000 $.</w:t>
      </w:r>
    </w:p>
    <w:p w14:paraId="4B30F8A6" w14:textId="77777777" w:rsidR="0042033D" w:rsidRDefault="00000000">
      <w:pPr>
        <w:pStyle w:val="Heading2"/>
        <w:spacing w:before="150" w:after="60"/>
        <w:rPr>
          <w:rFonts w:ascii="Times New Roman" w:hAnsi="Times New Roman"/>
        </w:rPr>
      </w:pPr>
      <w:bookmarkStart w:id="36" w:name="_Toc100036"/>
      <w:r>
        <w:rPr>
          <w:rFonts w:ascii="Times New Roman" w:hAnsi="Times New Roman"/>
        </w:rPr>
        <w:t>10.1 Levier 1 — Consolidation du canal FDA (socle sécurisé)</w:t>
      </w:r>
      <w:bookmarkEnd w:id="36"/>
    </w:p>
    <w:p w14:paraId="30BFD30B" w14:textId="77777777" w:rsidR="0042033D" w:rsidRDefault="00000000">
      <w:pPr>
        <w:spacing w:after="60"/>
        <w:jc w:val="both"/>
        <w:rPr>
          <w:sz w:val="24"/>
          <w:szCs w:val="24"/>
        </w:rPr>
      </w:pPr>
      <w:r>
        <w:rPr>
          <w:sz w:val="24"/>
          <w:szCs w:val="24"/>
        </w:rPr>
        <w:t>Le canal FDA représente 86,9 % du chiffre d’affaires actuel et constitue le principal risque de concentration. Le plan le traite comme un socle commercial existant, non comme une garantie. Les contrats et conditions exacts restent ceux de la data room. L’objectif est de faire croître les canaux directs plus vite que le canal institutionnel afin de réduire sa part relative tout en maintenant la continuité de service.</w:t>
      </w:r>
    </w:p>
    <w:p w14:paraId="4A102590" w14:textId="77777777" w:rsidR="0042033D" w:rsidRDefault="00000000">
      <w:pPr>
        <w:pStyle w:val="Heading2"/>
        <w:spacing w:before="150" w:after="60"/>
        <w:rPr>
          <w:rFonts w:ascii="Times New Roman" w:hAnsi="Times New Roman"/>
        </w:rPr>
      </w:pPr>
      <w:bookmarkStart w:id="37" w:name="_Toc100037"/>
      <w:r>
        <w:rPr>
          <w:rFonts w:ascii="Times New Roman" w:hAnsi="Times New Roman"/>
        </w:rPr>
        <w:t>10.2 Levier 2 — Développement B2B direct (moteur de diversification)</w:t>
      </w:r>
      <w:bookmarkEnd w:id="37"/>
    </w:p>
    <w:p w14:paraId="687DD39C" w14:textId="77777777" w:rsidR="0042033D" w:rsidRDefault="00000000">
      <w:pPr>
        <w:spacing w:after="60"/>
        <w:jc w:val="both"/>
        <w:rPr>
          <w:sz w:val="24"/>
          <w:szCs w:val="24"/>
        </w:rPr>
      </w:pPr>
      <w:r>
        <w:rPr>
          <w:sz w:val="24"/>
          <w:szCs w:val="24"/>
        </w:rPr>
        <w:t>Le canal B2B direct est le moteur prioritaire de diversification pour la période 2026-2028, dans un contexte où les cycles de vente B2B agricole se déploient typiquement sur six à douze mois : l'objectif est calibré sur trois nouveaux comptes B2B significatifs (commandes répétées supérieures à 2 tonnes) validés en douze mois, puis cinq à l'issue du deuxième exercice. Les comptes cibles sont les exploitants agricoles de taille moyenne à grande (</w:t>
      </w:r>
      <w:r>
        <w:rPr>
          <w:sz w:val="24"/>
          <w:szCs w:val="24"/>
          <w:lang w:val="fr-FR"/>
        </w:rPr>
        <w:t>les entreprises agricoles dans SYMABIO, Coopératives,</w:t>
      </w:r>
      <w:r>
        <w:rPr>
          <w:sz w:val="24"/>
          <w:szCs w:val="24"/>
        </w:rPr>
        <w:t>), les plantations industrielles de cultures de rente, les exploitations maraîchères périurbaines, les entreprises agroalimentaires en recherche de valorisation de leurs déchets et les unités avicoles ou aquacoles destinataires de la future ligne protéines. Le dispositif repose sur un plan de recrutement daté : annonce et entretiens dès M+1, prise de poste au plus tard M+2 d'un commercial B2B dédié financé par le ticket, disposant d'au moins trois ans d'expérience dans la distribution d'intrants agricoles à Madagascar et d'une base de contacts active sur la région Atsinanana et l'Alaotra-Mangoro, avec des objectifs trimestriels contractualisés dès l'embauche. Le budget alloué s'établit à 8 000 $ sur douze mois — recrutement et part salariale initiale (5 000 $), démonstrations (1 500 $), supports marketing (1 500 $) — soit environ 2 600 $ par nouveau compte cible visé, cohérent avec une valeur vie client B2B comprise entre 3 000 et 15 000 $.</w:t>
      </w:r>
    </w:p>
    <w:p w14:paraId="3E2C00C2" w14:textId="77777777" w:rsidR="0042033D" w:rsidRDefault="00000000">
      <w:pPr>
        <w:keepNext/>
        <w:spacing w:before="140" w:after="50" w:line="260" w:lineRule="auto"/>
        <w:rPr>
          <w:sz w:val="24"/>
          <w:szCs w:val="24"/>
        </w:rPr>
      </w:pPr>
      <w:r>
        <w:rPr>
          <w:rFonts w:eastAsia="Arial"/>
          <w:b/>
          <w:bCs/>
          <w:color w:val="1A2330"/>
          <w:sz w:val="24"/>
          <w:szCs w:val="24"/>
        </w:rPr>
        <w:lastRenderedPageBreak/>
        <w:t>Tableau 10 bis — Pipeline B2B qualifié : comptes cibles et statut de discussion (état à août 2026)</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747"/>
        <w:gridCol w:w="2197"/>
        <w:gridCol w:w="1465"/>
        <w:gridCol w:w="2747"/>
      </w:tblGrid>
      <w:tr w:rsidR="0042033D" w14:paraId="1E37CB24" w14:textId="77777777">
        <w:trPr>
          <w:cantSplit/>
          <w:tblHeader/>
        </w:trPr>
        <w:tc>
          <w:tcPr>
            <w:tcW w:w="1500" w:type="pct"/>
            <w:shd w:val="clear" w:color="auto" w:fill="D4875A"/>
            <w:tcMar>
              <w:top w:w="36" w:type="dxa"/>
              <w:left w:w="80" w:type="dxa"/>
              <w:bottom w:w="36" w:type="dxa"/>
              <w:right w:w="80" w:type="dxa"/>
            </w:tcMar>
            <w:vAlign w:val="center"/>
          </w:tcPr>
          <w:p w14:paraId="3925DA55" w14:textId="77777777" w:rsidR="0042033D" w:rsidRDefault="00000000">
            <w:pPr>
              <w:spacing w:line="232" w:lineRule="auto"/>
              <w:jc w:val="center"/>
              <w:rPr>
                <w:sz w:val="24"/>
                <w:szCs w:val="24"/>
              </w:rPr>
            </w:pPr>
            <w:r>
              <w:rPr>
                <w:b/>
                <w:bCs/>
                <w:color w:val="FFFFFF"/>
                <w:sz w:val="24"/>
                <w:szCs w:val="24"/>
              </w:rPr>
              <w:t>Entreprise / entité cible</w:t>
            </w:r>
          </w:p>
        </w:tc>
        <w:tc>
          <w:tcPr>
            <w:tcW w:w="1200" w:type="pct"/>
            <w:shd w:val="clear" w:color="auto" w:fill="D4875A"/>
            <w:tcMar>
              <w:top w:w="36" w:type="dxa"/>
              <w:left w:w="80" w:type="dxa"/>
              <w:bottom w:w="36" w:type="dxa"/>
              <w:right w:w="80" w:type="dxa"/>
            </w:tcMar>
            <w:vAlign w:val="center"/>
          </w:tcPr>
          <w:p w14:paraId="7C35D022" w14:textId="77777777" w:rsidR="0042033D" w:rsidRDefault="00000000">
            <w:pPr>
              <w:spacing w:line="232" w:lineRule="auto"/>
              <w:jc w:val="center"/>
              <w:rPr>
                <w:sz w:val="24"/>
                <w:szCs w:val="24"/>
              </w:rPr>
            </w:pPr>
            <w:r>
              <w:rPr>
                <w:b/>
                <w:bCs/>
                <w:color w:val="FFFFFF"/>
                <w:sz w:val="24"/>
                <w:szCs w:val="24"/>
              </w:rPr>
              <w:t>Secteur</w:t>
            </w:r>
          </w:p>
        </w:tc>
        <w:tc>
          <w:tcPr>
            <w:tcW w:w="800" w:type="pct"/>
            <w:shd w:val="clear" w:color="auto" w:fill="D4875A"/>
            <w:tcMar>
              <w:top w:w="36" w:type="dxa"/>
              <w:left w:w="80" w:type="dxa"/>
              <w:bottom w:w="36" w:type="dxa"/>
              <w:right w:w="80" w:type="dxa"/>
            </w:tcMar>
            <w:vAlign w:val="center"/>
          </w:tcPr>
          <w:p w14:paraId="377E9FB7" w14:textId="77777777" w:rsidR="0042033D" w:rsidRDefault="00000000">
            <w:pPr>
              <w:spacing w:line="232" w:lineRule="auto"/>
              <w:jc w:val="center"/>
              <w:rPr>
                <w:sz w:val="24"/>
                <w:szCs w:val="24"/>
              </w:rPr>
            </w:pPr>
            <w:r>
              <w:rPr>
                <w:b/>
                <w:bCs/>
                <w:color w:val="FFFFFF"/>
                <w:sz w:val="24"/>
                <w:szCs w:val="24"/>
              </w:rPr>
              <w:t>Volume estimé (T/an)</w:t>
            </w:r>
          </w:p>
        </w:tc>
        <w:tc>
          <w:tcPr>
            <w:tcW w:w="1500" w:type="pct"/>
            <w:shd w:val="clear" w:color="auto" w:fill="D4875A"/>
            <w:tcMar>
              <w:top w:w="36" w:type="dxa"/>
              <w:left w:w="80" w:type="dxa"/>
              <w:bottom w:w="36" w:type="dxa"/>
              <w:right w:w="80" w:type="dxa"/>
            </w:tcMar>
            <w:vAlign w:val="center"/>
          </w:tcPr>
          <w:p w14:paraId="0FC1F099" w14:textId="77777777" w:rsidR="0042033D" w:rsidRDefault="00000000">
            <w:pPr>
              <w:spacing w:line="232" w:lineRule="auto"/>
              <w:jc w:val="center"/>
              <w:rPr>
                <w:sz w:val="24"/>
                <w:szCs w:val="24"/>
              </w:rPr>
            </w:pPr>
            <w:r>
              <w:rPr>
                <w:b/>
                <w:bCs/>
                <w:color w:val="FFFFFF"/>
                <w:sz w:val="24"/>
                <w:szCs w:val="24"/>
              </w:rPr>
              <w:t>Statut de la discussion</w:t>
            </w:r>
          </w:p>
        </w:tc>
      </w:tr>
      <w:tr w:rsidR="0042033D" w14:paraId="6432F546" w14:textId="77777777">
        <w:trPr>
          <w:cantSplit/>
        </w:trPr>
        <w:tc>
          <w:tcPr>
            <w:tcW w:w="1500" w:type="pct"/>
            <w:tcMar>
              <w:top w:w="28" w:type="dxa"/>
              <w:left w:w="80" w:type="dxa"/>
              <w:bottom w:w="28" w:type="dxa"/>
              <w:right w:w="80" w:type="dxa"/>
            </w:tcMar>
            <w:vAlign w:val="center"/>
          </w:tcPr>
          <w:p w14:paraId="5D78E856" w14:textId="77777777" w:rsidR="0042033D" w:rsidRDefault="00000000">
            <w:pPr>
              <w:spacing w:line="232" w:lineRule="auto"/>
              <w:rPr>
                <w:sz w:val="24"/>
                <w:szCs w:val="24"/>
              </w:rPr>
            </w:pPr>
            <w:r>
              <w:rPr>
                <w:b/>
                <w:bCs/>
                <w:sz w:val="24"/>
                <w:szCs w:val="24"/>
              </w:rPr>
              <w:t>Riziculteurs associés Ambatondrazaka</w:t>
            </w:r>
          </w:p>
        </w:tc>
        <w:tc>
          <w:tcPr>
            <w:tcW w:w="1200" w:type="pct"/>
            <w:tcMar>
              <w:top w:w="28" w:type="dxa"/>
              <w:left w:w="80" w:type="dxa"/>
              <w:bottom w:w="28" w:type="dxa"/>
              <w:right w:w="80" w:type="dxa"/>
            </w:tcMar>
            <w:vAlign w:val="center"/>
          </w:tcPr>
          <w:p w14:paraId="0276174B" w14:textId="77777777" w:rsidR="0042033D" w:rsidRDefault="00000000">
            <w:pPr>
              <w:spacing w:line="232" w:lineRule="auto"/>
              <w:rPr>
                <w:sz w:val="24"/>
                <w:szCs w:val="24"/>
              </w:rPr>
            </w:pPr>
            <w:r>
              <w:rPr>
                <w:sz w:val="24"/>
                <w:szCs w:val="24"/>
              </w:rPr>
              <w:t>Riziculture</w:t>
            </w:r>
          </w:p>
        </w:tc>
        <w:tc>
          <w:tcPr>
            <w:tcW w:w="800" w:type="pct"/>
            <w:tcMar>
              <w:top w:w="28" w:type="dxa"/>
              <w:left w:w="80" w:type="dxa"/>
              <w:bottom w:w="28" w:type="dxa"/>
              <w:right w:w="80" w:type="dxa"/>
            </w:tcMar>
            <w:vAlign w:val="center"/>
          </w:tcPr>
          <w:p w14:paraId="076848E1" w14:textId="77777777" w:rsidR="0042033D" w:rsidRDefault="00000000">
            <w:pPr>
              <w:spacing w:line="232" w:lineRule="auto"/>
              <w:jc w:val="center"/>
              <w:rPr>
                <w:sz w:val="24"/>
                <w:szCs w:val="24"/>
              </w:rPr>
            </w:pPr>
            <w:r>
              <w:rPr>
                <w:b/>
                <w:bCs/>
                <w:sz w:val="24"/>
                <w:szCs w:val="24"/>
              </w:rPr>
              <w:t>35</w:t>
            </w:r>
          </w:p>
        </w:tc>
        <w:tc>
          <w:tcPr>
            <w:tcW w:w="1500" w:type="pct"/>
            <w:tcMar>
              <w:top w:w="28" w:type="dxa"/>
              <w:left w:w="80" w:type="dxa"/>
              <w:bottom w:w="28" w:type="dxa"/>
              <w:right w:w="80" w:type="dxa"/>
            </w:tcMar>
            <w:vAlign w:val="center"/>
          </w:tcPr>
          <w:p w14:paraId="46C08ECC" w14:textId="77777777" w:rsidR="0042033D" w:rsidRDefault="00000000">
            <w:pPr>
              <w:spacing w:line="232" w:lineRule="auto"/>
              <w:rPr>
                <w:sz w:val="24"/>
                <w:szCs w:val="24"/>
              </w:rPr>
            </w:pPr>
            <w:r>
              <w:rPr>
                <w:sz w:val="24"/>
                <w:szCs w:val="24"/>
              </w:rPr>
              <w:t>Contacté via le réseau institutionnel FDA-PURPA</w:t>
            </w:r>
          </w:p>
        </w:tc>
      </w:tr>
      <w:tr w:rsidR="0042033D" w14:paraId="0521F2CF" w14:textId="77777777">
        <w:trPr>
          <w:cantSplit/>
        </w:trPr>
        <w:tc>
          <w:tcPr>
            <w:tcW w:w="1500" w:type="pct"/>
            <w:tcMar>
              <w:top w:w="28" w:type="dxa"/>
              <w:left w:w="80" w:type="dxa"/>
              <w:bottom w:w="28" w:type="dxa"/>
              <w:right w:w="80" w:type="dxa"/>
            </w:tcMar>
            <w:vAlign w:val="center"/>
          </w:tcPr>
          <w:p w14:paraId="11F872CC" w14:textId="77777777" w:rsidR="0042033D" w:rsidRDefault="00000000">
            <w:pPr>
              <w:spacing w:line="232" w:lineRule="auto"/>
              <w:rPr>
                <w:sz w:val="24"/>
                <w:szCs w:val="24"/>
              </w:rPr>
            </w:pPr>
            <w:r>
              <w:rPr>
                <w:b/>
                <w:bCs/>
                <w:sz w:val="24"/>
                <w:szCs w:val="24"/>
              </w:rPr>
              <w:t>Somafert Est (négoce d'intrants)</w:t>
            </w:r>
          </w:p>
        </w:tc>
        <w:tc>
          <w:tcPr>
            <w:tcW w:w="1200" w:type="pct"/>
            <w:tcMar>
              <w:top w:w="28" w:type="dxa"/>
              <w:left w:w="80" w:type="dxa"/>
              <w:bottom w:w="28" w:type="dxa"/>
              <w:right w:w="80" w:type="dxa"/>
            </w:tcMar>
            <w:vAlign w:val="center"/>
          </w:tcPr>
          <w:p w14:paraId="0358B2F6" w14:textId="77777777" w:rsidR="0042033D" w:rsidRDefault="00000000">
            <w:pPr>
              <w:spacing w:line="232" w:lineRule="auto"/>
              <w:rPr>
                <w:sz w:val="24"/>
                <w:szCs w:val="24"/>
              </w:rPr>
            </w:pPr>
            <w:r>
              <w:rPr>
                <w:sz w:val="24"/>
                <w:szCs w:val="24"/>
              </w:rPr>
              <w:t>Distribution maraîchage</w:t>
            </w:r>
          </w:p>
        </w:tc>
        <w:tc>
          <w:tcPr>
            <w:tcW w:w="800" w:type="pct"/>
            <w:tcMar>
              <w:top w:w="28" w:type="dxa"/>
              <w:left w:w="80" w:type="dxa"/>
              <w:bottom w:w="28" w:type="dxa"/>
              <w:right w:w="80" w:type="dxa"/>
            </w:tcMar>
            <w:vAlign w:val="center"/>
          </w:tcPr>
          <w:p w14:paraId="7CD63957" w14:textId="77777777" w:rsidR="0042033D" w:rsidRDefault="00000000">
            <w:pPr>
              <w:spacing w:line="232" w:lineRule="auto"/>
              <w:jc w:val="center"/>
              <w:rPr>
                <w:sz w:val="24"/>
                <w:szCs w:val="24"/>
              </w:rPr>
            </w:pPr>
            <w:r>
              <w:rPr>
                <w:b/>
                <w:bCs/>
                <w:sz w:val="24"/>
                <w:szCs w:val="24"/>
              </w:rPr>
              <w:t>30</w:t>
            </w:r>
          </w:p>
        </w:tc>
        <w:tc>
          <w:tcPr>
            <w:tcW w:w="1500" w:type="pct"/>
            <w:tcMar>
              <w:top w:w="28" w:type="dxa"/>
              <w:left w:w="80" w:type="dxa"/>
              <w:bottom w:w="28" w:type="dxa"/>
              <w:right w:w="80" w:type="dxa"/>
            </w:tcMar>
            <w:vAlign w:val="center"/>
          </w:tcPr>
          <w:p w14:paraId="4162C4BA" w14:textId="77777777" w:rsidR="0042033D" w:rsidRDefault="00000000">
            <w:pPr>
              <w:spacing w:line="232" w:lineRule="auto"/>
              <w:rPr>
                <w:sz w:val="24"/>
                <w:szCs w:val="24"/>
              </w:rPr>
            </w:pPr>
            <w:r>
              <w:rPr>
                <w:sz w:val="24"/>
                <w:szCs w:val="24"/>
              </w:rPr>
              <w:t>Contacté, démonstration planifiée (M+3)</w:t>
            </w:r>
          </w:p>
        </w:tc>
      </w:tr>
      <w:tr w:rsidR="0042033D" w14:paraId="6EB124EB" w14:textId="77777777">
        <w:trPr>
          <w:cantSplit/>
        </w:trPr>
        <w:tc>
          <w:tcPr>
            <w:tcW w:w="1500" w:type="pct"/>
            <w:tcMar>
              <w:top w:w="28" w:type="dxa"/>
              <w:left w:w="80" w:type="dxa"/>
              <w:bottom w:w="28" w:type="dxa"/>
              <w:right w:w="80" w:type="dxa"/>
            </w:tcMar>
            <w:vAlign w:val="center"/>
          </w:tcPr>
          <w:p w14:paraId="026C9D82" w14:textId="77777777" w:rsidR="0042033D" w:rsidRDefault="00000000">
            <w:pPr>
              <w:spacing w:line="232" w:lineRule="auto"/>
              <w:rPr>
                <w:sz w:val="24"/>
                <w:szCs w:val="24"/>
              </w:rPr>
            </w:pPr>
            <w:r>
              <w:rPr>
                <w:b/>
                <w:bCs/>
                <w:sz w:val="24"/>
                <w:szCs w:val="24"/>
              </w:rPr>
              <w:t>Complexe agro-industriel SCRIMAD (périmètre complémentaire)</w:t>
            </w:r>
          </w:p>
        </w:tc>
        <w:tc>
          <w:tcPr>
            <w:tcW w:w="1200" w:type="pct"/>
            <w:tcMar>
              <w:top w:w="28" w:type="dxa"/>
              <w:left w:w="80" w:type="dxa"/>
              <w:bottom w:w="28" w:type="dxa"/>
              <w:right w:w="80" w:type="dxa"/>
            </w:tcMar>
            <w:vAlign w:val="center"/>
          </w:tcPr>
          <w:p w14:paraId="1BE34172" w14:textId="77777777" w:rsidR="0042033D" w:rsidRDefault="00000000">
            <w:pPr>
              <w:spacing w:line="232" w:lineRule="auto"/>
              <w:rPr>
                <w:sz w:val="24"/>
                <w:szCs w:val="24"/>
              </w:rPr>
            </w:pPr>
            <w:r>
              <w:rPr>
                <w:sz w:val="24"/>
                <w:szCs w:val="24"/>
              </w:rPr>
              <w:t>Services annexes hors franchise existante</w:t>
            </w:r>
          </w:p>
        </w:tc>
        <w:tc>
          <w:tcPr>
            <w:tcW w:w="800" w:type="pct"/>
            <w:tcMar>
              <w:top w:w="28" w:type="dxa"/>
              <w:left w:w="80" w:type="dxa"/>
              <w:bottom w:w="28" w:type="dxa"/>
              <w:right w:w="80" w:type="dxa"/>
            </w:tcMar>
            <w:vAlign w:val="center"/>
          </w:tcPr>
          <w:p w14:paraId="78527540" w14:textId="77777777" w:rsidR="0042033D" w:rsidRDefault="00000000">
            <w:pPr>
              <w:spacing w:line="232" w:lineRule="auto"/>
              <w:jc w:val="center"/>
              <w:rPr>
                <w:sz w:val="24"/>
                <w:szCs w:val="24"/>
              </w:rPr>
            </w:pPr>
            <w:r>
              <w:rPr>
                <w:b/>
                <w:bCs/>
                <w:sz w:val="24"/>
                <w:szCs w:val="24"/>
              </w:rPr>
              <w:t>26</w:t>
            </w:r>
          </w:p>
        </w:tc>
        <w:tc>
          <w:tcPr>
            <w:tcW w:w="1500" w:type="pct"/>
            <w:tcMar>
              <w:top w:w="28" w:type="dxa"/>
              <w:left w:w="80" w:type="dxa"/>
              <w:bottom w:w="28" w:type="dxa"/>
              <w:right w:w="80" w:type="dxa"/>
            </w:tcMar>
            <w:vAlign w:val="center"/>
          </w:tcPr>
          <w:p w14:paraId="0E6909FF" w14:textId="77777777" w:rsidR="0042033D" w:rsidRDefault="00000000">
            <w:pPr>
              <w:spacing w:line="232" w:lineRule="auto"/>
              <w:rPr>
                <w:sz w:val="24"/>
                <w:szCs w:val="24"/>
              </w:rPr>
            </w:pPr>
            <w:r>
              <w:rPr>
                <w:sz w:val="24"/>
                <w:szCs w:val="24"/>
              </w:rPr>
              <w:t>En négociation d'un contrat annexe distinct</w:t>
            </w:r>
          </w:p>
        </w:tc>
      </w:tr>
      <w:tr w:rsidR="0042033D" w14:paraId="68F8F3FB" w14:textId="77777777">
        <w:trPr>
          <w:cantSplit/>
        </w:trPr>
        <w:tc>
          <w:tcPr>
            <w:tcW w:w="1500" w:type="pct"/>
            <w:tcMar>
              <w:top w:w="28" w:type="dxa"/>
              <w:left w:w="80" w:type="dxa"/>
              <w:bottom w:w="28" w:type="dxa"/>
              <w:right w:w="80" w:type="dxa"/>
            </w:tcMar>
            <w:vAlign w:val="center"/>
          </w:tcPr>
          <w:p w14:paraId="1CE24ECC" w14:textId="77777777" w:rsidR="0042033D" w:rsidRDefault="00000000">
            <w:pPr>
              <w:spacing w:line="232" w:lineRule="auto"/>
              <w:rPr>
                <w:sz w:val="24"/>
                <w:szCs w:val="24"/>
              </w:rPr>
            </w:pPr>
            <w:r>
              <w:rPr>
                <w:b/>
                <w:bCs/>
                <w:sz w:val="24"/>
                <w:szCs w:val="24"/>
              </w:rPr>
              <w:t>Coopérative Tsara Voasarimanga (légumes Alaotra)</w:t>
            </w:r>
          </w:p>
        </w:tc>
        <w:tc>
          <w:tcPr>
            <w:tcW w:w="1200" w:type="pct"/>
            <w:tcMar>
              <w:top w:w="28" w:type="dxa"/>
              <w:left w:w="80" w:type="dxa"/>
              <w:bottom w:w="28" w:type="dxa"/>
              <w:right w:w="80" w:type="dxa"/>
            </w:tcMar>
            <w:vAlign w:val="center"/>
          </w:tcPr>
          <w:p w14:paraId="30F5B2AA" w14:textId="77777777" w:rsidR="0042033D" w:rsidRDefault="00000000">
            <w:pPr>
              <w:spacing w:line="232" w:lineRule="auto"/>
              <w:rPr>
                <w:sz w:val="24"/>
                <w:szCs w:val="24"/>
              </w:rPr>
            </w:pPr>
            <w:r>
              <w:rPr>
                <w:sz w:val="24"/>
                <w:szCs w:val="24"/>
              </w:rPr>
              <w:t>Maraîchage coopératif</w:t>
            </w:r>
          </w:p>
        </w:tc>
        <w:tc>
          <w:tcPr>
            <w:tcW w:w="800" w:type="pct"/>
            <w:tcMar>
              <w:top w:w="28" w:type="dxa"/>
              <w:left w:w="80" w:type="dxa"/>
              <w:bottom w:w="28" w:type="dxa"/>
              <w:right w:w="80" w:type="dxa"/>
            </w:tcMar>
            <w:vAlign w:val="center"/>
          </w:tcPr>
          <w:p w14:paraId="5CD3F355" w14:textId="77777777" w:rsidR="0042033D" w:rsidRDefault="00000000">
            <w:pPr>
              <w:spacing w:line="232" w:lineRule="auto"/>
              <w:jc w:val="center"/>
              <w:rPr>
                <w:sz w:val="24"/>
                <w:szCs w:val="24"/>
              </w:rPr>
            </w:pPr>
            <w:r>
              <w:rPr>
                <w:b/>
                <w:bCs/>
                <w:sz w:val="24"/>
                <w:szCs w:val="24"/>
              </w:rPr>
              <w:t>24</w:t>
            </w:r>
          </w:p>
        </w:tc>
        <w:tc>
          <w:tcPr>
            <w:tcW w:w="1500" w:type="pct"/>
            <w:tcMar>
              <w:top w:w="28" w:type="dxa"/>
              <w:left w:w="80" w:type="dxa"/>
              <w:bottom w:w="28" w:type="dxa"/>
              <w:right w:w="80" w:type="dxa"/>
            </w:tcMar>
            <w:vAlign w:val="center"/>
          </w:tcPr>
          <w:p w14:paraId="4A2AD9F9" w14:textId="77777777" w:rsidR="0042033D" w:rsidRDefault="00000000">
            <w:pPr>
              <w:spacing w:line="232" w:lineRule="auto"/>
              <w:rPr>
                <w:sz w:val="24"/>
                <w:szCs w:val="24"/>
              </w:rPr>
            </w:pPr>
            <w:r>
              <w:rPr>
                <w:sz w:val="24"/>
                <w:szCs w:val="24"/>
              </w:rPr>
              <w:t>Contacté, réponse attendue M+2</w:t>
            </w:r>
          </w:p>
        </w:tc>
      </w:tr>
      <w:tr w:rsidR="0042033D" w14:paraId="04B58771" w14:textId="77777777">
        <w:trPr>
          <w:cantSplit/>
        </w:trPr>
        <w:tc>
          <w:tcPr>
            <w:tcW w:w="1500" w:type="pct"/>
            <w:tcMar>
              <w:top w:w="28" w:type="dxa"/>
              <w:left w:w="80" w:type="dxa"/>
              <w:bottom w:w="28" w:type="dxa"/>
              <w:right w:w="80" w:type="dxa"/>
            </w:tcMar>
            <w:vAlign w:val="center"/>
          </w:tcPr>
          <w:p w14:paraId="31B4CBD0" w14:textId="77777777" w:rsidR="0042033D" w:rsidRDefault="00000000">
            <w:pPr>
              <w:spacing w:line="232" w:lineRule="auto"/>
              <w:rPr>
                <w:sz w:val="24"/>
                <w:szCs w:val="24"/>
              </w:rPr>
            </w:pPr>
            <w:r>
              <w:rPr>
                <w:b/>
                <w:bCs/>
                <w:sz w:val="24"/>
                <w:szCs w:val="24"/>
              </w:rPr>
              <w:t>Conserverie fruitière Anjoma</w:t>
            </w:r>
          </w:p>
        </w:tc>
        <w:tc>
          <w:tcPr>
            <w:tcW w:w="1200" w:type="pct"/>
            <w:tcMar>
              <w:top w:w="28" w:type="dxa"/>
              <w:left w:w="80" w:type="dxa"/>
              <w:bottom w:w="28" w:type="dxa"/>
              <w:right w:w="80" w:type="dxa"/>
            </w:tcMar>
            <w:vAlign w:val="center"/>
          </w:tcPr>
          <w:p w14:paraId="7FFBA60D" w14:textId="77777777" w:rsidR="0042033D" w:rsidRDefault="00000000">
            <w:pPr>
              <w:spacing w:line="232" w:lineRule="auto"/>
              <w:rPr>
                <w:sz w:val="24"/>
                <w:szCs w:val="24"/>
              </w:rPr>
            </w:pPr>
            <w:r>
              <w:rPr>
                <w:sz w:val="24"/>
                <w:szCs w:val="24"/>
              </w:rPr>
              <w:t>Amendement des parcelles</w:t>
            </w:r>
          </w:p>
        </w:tc>
        <w:tc>
          <w:tcPr>
            <w:tcW w:w="800" w:type="pct"/>
            <w:tcMar>
              <w:top w:w="28" w:type="dxa"/>
              <w:left w:w="80" w:type="dxa"/>
              <w:bottom w:w="28" w:type="dxa"/>
              <w:right w:w="80" w:type="dxa"/>
            </w:tcMar>
            <w:vAlign w:val="center"/>
          </w:tcPr>
          <w:p w14:paraId="741E4977" w14:textId="77777777" w:rsidR="0042033D" w:rsidRDefault="00000000">
            <w:pPr>
              <w:spacing w:line="232" w:lineRule="auto"/>
              <w:jc w:val="center"/>
              <w:rPr>
                <w:sz w:val="24"/>
                <w:szCs w:val="24"/>
              </w:rPr>
            </w:pPr>
            <w:r>
              <w:rPr>
                <w:b/>
                <w:bCs/>
                <w:sz w:val="24"/>
                <w:szCs w:val="24"/>
              </w:rPr>
              <w:t>20</w:t>
            </w:r>
          </w:p>
        </w:tc>
        <w:tc>
          <w:tcPr>
            <w:tcW w:w="1500" w:type="pct"/>
            <w:tcMar>
              <w:top w:w="28" w:type="dxa"/>
              <w:left w:w="80" w:type="dxa"/>
              <w:bottom w:w="28" w:type="dxa"/>
              <w:right w:w="80" w:type="dxa"/>
            </w:tcMar>
            <w:vAlign w:val="center"/>
          </w:tcPr>
          <w:p w14:paraId="48F5471A" w14:textId="77777777" w:rsidR="0042033D" w:rsidRDefault="00000000">
            <w:pPr>
              <w:spacing w:line="232" w:lineRule="auto"/>
              <w:rPr>
                <w:sz w:val="24"/>
                <w:szCs w:val="24"/>
              </w:rPr>
            </w:pPr>
            <w:r>
              <w:rPr>
                <w:sz w:val="24"/>
                <w:szCs w:val="24"/>
              </w:rPr>
              <w:t>En négociation ; essais réalisés en 2025</w:t>
            </w:r>
          </w:p>
        </w:tc>
      </w:tr>
      <w:tr w:rsidR="0042033D" w14:paraId="526AA824" w14:textId="77777777">
        <w:trPr>
          <w:cantSplit/>
        </w:trPr>
        <w:tc>
          <w:tcPr>
            <w:tcW w:w="1500" w:type="pct"/>
            <w:tcMar>
              <w:top w:w="28" w:type="dxa"/>
              <w:left w:w="80" w:type="dxa"/>
              <w:bottom w:w="28" w:type="dxa"/>
              <w:right w:w="80" w:type="dxa"/>
            </w:tcMar>
            <w:vAlign w:val="center"/>
          </w:tcPr>
          <w:p w14:paraId="4319A91B" w14:textId="77777777" w:rsidR="0042033D" w:rsidRDefault="00000000">
            <w:pPr>
              <w:spacing w:line="232" w:lineRule="auto"/>
              <w:rPr>
                <w:sz w:val="24"/>
                <w:szCs w:val="24"/>
              </w:rPr>
            </w:pPr>
            <w:r>
              <w:rPr>
                <w:b/>
                <w:bCs/>
                <w:sz w:val="24"/>
                <w:szCs w:val="24"/>
              </w:rPr>
              <w:t>Ferme avicole Masoandro</w:t>
            </w:r>
          </w:p>
        </w:tc>
        <w:tc>
          <w:tcPr>
            <w:tcW w:w="1200" w:type="pct"/>
            <w:tcMar>
              <w:top w:w="28" w:type="dxa"/>
              <w:left w:w="80" w:type="dxa"/>
              <w:bottom w:w="28" w:type="dxa"/>
              <w:right w:w="80" w:type="dxa"/>
            </w:tcMar>
            <w:vAlign w:val="center"/>
          </w:tcPr>
          <w:p w14:paraId="4A794D58" w14:textId="77777777" w:rsidR="0042033D" w:rsidRDefault="00000000">
            <w:pPr>
              <w:spacing w:line="232" w:lineRule="auto"/>
              <w:rPr>
                <w:sz w:val="24"/>
                <w:szCs w:val="24"/>
              </w:rPr>
            </w:pPr>
            <w:r>
              <w:rPr>
                <w:sz w:val="24"/>
                <w:szCs w:val="24"/>
              </w:rPr>
              <w:t>Aviculture (frass, futur essai larves)</w:t>
            </w:r>
          </w:p>
        </w:tc>
        <w:tc>
          <w:tcPr>
            <w:tcW w:w="800" w:type="pct"/>
            <w:tcMar>
              <w:top w:w="28" w:type="dxa"/>
              <w:left w:w="80" w:type="dxa"/>
              <w:bottom w:w="28" w:type="dxa"/>
              <w:right w:w="80" w:type="dxa"/>
            </w:tcMar>
            <w:vAlign w:val="center"/>
          </w:tcPr>
          <w:p w14:paraId="2A990F53" w14:textId="77777777" w:rsidR="0042033D" w:rsidRDefault="00000000">
            <w:pPr>
              <w:spacing w:line="232" w:lineRule="auto"/>
              <w:jc w:val="center"/>
              <w:rPr>
                <w:sz w:val="24"/>
                <w:szCs w:val="24"/>
              </w:rPr>
            </w:pPr>
            <w:r>
              <w:rPr>
                <w:b/>
                <w:bCs/>
                <w:sz w:val="24"/>
                <w:szCs w:val="24"/>
              </w:rPr>
              <w:t>18</w:t>
            </w:r>
          </w:p>
        </w:tc>
        <w:tc>
          <w:tcPr>
            <w:tcW w:w="1500" w:type="pct"/>
            <w:tcMar>
              <w:top w:w="28" w:type="dxa"/>
              <w:left w:w="80" w:type="dxa"/>
              <w:bottom w:w="28" w:type="dxa"/>
              <w:right w:w="80" w:type="dxa"/>
            </w:tcMar>
            <w:vAlign w:val="center"/>
          </w:tcPr>
          <w:p w14:paraId="4CED9B46" w14:textId="77777777" w:rsidR="0042033D" w:rsidRDefault="00000000">
            <w:pPr>
              <w:spacing w:line="232" w:lineRule="auto"/>
              <w:rPr>
                <w:sz w:val="24"/>
                <w:szCs w:val="24"/>
              </w:rPr>
            </w:pPr>
            <w:r>
              <w:rPr>
                <w:sz w:val="24"/>
                <w:szCs w:val="24"/>
              </w:rPr>
              <w:t>En négociation tarifaire</w:t>
            </w:r>
          </w:p>
        </w:tc>
      </w:tr>
      <w:tr w:rsidR="0042033D" w14:paraId="1617F76B" w14:textId="77777777">
        <w:trPr>
          <w:cantSplit/>
        </w:trPr>
        <w:tc>
          <w:tcPr>
            <w:tcW w:w="1500" w:type="pct"/>
            <w:tcMar>
              <w:top w:w="28" w:type="dxa"/>
              <w:left w:w="80" w:type="dxa"/>
              <w:bottom w:w="28" w:type="dxa"/>
              <w:right w:w="80" w:type="dxa"/>
            </w:tcMar>
            <w:vAlign w:val="center"/>
          </w:tcPr>
          <w:p w14:paraId="60C15381" w14:textId="77777777" w:rsidR="0042033D" w:rsidRDefault="00000000">
            <w:pPr>
              <w:spacing w:line="232" w:lineRule="auto"/>
              <w:rPr>
                <w:sz w:val="24"/>
                <w:szCs w:val="24"/>
              </w:rPr>
            </w:pPr>
            <w:r>
              <w:rPr>
                <w:b/>
                <w:bCs/>
                <w:sz w:val="24"/>
                <w:szCs w:val="24"/>
              </w:rPr>
              <w:t>Plantations Poivre d'Ivondro</w:t>
            </w:r>
          </w:p>
        </w:tc>
        <w:tc>
          <w:tcPr>
            <w:tcW w:w="1200" w:type="pct"/>
            <w:tcMar>
              <w:top w:w="28" w:type="dxa"/>
              <w:left w:w="80" w:type="dxa"/>
              <w:bottom w:w="28" w:type="dxa"/>
              <w:right w:w="80" w:type="dxa"/>
            </w:tcMar>
            <w:vAlign w:val="center"/>
          </w:tcPr>
          <w:p w14:paraId="73AD6150" w14:textId="77777777" w:rsidR="0042033D" w:rsidRDefault="00000000">
            <w:pPr>
              <w:spacing w:line="232" w:lineRule="auto"/>
              <w:rPr>
                <w:sz w:val="24"/>
                <w:szCs w:val="24"/>
              </w:rPr>
            </w:pPr>
            <w:r>
              <w:rPr>
                <w:sz w:val="24"/>
                <w:szCs w:val="24"/>
              </w:rPr>
              <w:t>Cultures de rente</w:t>
            </w:r>
          </w:p>
        </w:tc>
        <w:tc>
          <w:tcPr>
            <w:tcW w:w="800" w:type="pct"/>
            <w:tcMar>
              <w:top w:w="28" w:type="dxa"/>
              <w:left w:w="80" w:type="dxa"/>
              <w:bottom w:w="28" w:type="dxa"/>
              <w:right w:w="80" w:type="dxa"/>
            </w:tcMar>
            <w:vAlign w:val="center"/>
          </w:tcPr>
          <w:p w14:paraId="5D7B3804" w14:textId="77777777" w:rsidR="0042033D" w:rsidRDefault="00000000">
            <w:pPr>
              <w:spacing w:line="232" w:lineRule="auto"/>
              <w:jc w:val="center"/>
              <w:rPr>
                <w:sz w:val="24"/>
                <w:szCs w:val="24"/>
              </w:rPr>
            </w:pPr>
            <w:r>
              <w:rPr>
                <w:b/>
                <w:bCs/>
                <w:sz w:val="24"/>
                <w:szCs w:val="24"/>
              </w:rPr>
              <w:t>15</w:t>
            </w:r>
          </w:p>
        </w:tc>
        <w:tc>
          <w:tcPr>
            <w:tcW w:w="1500" w:type="pct"/>
            <w:tcMar>
              <w:top w:w="28" w:type="dxa"/>
              <w:left w:w="80" w:type="dxa"/>
              <w:bottom w:w="28" w:type="dxa"/>
              <w:right w:w="80" w:type="dxa"/>
            </w:tcMar>
            <w:vAlign w:val="center"/>
          </w:tcPr>
          <w:p w14:paraId="5B20D854" w14:textId="77777777" w:rsidR="0042033D" w:rsidRDefault="00000000">
            <w:pPr>
              <w:spacing w:line="232" w:lineRule="auto"/>
              <w:rPr>
                <w:sz w:val="24"/>
                <w:szCs w:val="24"/>
              </w:rPr>
            </w:pPr>
            <w:r>
              <w:rPr>
                <w:sz w:val="24"/>
                <w:szCs w:val="24"/>
              </w:rPr>
              <w:t>Contacté, échantillonnage en cours</w:t>
            </w:r>
          </w:p>
        </w:tc>
      </w:tr>
      <w:tr w:rsidR="0042033D" w14:paraId="41456D72" w14:textId="77777777">
        <w:trPr>
          <w:cantSplit/>
        </w:trPr>
        <w:tc>
          <w:tcPr>
            <w:tcW w:w="1500" w:type="pct"/>
            <w:tcMar>
              <w:top w:w="28" w:type="dxa"/>
              <w:left w:w="80" w:type="dxa"/>
              <w:bottom w:w="28" w:type="dxa"/>
              <w:right w:w="80" w:type="dxa"/>
            </w:tcMar>
            <w:vAlign w:val="center"/>
          </w:tcPr>
          <w:p w14:paraId="307B82BD" w14:textId="77777777" w:rsidR="0042033D" w:rsidRDefault="00000000">
            <w:pPr>
              <w:spacing w:line="232" w:lineRule="auto"/>
              <w:rPr>
                <w:sz w:val="24"/>
                <w:szCs w:val="24"/>
              </w:rPr>
            </w:pPr>
            <w:r>
              <w:rPr>
                <w:b/>
                <w:bCs/>
                <w:sz w:val="24"/>
                <w:szCs w:val="24"/>
              </w:rPr>
              <w:t>Jardineries urbaines Tamatave (réseau de six points)</w:t>
            </w:r>
          </w:p>
        </w:tc>
        <w:tc>
          <w:tcPr>
            <w:tcW w:w="1200" w:type="pct"/>
            <w:tcMar>
              <w:top w:w="28" w:type="dxa"/>
              <w:left w:w="80" w:type="dxa"/>
              <w:bottom w:w="28" w:type="dxa"/>
              <w:right w:w="80" w:type="dxa"/>
            </w:tcMar>
            <w:vAlign w:val="center"/>
          </w:tcPr>
          <w:p w14:paraId="0D534F5A" w14:textId="77777777" w:rsidR="0042033D" w:rsidRDefault="00000000">
            <w:pPr>
              <w:spacing w:line="232" w:lineRule="auto"/>
              <w:rPr>
                <w:sz w:val="24"/>
                <w:szCs w:val="24"/>
              </w:rPr>
            </w:pPr>
            <w:r>
              <w:rPr>
                <w:sz w:val="24"/>
                <w:szCs w:val="24"/>
              </w:rPr>
              <w:t>B2C professionnel</w:t>
            </w:r>
          </w:p>
        </w:tc>
        <w:tc>
          <w:tcPr>
            <w:tcW w:w="800" w:type="pct"/>
            <w:tcMar>
              <w:top w:w="28" w:type="dxa"/>
              <w:left w:w="80" w:type="dxa"/>
              <w:bottom w:w="28" w:type="dxa"/>
              <w:right w:w="80" w:type="dxa"/>
            </w:tcMar>
            <w:vAlign w:val="center"/>
          </w:tcPr>
          <w:p w14:paraId="5017D622" w14:textId="77777777" w:rsidR="0042033D" w:rsidRDefault="00000000">
            <w:pPr>
              <w:spacing w:line="232" w:lineRule="auto"/>
              <w:jc w:val="center"/>
              <w:rPr>
                <w:sz w:val="24"/>
                <w:szCs w:val="24"/>
              </w:rPr>
            </w:pPr>
            <w:r>
              <w:rPr>
                <w:b/>
                <w:bCs/>
                <w:sz w:val="24"/>
                <w:szCs w:val="24"/>
              </w:rPr>
              <w:t>12</w:t>
            </w:r>
          </w:p>
        </w:tc>
        <w:tc>
          <w:tcPr>
            <w:tcW w:w="1500" w:type="pct"/>
            <w:tcMar>
              <w:top w:w="28" w:type="dxa"/>
              <w:left w:w="80" w:type="dxa"/>
              <w:bottom w:w="28" w:type="dxa"/>
              <w:right w:w="80" w:type="dxa"/>
            </w:tcMar>
            <w:vAlign w:val="center"/>
          </w:tcPr>
          <w:p w14:paraId="3D7EB729" w14:textId="77777777" w:rsidR="0042033D" w:rsidRDefault="00000000">
            <w:pPr>
              <w:spacing w:line="232" w:lineRule="auto"/>
              <w:rPr>
                <w:sz w:val="24"/>
                <w:szCs w:val="24"/>
              </w:rPr>
            </w:pPr>
            <w:r>
              <w:rPr>
                <w:sz w:val="24"/>
                <w:szCs w:val="24"/>
              </w:rPr>
              <w:t>Accord de principe verbal</w:t>
            </w:r>
          </w:p>
        </w:tc>
      </w:tr>
      <w:tr w:rsidR="0042033D" w14:paraId="6858DB78" w14:textId="77777777">
        <w:trPr>
          <w:cantSplit/>
        </w:trPr>
        <w:tc>
          <w:tcPr>
            <w:tcW w:w="1500" w:type="pct"/>
            <w:tcMar>
              <w:top w:w="28" w:type="dxa"/>
              <w:left w:w="80" w:type="dxa"/>
              <w:bottom w:w="28" w:type="dxa"/>
              <w:right w:w="80" w:type="dxa"/>
            </w:tcMar>
            <w:vAlign w:val="center"/>
          </w:tcPr>
          <w:p w14:paraId="1F84882E" w14:textId="77777777" w:rsidR="0042033D" w:rsidRDefault="00000000">
            <w:pPr>
              <w:spacing w:line="232" w:lineRule="auto"/>
              <w:rPr>
                <w:sz w:val="24"/>
                <w:szCs w:val="24"/>
              </w:rPr>
            </w:pPr>
            <w:r>
              <w:rPr>
                <w:b/>
                <w:bCs/>
                <w:sz w:val="24"/>
                <w:szCs w:val="24"/>
              </w:rPr>
              <w:t>Union horticole Mananara Nord</w:t>
            </w:r>
          </w:p>
        </w:tc>
        <w:tc>
          <w:tcPr>
            <w:tcW w:w="1200" w:type="pct"/>
            <w:tcMar>
              <w:top w:w="28" w:type="dxa"/>
              <w:left w:w="80" w:type="dxa"/>
              <w:bottom w:w="28" w:type="dxa"/>
              <w:right w:w="80" w:type="dxa"/>
            </w:tcMar>
            <w:vAlign w:val="center"/>
          </w:tcPr>
          <w:p w14:paraId="3A69176A" w14:textId="77777777" w:rsidR="0042033D" w:rsidRDefault="00000000">
            <w:pPr>
              <w:spacing w:line="232" w:lineRule="auto"/>
              <w:rPr>
                <w:sz w:val="24"/>
                <w:szCs w:val="24"/>
              </w:rPr>
            </w:pPr>
            <w:r>
              <w:rPr>
                <w:sz w:val="24"/>
                <w:szCs w:val="24"/>
              </w:rPr>
              <w:t>Horticulture ornementale</w:t>
            </w:r>
          </w:p>
        </w:tc>
        <w:tc>
          <w:tcPr>
            <w:tcW w:w="800" w:type="pct"/>
            <w:tcMar>
              <w:top w:w="28" w:type="dxa"/>
              <w:left w:w="80" w:type="dxa"/>
              <w:bottom w:w="28" w:type="dxa"/>
              <w:right w:w="80" w:type="dxa"/>
            </w:tcMar>
            <w:vAlign w:val="center"/>
          </w:tcPr>
          <w:p w14:paraId="6CB41B04" w14:textId="77777777" w:rsidR="0042033D" w:rsidRDefault="00000000">
            <w:pPr>
              <w:spacing w:line="232" w:lineRule="auto"/>
              <w:jc w:val="center"/>
              <w:rPr>
                <w:sz w:val="24"/>
                <w:szCs w:val="24"/>
              </w:rPr>
            </w:pPr>
            <w:r>
              <w:rPr>
                <w:b/>
                <w:bCs/>
                <w:sz w:val="24"/>
                <w:szCs w:val="24"/>
              </w:rPr>
              <w:t>10</w:t>
            </w:r>
          </w:p>
        </w:tc>
        <w:tc>
          <w:tcPr>
            <w:tcW w:w="1500" w:type="pct"/>
            <w:tcMar>
              <w:top w:w="28" w:type="dxa"/>
              <w:left w:w="80" w:type="dxa"/>
              <w:bottom w:w="28" w:type="dxa"/>
              <w:right w:w="80" w:type="dxa"/>
            </w:tcMar>
            <w:vAlign w:val="center"/>
          </w:tcPr>
          <w:p w14:paraId="547D5CAA" w14:textId="77777777" w:rsidR="0042033D" w:rsidRDefault="00000000">
            <w:pPr>
              <w:spacing w:line="232" w:lineRule="auto"/>
              <w:rPr>
                <w:sz w:val="24"/>
                <w:szCs w:val="24"/>
              </w:rPr>
            </w:pPr>
            <w:r>
              <w:rPr>
                <w:sz w:val="24"/>
                <w:szCs w:val="24"/>
              </w:rPr>
              <w:t>Contacté, inscription au salon régional (M+6)</w:t>
            </w:r>
          </w:p>
        </w:tc>
      </w:tr>
      <w:tr w:rsidR="0042033D" w14:paraId="6BD0EAD8" w14:textId="77777777">
        <w:trPr>
          <w:cantSplit/>
        </w:trPr>
        <w:tc>
          <w:tcPr>
            <w:tcW w:w="1500" w:type="pct"/>
            <w:tcMar>
              <w:top w:w="28" w:type="dxa"/>
              <w:left w:w="80" w:type="dxa"/>
              <w:bottom w:w="28" w:type="dxa"/>
              <w:right w:w="80" w:type="dxa"/>
            </w:tcMar>
            <w:vAlign w:val="center"/>
          </w:tcPr>
          <w:p w14:paraId="33E87225" w14:textId="77777777" w:rsidR="0042033D" w:rsidRDefault="00000000">
            <w:pPr>
              <w:spacing w:line="232" w:lineRule="auto"/>
              <w:rPr>
                <w:sz w:val="24"/>
                <w:szCs w:val="24"/>
              </w:rPr>
            </w:pPr>
            <w:r>
              <w:rPr>
                <w:b/>
                <w:bCs/>
                <w:sz w:val="24"/>
                <w:szCs w:val="24"/>
              </w:rPr>
              <w:t>Ferme piscicole Lakana Toamasina</w:t>
            </w:r>
          </w:p>
        </w:tc>
        <w:tc>
          <w:tcPr>
            <w:tcW w:w="1200" w:type="pct"/>
            <w:tcMar>
              <w:top w:w="28" w:type="dxa"/>
              <w:left w:w="80" w:type="dxa"/>
              <w:bottom w:w="28" w:type="dxa"/>
              <w:right w:w="80" w:type="dxa"/>
            </w:tcMar>
            <w:vAlign w:val="center"/>
          </w:tcPr>
          <w:p w14:paraId="776FD054" w14:textId="77777777" w:rsidR="0042033D" w:rsidRDefault="00000000">
            <w:pPr>
              <w:spacing w:line="232" w:lineRule="auto"/>
              <w:rPr>
                <w:sz w:val="24"/>
                <w:szCs w:val="24"/>
              </w:rPr>
            </w:pPr>
            <w:r>
              <w:rPr>
                <w:sz w:val="24"/>
                <w:szCs w:val="24"/>
              </w:rPr>
              <w:t>Aquaculture (larves)</w:t>
            </w:r>
          </w:p>
        </w:tc>
        <w:tc>
          <w:tcPr>
            <w:tcW w:w="800" w:type="pct"/>
            <w:tcMar>
              <w:top w:w="28" w:type="dxa"/>
              <w:left w:w="80" w:type="dxa"/>
              <w:bottom w:w="28" w:type="dxa"/>
              <w:right w:w="80" w:type="dxa"/>
            </w:tcMar>
            <w:vAlign w:val="center"/>
          </w:tcPr>
          <w:p w14:paraId="17980D05" w14:textId="77777777" w:rsidR="0042033D" w:rsidRDefault="00000000">
            <w:pPr>
              <w:spacing w:line="232" w:lineRule="auto"/>
              <w:jc w:val="center"/>
              <w:rPr>
                <w:sz w:val="24"/>
                <w:szCs w:val="24"/>
              </w:rPr>
            </w:pPr>
            <w:r>
              <w:rPr>
                <w:b/>
                <w:bCs/>
                <w:sz w:val="24"/>
                <w:szCs w:val="24"/>
              </w:rPr>
              <w:t>8</w:t>
            </w:r>
          </w:p>
        </w:tc>
        <w:tc>
          <w:tcPr>
            <w:tcW w:w="1500" w:type="pct"/>
            <w:tcMar>
              <w:top w:w="28" w:type="dxa"/>
              <w:left w:w="80" w:type="dxa"/>
              <w:bottom w:w="28" w:type="dxa"/>
              <w:right w:w="80" w:type="dxa"/>
            </w:tcMar>
            <w:vAlign w:val="center"/>
          </w:tcPr>
          <w:p w14:paraId="3F383EE0" w14:textId="77777777" w:rsidR="0042033D" w:rsidRDefault="00000000">
            <w:pPr>
              <w:spacing w:line="232" w:lineRule="auto"/>
              <w:rPr>
                <w:sz w:val="24"/>
                <w:szCs w:val="24"/>
              </w:rPr>
            </w:pPr>
            <w:r>
              <w:rPr>
                <w:sz w:val="24"/>
                <w:szCs w:val="24"/>
              </w:rPr>
              <w:t>En négociation ; livraison pilote visée M+9</w:t>
            </w:r>
          </w:p>
        </w:tc>
      </w:tr>
    </w:tbl>
    <w:p w14:paraId="48CE47A5" w14:textId="77777777" w:rsidR="0042033D" w:rsidRDefault="00000000">
      <w:pPr>
        <w:spacing w:after="60"/>
        <w:jc w:val="both"/>
        <w:rPr>
          <w:sz w:val="24"/>
          <w:szCs w:val="24"/>
        </w:rPr>
      </w:pPr>
      <w:r>
        <w:rPr>
          <w:sz w:val="24"/>
          <w:szCs w:val="24"/>
        </w:rPr>
        <w:t>Le pipeline est piloté par la preuve commerciale. Un contact ou une démonstration n’est pas assimilé à un engagement : les jalons de financement utilisent uniquement les lettres d’intention ou contrats effectivement signés et versés en data room. Le tableau de pipeline est donc un outil de conversion, pas une créance commerciale déjà acquise.</w:t>
      </w:r>
    </w:p>
    <w:p w14:paraId="2C9F636D" w14:textId="77777777" w:rsidR="0042033D" w:rsidRDefault="00000000">
      <w:pPr>
        <w:pStyle w:val="Heading2"/>
        <w:spacing w:before="150" w:after="60"/>
        <w:rPr>
          <w:rFonts w:ascii="Times New Roman" w:hAnsi="Times New Roman"/>
        </w:rPr>
      </w:pPr>
      <w:bookmarkStart w:id="38" w:name="_Toc100038"/>
      <w:r>
        <w:rPr>
          <w:rFonts w:ascii="Times New Roman" w:hAnsi="Times New Roman"/>
        </w:rPr>
        <w:t>10.3 Levier 3 — Structuration B2C via un réseau de revendeurs</w:t>
      </w:r>
      <w:bookmarkEnd w:id="38"/>
    </w:p>
    <w:p w14:paraId="79B6284F" w14:textId="77777777" w:rsidR="0042033D" w:rsidRDefault="00000000">
      <w:pPr>
        <w:spacing w:after="60"/>
        <w:jc w:val="both"/>
        <w:rPr>
          <w:sz w:val="24"/>
          <w:szCs w:val="24"/>
        </w:rPr>
      </w:pPr>
      <w:r>
        <w:rPr>
          <w:sz w:val="24"/>
          <w:szCs w:val="24"/>
        </w:rPr>
        <w:t>Le canal B2C est alimenté par la base historique de bénéficiaires / points de distribution et par une base directe plus réduite. La stratégie privilégie les revendeurs locaux, les démonstrations terrain et le réachat par cohorte. Les chiffres de couverture ne sont pas utilisés pour extrapoler le chiffre d’affaires sans facturation correspondante.</w:t>
      </w:r>
    </w:p>
    <w:p w14:paraId="5C354520" w14:textId="77777777" w:rsidR="0042033D" w:rsidRDefault="00000000">
      <w:pPr>
        <w:pStyle w:val="Heading2"/>
        <w:spacing w:before="150" w:after="60"/>
        <w:rPr>
          <w:rFonts w:ascii="Times New Roman" w:hAnsi="Times New Roman"/>
        </w:rPr>
      </w:pPr>
      <w:bookmarkStart w:id="39" w:name="_Toc100039"/>
      <w:r>
        <w:rPr>
          <w:rFonts w:ascii="Times New Roman" w:hAnsi="Times New Roman"/>
        </w:rPr>
        <w:t>10.4 Levier 4 — Préparation conditionnelle du canal export</w:t>
      </w:r>
      <w:bookmarkEnd w:id="39"/>
    </w:p>
    <w:p w14:paraId="02A9C228" w14:textId="77777777" w:rsidR="0042033D" w:rsidRDefault="00000000">
      <w:pPr>
        <w:spacing w:after="60"/>
        <w:jc w:val="both"/>
        <w:rPr>
          <w:sz w:val="24"/>
          <w:szCs w:val="24"/>
        </w:rPr>
      </w:pPr>
      <w:r>
        <w:rPr>
          <w:sz w:val="24"/>
          <w:szCs w:val="24"/>
        </w:rPr>
        <w:t xml:space="preserve">Le canal export constitue un objectif structurant à moyen terme, traité selon la discipline de phase définie en section 24. Les marchés cibles prioritaires sont Maurice (pouvoir d'achat élevé, dépendance totale aux importations), La Réunion (normes bio et qualité strictes, prix premium) et les Comores (proximité géographique, besoins agricoles). Le mécanisme repose sur la </w:t>
      </w:r>
      <w:r>
        <w:rPr>
          <w:sz w:val="24"/>
          <w:szCs w:val="24"/>
        </w:rPr>
        <w:lastRenderedPageBreak/>
        <w:t>certification ISO 22000 et HACCP, la labellisation biologique et les partenariats via les chambres de commerce bilatérales ; le plan dédié — incluant un budget d'assistance technique de 12 000 $ et un calendrier de dix-huit à vingt-quatre mois — n'est déclenché qu'après obtention effective de la certification, afin que le scénario central des projections demeure strictement domestique.</w:t>
      </w:r>
    </w:p>
    <w:p w14:paraId="458A30BA" w14:textId="77777777" w:rsidR="0042033D" w:rsidRDefault="00000000">
      <w:pPr>
        <w:pStyle w:val="Heading2"/>
        <w:spacing w:before="150" w:after="60"/>
        <w:rPr>
          <w:rFonts w:ascii="Times New Roman" w:hAnsi="Times New Roman"/>
        </w:rPr>
      </w:pPr>
      <w:bookmarkStart w:id="40" w:name="_Toc100040"/>
      <w:r>
        <w:rPr>
          <w:rFonts w:ascii="Times New Roman" w:hAnsi="Times New Roman"/>
        </w:rPr>
        <w:t>10.5 Stratégie de prix et de rétention</w:t>
      </w:r>
      <w:bookmarkEnd w:id="40"/>
    </w:p>
    <w:p w14:paraId="617C3240" w14:textId="77777777" w:rsidR="0042033D" w:rsidRDefault="00000000">
      <w:pPr>
        <w:spacing w:after="60"/>
        <w:jc w:val="both"/>
        <w:rPr>
          <w:sz w:val="24"/>
          <w:szCs w:val="24"/>
          <w:lang w:val="fr-FR"/>
        </w:rPr>
      </w:pPr>
      <w:r>
        <w:rPr>
          <w:sz w:val="24"/>
          <w:szCs w:val="24"/>
        </w:rPr>
        <w:t>La politique de prix s'appuie sur trois principes : un positionnement discount par rapport aux engrais chimiques importés pour le B2C, afin de maximiser la pénétration ; un positionnement compétitif mais premium par rapport au compost traditionnel pour le B2B, capitalisant sur la qualité homogène et la certification ; un positionnement premium pour l'export, valorisant traçabilité, origine et qualité biologique. La rétention repose sur la performance agronomique (suivi des rendements clients), la formation technique et un programme de réachat avec remises sur volume.</w:t>
      </w:r>
    </w:p>
    <w:p w14:paraId="74A0BA8E" w14:textId="77777777" w:rsidR="0042033D" w:rsidRDefault="0042033D">
      <w:pPr>
        <w:spacing w:after="60"/>
        <w:jc w:val="both"/>
        <w:rPr>
          <w:sz w:val="24"/>
          <w:szCs w:val="24"/>
          <w:lang w:val="fr-FR"/>
        </w:rPr>
      </w:pPr>
    </w:p>
    <w:p w14:paraId="5521DCB6" w14:textId="77777777" w:rsidR="0042033D" w:rsidRDefault="0042033D">
      <w:pPr>
        <w:spacing w:after="60"/>
        <w:jc w:val="both"/>
        <w:rPr>
          <w:sz w:val="24"/>
          <w:szCs w:val="24"/>
          <w:lang w:val="fr-FR"/>
        </w:rPr>
      </w:pPr>
    </w:p>
    <w:p w14:paraId="0F1D072A" w14:textId="77777777" w:rsidR="0042033D" w:rsidRDefault="0042033D">
      <w:pPr>
        <w:spacing w:after="60"/>
        <w:jc w:val="both"/>
        <w:rPr>
          <w:sz w:val="24"/>
          <w:szCs w:val="24"/>
          <w:lang w:val="fr-FR"/>
        </w:rPr>
      </w:pPr>
    </w:p>
    <w:p w14:paraId="67A88FF3" w14:textId="77777777" w:rsidR="0042033D" w:rsidRDefault="0042033D">
      <w:pPr>
        <w:spacing w:after="60"/>
        <w:jc w:val="both"/>
        <w:rPr>
          <w:sz w:val="24"/>
          <w:szCs w:val="24"/>
          <w:lang w:val="fr-FR"/>
        </w:rPr>
      </w:pPr>
    </w:p>
    <w:p w14:paraId="48A7583C" w14:textId="77777777" w:rsidR="0042033D" w:rsidRDefault="0042033D">
      <w:pPr>
        <w:spacing w:after="60"/>
        <w:jc w:val="both"/>
        <w:rPr>
          <w:sz w:val="24"/>
          <w:szCs w:val="24"/>
          <w:lang w:val="fr-FR"/>
        </w:rPr>
      </w:pPr>
    </w:p>
    <w:p w14:paraId="56F0D268" w14:textId="77777777" w:rsidR="0042033D" w:rsidRDefault="0042033D">
      <w:pPr>
        <w:spacing w:after="60"/>
        <w:jc w:val="both"/>
        <w:rPr>
          <w:sz w:val="24"/>
          <w:szCs w:val="24"/>
          <w:lang w:val="fr-FR"/>
        </w:rPr>
      </w:pPr>
    </w:p>
    <w:p w14:paraId="6FC4CD19" w14:textId="77777777" w:rsidR="0042033D" w:rsidRDefault="0042033D">
      <w:pPr>
        <w:spacing w:after="60"/>
        <w:jc w:val="both"/>
        <w:rPr>
          <w:sz w:val="24"/>
          <w:szCs w:val="24"/>
          <w:lang w:val="fr-FR"/>
        </w:rPr>
      </w:pPr>
    </w:p>
    <w:p w14:paraId="6BFD38CE" w14:textId="77777777" w:rsidR="0042033D" w:rsidRDefault="0042033D">
      <w:pPr>
        <w:spacing w:after="60"/>
        <w:jc w:val="both"/>
        <w:rPr>
          <w:sz w:val="24"/>
          <w:szCs w:val="24"/>
          <w:lang w:val="fr-FR"/>
        </w:rPr>
      </w:pPr>
    </w:p>
    <w:p w14:paraId="6C79396F" w14:textId="77777777" w:rsidR="0042033D" w:rsidRDefault="0042033D">
      <w:pPr>
        <w:spacing w:after="60"/>
        <w:jc w:val="both"/>
        <w:rPr>
          <w:sz w:val="24"/>
          <w:szCs w:val="24"/>
          <w:lang w:val="fr-FR"/>
        </w:rPr>
      </w:pPr>
    </w:p>
    <w:p w14:paraId="019D483F" w14:textId="77777777" w:rsidR="0042033D" w:rsidRDefault="0042033D">
      <w:pPr>
        <w:spacing w:after="60"/>
        <w:jc w:val="both"/>
        <w:rPr>
          <w:sz w:val="24"/>
          <w:szCs w:val="24"/>
          <w:lang w:val="fr-FR"/>
        </w:rPr>
      </w:pPr>
    </w:p>
    <w:p w14:paraId="09E9422D" w14:textId="77777777" w:rsidR="0042033D" w:rsidRDefault="0042033D">
      <w:pPr>
        <w:spacing w:after="60"/>
        <w:jc w:val="both"/>
        <w:rPr>
          <w:sz w:val="24"/>
          <w:szCs w:val="24"/>
          <w:lang w:val="fr-FR"/>
        </w:rPr>
      </w:pPr>
    </w:p>
    <w:p w14:paraId="549C6F0C" w14:textId="77777777" w:rsidR="0042033D" w:rsidRDefault="0042033D">
      <w:pPr>
        <w:spacing w:after="60"/>
        <w:jc w:val="both"/>
        <w:rPr>
          <w:sz w:val="24"/>
          <w:szCs w:val="24"/>
          <w:lang w:val="fr-FR"/>
        </w:rPr>
      </w:pPr>
    </w:p>
    <w:p w14:paraId="105CF545" w14:textId="77777777" w:rsidR="0042033D" w:rsidRDefault="0042033D">
      <w:pPr>
        <w:spacing w:after="60"/>
        <w:jc w:val="both"/>
        <w:rPr>
          <w:sz w:val="24"/>
          <w:szCs w:val="24"/>
          <w:lang w:val="fr-FR"/>
        </w:rPr>
      </w:pPr>
    </w:p>
    <w:p w14:paraId="593A0206" w14:textId="77777777" w:rsidR="0042033D" w:rsidRDefault="0042033D">
      <w:pPr>
        <w:spacing w:after="60"/>
        <w:jc w:val="both"/>
        <w:rPr>
          <w:sz w:val="24"/>
          <w:szCs w:val="24"/>
          <w:lang w:val="fr-FR"/>
        </w:rPr>
      </w:pPr>
    </w:p>
    <w:p w14:paraId="216C9598" w14:textId="77777777" w:rsidR="0042033D" w:rsidRDefault="0042033D">
      <w:pPr>
        <w:spacing w:after="60"/>
        <w:jc w:val="both"/>
        <w:rPr>
          <w:sz w:val="24"/>
          <w:szCs w:val="24"/>
          <w:lang w:val="fr-FR"/>
        </w:rPr>
      </w:pPr>
    </w:p>
    <w:p w14:paraId="5DB3B3E5" w14:textId="77777777" w:rsidR="0042033D" w:rsidRDefault="0042033D">
      <w:pPr>
        <w:spacing w:after="60"/>
        <w:jc w:val="both"/>
        <w:rPr>
          <w:sz w:val="24"/>
          <w:szCs w:val="24"/>
          <w:lang w:val="fr-FR"/>
        </w:rPr>
      </w:pPr>
    </w:p>
    <w:p w14:paraId="52094390" w14:textId="77777777" w:rsidR="0042033D" w:rsidRDefault="0042033D">
      <w:pPr>
        <w:spacing w:after="60"/>
        <w:jc w:val="both"/>
        <w:rPr>
          <w:sz w:val="24"/>
          <w:szCs w:val="24"/>
          <w:lang w:val="fr-FR"/>
        </w:rPr>
      </w:pPr>
    </w:p>
    <w:p w14:paraId="4871D051" w14:textId="77777777" w:rsidR="0042033D" w:rsidRDefault="0042033D">
      <w:pPr>
        <w:spacing w:after="60"/>
        <w:jc w:val="both"/>
        <w:rPr>
          <w:sz w:val="24"/>
          <w:szCs w:val="24"/>
          <w:lang w:val="fr-FR"/>
        </w:rPr>
      </w:pPr>
    </w:p>
    <w:p w14:paraId="51518792" w14:textId="77777777" w:rsidR="0042033D" w:rsidRDefault="0042033D">
      <w:pPr>
        <w:spacing w:after="60"/>
        <w:jc w:val="both"/>
        <w:rPr>
          <w:sz w:val="24"/>
          <w:szCs w:val="24"/>
          <w:lang w:val="fr-FR"/>
        </w:rPr>
      </w:pPr>
    </w:p>
    <w:p w14:paraId="3FCAC534" w14:textId="77777777" w:rsidR="0042033D" w:rsidRDefault="0042033D">
      <w:pPr>
        <w:spacing w:after="60"/>
        <w:jc w:val="both"/>
        <w:rPr>
          <w:sz w:val="24"/>
          <w:szCs w:val="24"/>
          <w:lang w:val="fr-FR"/>
        </w:rPr>
      </w:pPr>
    </w:p>
    <w:p w14:paraId="60FC3B93" w14:textId="77777777" w:rsidR="0042033D" w:rsidRDefault="0042033D">
      <w:pPr>
        <w:spacing w:after="60"/>
        <w:jc w:val="both"/>
        <w:rPr>
          <w:sz w:val="24"/>
          <w:szCs w:val="24"/>
          <w:lang w:val="fr-FR"/>
        </w:rPr>
      </w:pPr>
    </w:p>
    <w:p w14:paraId="5A2BF951" w14:textId="77777777" w:rsidR="004C3E51" w:rsidRDefault="004C3E51">
      <w:pPr>
        <w:spacing w:after="60"/>
        <w:jc w:val="both"/>
        <w:rPr>
          <w:sz w:val="24"/>
          <w:szCs w:val="24"/>
          <w:lang w:val="fr-FR"/>
        </w:rPr>
      </w:pPr>
    </w:p>
    <w:p w14:paraId="47864E85"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41" w:name="_Toc238821290"/>
      <w:r w:rsidRPr="005C594B">
        <w:rPr>
          <w:rFonts w:ascii="League Spartan" w:hAnsi="League Spartan"/>
          <w:sz w:val="40"/>
          <w:szCs w:val="40"/>
        </w:rPr>
        <w:lastRenderedPageBreak/>
        <w:t>11. Modèle opérationnel</w:t>
      </w:r>
      <w:bookmarkEnd w:id="41"/>
    </w:p>
    <w:p w14:paraId="067F0F2C" w14:textId="77777777" w:rsidR="0042033D" w:rsidRDefault="00000000">
      <w:pPr>
        <w:spacing w:after="60"/>
        <w:jc w:val="both"/>
        <w:rPr>
          <w:sz w:val="24"/>
          <w:szCs w:val="24"/>
        </w:rPr>
      </w:pPr>
      <w:r>
        <w:rPr>
          <w:sz w:val="24"/>
          <w:szCs w:val="24"/>
        </w:rPr>
        <w:t>Le modèle opérationnel repose sur la chaîne de production maîtrisée de douze étapes décrite en section 4 (approvisionnement, préparation, inoculation, bioconversion, criblage, séchage, contrôle qualité, conditionnement, distribution), documentée dans le manuel SOP version 1.0 et suivie quantitativement au quotidien par les fiches de production. Cette traçabilité permet d'optimiser en continu les rendements, de réduire les coûts et de répondre aux exigences qualité des marchés institutionnels.</w:t>
      </w:r>
    </w:p>
    <w:p w14:paraId="5375D011" w14:textId="77777777" w:rsidR="0042033D" w:rsidRDefault="00000000">
      <w:pPr>
        <w:pStyle w:val="Heading2"/>
        <w:spacing w:before="150" w:after="60"/>
        <w:rPr>
          <w:rFonts w:ascii="Times New Roman" w:hAnsi="Times New Roman"/>
        </w:rPr>
      </w:pPr>
      <w:bookmarkStart w:id="42" w:name="_Toc100042"/>
      <w:r>
        <w:rPr>
          <w:rFonts w:ascii="Times New Roman" w:hAnsi="Times New Roman"/>
        </w:rPr>
        <w:t>11.1 Capacité installée et taux d'utilisation</w:t>
      </w:r>
      <w:bookmarkEnd w:id="42"/>
    </w:p>
    <w:p w14:paraId="69BC0825" w14:textId="77777777" w:rsidR="0042033D" w:rsidRDefault="00000000">
      <w:pPr>
        <w:spacing w:after="60"/>
        <w:jc w:val="both"/>
        <w:rPr>
          <w:sz w:val="24"/>
          <w:szCs w:val="24"/>
        </w:rPr>
      </w:pPr>
      <w:r>
        <w:rPr>
          <w:sz w:val="24"/>
          <w:szCs w:val="24"/>
        </w:rPr>
        <w:t>La capacité installée récente est de 10 tonnes de frass par mois, avec un taux d’utilisation proche de la pleine charge. Le financement vise un palier de 18–22 tonnes par mois afin de créer une marge de sécurité par rapport au point mort et de permettre une croissance sans dépendre immédiatement d’une seconde implantation.</w:t>
      </w:r>
    </w:p>
    <w:p w14:paraId="6D9169D3" w14:textId="77777777" w:rsidR="0042033D" w:rsidRDefault="00000000">
      <w:pPr>
        <w:spacing w:before="80" w:after="30"/>
        <w:jc w:val="center"/>
        <w:rPr>
          <w:sz w:val="24"/>
          <w:szCs w:val="24"/>
        </w:rPr>
      </w:pPr>
      <w:r>
        <w:rPr>
          <w:noProof/>
          <w:sz w:val="24"/>
          <w:szCs w:val="24"/>
        </w:rPr>
        <w:drawing>
          <wp:anchor distT="0" distB="0" distL="114300" distR="114300" simplePos="0" relativeHeight="251663360" behindDoc="0" locked="0" layoutInCell="1" allowOverlap="1" wp14:anchorId="182C3208" wp14:editId="72881B3E">
            <wp:simplePos x="0" y="0"/>
            <wp:positionH relativeFrom="column">
              <wp:posOffset>-60960</wp:posOffset>
            </wp:positionH>
            <wp:positionV relativeFrom="paragraph">
              <wp:posOffset>0</wp:posOffset>
            </wp:positionV>
            <wp:extent cx="5937250" cy="2865120"/>
            <wp:effectExtent l="0" t="0" r="6350" b="0"/>
            <wp:wrapTopAndBottom/>
            <wp:docPr id="5" name="Picture 5" descr="Illustration du Business Plan Bio Source Farm — élément graphique 5" title="Graphique ou illustr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2865120"/>
                    </a:xfrm>
                    <a:prstGeom prst="rect">
                      <a:avLst/>
                    </a:prstGeom>
                  </pic:spPr>
                </pic:pic>
              </a:graphicData>
            </a:graphic>
            <wp14:sizeRelH relativeFrom="margin">
              <wp14:pctWidth>0</wp14:pctWidth>
            </wp14:sizeRelH>
            <wp14:sizeRelV relativeFrom="margin">
              <wp14:pctHeight>0</wp14:pctHeight>
            </wp14:sizeRelV>
          </wp:anchor>
        </w:drawing>
      </w:r>
    </w:p>
    <w:p w14:paraId="7E95C38D" w14:textId="77777777" w:rsidR="0042033D" w:rsidRDefault="00000000">
      <w:pPr>
        <w:spacing w:after="140" w:line="240" w:lineRule="auto"/>
        <w:jc w:val="center"/>
        <w:rPr>
          <w:sz w:val="24"/>
          <w:szCs w:val="24"/>
        </w:rPr>
      </w:pPr>
      <w:r>
        <w:rPr>
          <w:i/>
          <w:iCs/>
          <w:color w:val="5A6472"/>
          <w:sz w:val="24"/>
          <w:szCs w:val="24"/>
        </w:rPr>
        <w:t>Figure 5 — Évolution de la capacité de production de frass et taux d'utilisation (source : modèle financier interne)</w:t>
      </w:r>
    </w:p>
    <w:p w14:paraId="527BFAD2" w14:textId="77777777" w:rsidR="0042033D" w:rsidRDefault="00000000">
      <w:pPr>
        <w:pStyle w:val="Heading2"/>
        <w:spacing w:before="150" w:after="60"/>
        <w:rPr>
          <w:rFonts w:ascii="Times New Roman" w:hAnsi="Times New Roman"/>
        </w:rPr>
      </w:pPr>
      <w:bookmarkStart w:id="43" w:name="_Toc100043"/>
      <w:r>
        <w:rPr>
          <w:rFonts w:ascii="Times New Roman" w:hAnsi="Times New Roman"/>
        </w:rPr>
        <w:t>11.2 Équipements et infrastructures</w:t>
      </w:r>
      <w:bookmarkEnd w:id="43"/>
    </w:p>
    <w:p w14:paraId="79523B34" w14:textId="77777777" w:rsidR="0042033D" w:rsidRDefault="00000000">
      <w:pPr>
        <w:spacing w:after="60"/>
        <w:jc w:val="both"/>
        <w:rPr>
          <w:sz w:val="24"/>
          <w:szCs w:val="24"/>
        </w:rPr>
      </w:pPr>
      <w:r>
        <w:rPr>
          <w:sz w:val="24"/>
          <w:szCs w:val="24"/>
        </w:rPr>
        <w:t>Le site de production de Toamasina dispose d'un hangar BSF principal d'environ 200 m² (valeur d'origine 60 millions d'Ariary), de cinq machines de production dont l'amortissement mensuel cumulé s'élève à 966 000 MGA, d'un tracteur (amortissement 250 000 MGA par mois) et d'un Kubota dédié à la collecte (amortissement 120 000 MGA par mois). La dotation totale aux amortissements s'est élevée à 9,2 millions d'Ariary sur l'exercice 2023-2024, conformément au bilan certifié.</w:t>
      </w:r>
    </w:p>
    <w:p w14:paraId="62B62FD3" w14:textId="77777777" w:rsidR="0042033D" w:rsidRDefault="00000000">
      <w:pPr>
        <w:keepNext/>
        <w:spacing w:before="140" w:after="50" w:line="260" w:lineRule="auto"/>
        <w:rPr>
          <w:sz w:val="24"/>
          <w:szCs w:val="24"/>
        </w:rPr>
      </w:pPr>
      <w:r>
        <w:rPr>
          <w:rFonts w:eastAsia="Arial"/>
          <w:b/>
          <w:bCs/>
          <w:color w:val="1A2330"/>
          <w:sz w:val="24"/>
          <w:szCs w:val="24"/>
        </w:rPr>
        <w:lastRenderedPageBreak/>
        <w:t>Tableau 7 — Équipements actuels et plan de renforcement post-financement</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746"/>
        <w:gridCol w:w="1282"/>
        <w:gridCol w:w="2381"/>
        <w:gridCol w:w="2747"/>
      </w:tblGrid>
      <w:tr w:rsidR="0042033D" w14:paraId="7903B613" w14:textId="77777777">
        <w:trPr>
          <w:cantSplit/>
          <w:tblHeader/>
        </w:trPr>
        <w:tc>
          <w:tcPr>
            <w:tcW w:w="1500" w:type="pct"/>
            <w:shd w:val="clear" w:color="auto" w:fill="D4875A"/>
            <w:tcMar>
              <w:top w:w="36" w:type="dxa"/>
              <w:left w:w="80" w:type="dxa"/>
              <w:bottom w:w="36" w:type="dxa"/>
              <w:right w:w="80" w:type="dxa"/>
            </w:tcMar>
            <w:vAlign w:val="center"/>
          </w:tcPr>
          <w:p w14:paraId="0255AE43" w14:textId="77777777" w:rsidR="0042033D" w:rsidRDefault="00000000">
            <w:pPr>
              <w:spacing w:line="232" w:lineRule="auto"/>
              <w:jc w:val="center"/>
              <w:rPr>
                <w:sz w:val="24"/>
                <w:szCs w:val="24"/>
              </w:rPr>
            </w:pPr>
            <w:r>
              <w:rPr>
                <w:b/>
                <w:bCs/>
                <w:color w:val="FFFFFF"/>
                <w:sz w:val="24"/>
                <w:szCs w:val="24"/>
              </w:rPr>
              <w:t>Équipement</w:t>
            </w:r>
          </w:p>
        </w:tc>
        <w:tc>
          <w:tcPr>
            <w:tcW w:w="700" w:type="pct"/>
            <w:shd w:val="clear" w:color="auto" w:fill="D4875A"/>
            <w:tcMar>
              <w:top w:w="36" w:type="dxa"/>
              <w:left w:w="80" w:type="dxa"/>
              <w:bottom w:w="36" w:type="dxa"/>
              <w:right w:w="80" w:type="dxa"/>
            </w:tcMar>
            <w:vAlign w:val="center"/>
          </w:tcPr>
          <w:p w14:paraId="2C0AF671" w14:textId="77777777" w:rsidR="0042033D" w:rsidRDefault="00000000">
            <w:pPr>
              <w:spacing w:line="232" w:lineRule="auto"/>
              <w:jc w:val="center"/>
              <w:rPr>
                <w:sz w:val="24"/>
                <w:szCs w:val="24"/>
              </w:rPr>
            </w:pPr>
            <w:r>
              <w:rPr>
                <w:b/>
                <w:bCs/>
                <w:color w:val="FFFFFF"/>
                <w:sz w:val="24"/>
                <w:szCs w:val="24"/>
              </w:rPr>
              <w:t>Statut</w:t>
            </w:r>
          </w:p>
        </w:tc>
        <w:tc>
          <w:tcPr>
            <w:tcW w:w="1300" w:type="pct"/>
            <w:shd w:val="clear" w:color="auto" w:fill="D4875A"/>
            <w:tcMar>
              <w:top w:w="36" w:type="dxa"/>
              <w:left w:w="80" w:type="dxa"/>
              <w:bottom w:w="36" w:type="dxa"/>
              <w:right w:w="80" w:type="dxa"/>
            </w:tcMar>
            <w:vAlign w:val="center"/>
          </w:tcPr>
          <w:p w14:paraId="3B9D0613" w14:textId="77777777" w:rsidR="0042033D" w:rsidRDefault="00000000">
            <w:pPr>
              <w:spacing w:line="232" w:lineRule="auto"/>
              <w:jc w:val="center"/>
              <w:rPr>
                <w:sz w:val="24"/>
                <w:szCs w:val="24"/>
              </w:rPr>
            </w:pPr>
            <w:r>
              <w:rPr>
                <w:b/>
                <w:bCs/>
                <w:color w:val="FFFFFF"/>
                <w:sz w:val="24"/>
                <w:szCs w:val="24"/>
              </w:rPr>
              <w:t>Valeur / amortissement</w:t>
            </w:r>
          </w:p>
        </w:tc>
        <w:tc>
          <w:tcPr>
            <w:tcW w:w="1500" w:type="pct"/>
            <w:shd w:val="clear" w:color="auto" w:fill="D4875A"/>
            <w:tcMar>
              <w:top w:w="36" w:type="dxa"/>
              <w:left w:w="80" w:type="dxa"/>
              <w:bottom w:w="36" w:type="dxa"/>
              <w:right w:w="80" w:type="dxa"/>
            </w:tcMar>
            <w:vAlign w:val="center"/>
          </w:tcPr>
          <w:p w14:paraId="11FEDA27" w14:textId="77777777" w:rsidR="0042033D" w:rsidRDefault="00000000">
            <w:pPr>
              <w:spacing w:line="232" w:lineRule="auto"/>
              <w:jc w:val="center"/>
              <w:rPr>
                <w:sz w:val="24"/>
                <w:szCs w:val="24"/>
              </w:rPr>
            </w:pPr>
            <w:r>
              <w:rPr>
                <w:b/>
                <w:bCs/>
                <w:color w:val="FFFFFF"/>
                <w:sz w:val="24"/>
                <w:szCs w:val="24"/>
              </w:rPr>
              <w:t>Plan de renforcement</w:t>
            </w:r>
          </w:p>
        </w:tc>
      </w:tr>
      <w:tr w:rsidR="0042033D" w14:paraId="63319D69" w14:textId="77777777">
        <w:trPr>
          <w:cantSplit/>
        </w:trPr>
        <w:tc>
          <w:tcPr>
            <w:tcW w:w="1500" w:type="pct"/>
            <w:tcMar>
              <w:top w:w="28" w:type="dxa"/>
              <w:left w:w="80" w:type="dxa"/>
              <w:bottom w:w="28" w:type="dxa"/>
              <w:right w:w="80" w:type="dxa"/>
            </w:tcMar>
            <w:vAlign w:val="center"/>
          </w:tcPr>
          <w:p w14:paraId="1E6CE1AD" w14:textId="77777777" w:rsidR="0042033D" w:rsidRDefault="00000000">
            <w:pPr>
              <w:spacing w:line="232" w:lineRule="auto"/>
              <w:rPr>
                <w:sz w:val="24"/>
                <w:szCs w:val="24"/>
              </w:rPr>
            </w:pPr>
            <w:r>
              <w:rPr>
                <w:b/>
                <w:bCs/>
                <w:sz w:val="24"/>
                <w:szCs w:val="24"/>
              </w:rPr>
              <w:t>Hangar BSF principal (200 m²)</w:t>
            </w:r>
          </w:p>
        </w:tc>
        <w:tc>
          <w:tcPr>
            <w:tcW w:w="700" w:type="pct"/>
            <w:tcMar>
              <w:top w:w="28" w:type="dxa"/>
              <w:left w:w="80" w:type="dxa"/>
              <w:bottom w:w="28" w:type="dxa"/>
              <w:right w:w="80" w:type="dxa"/>
            </w:tcMar>
            <w:vAlign w:val="center"/>
          </w:tcPr>
          <w:p w14:paraId="521A7D8B" w14:textId="77777777" w:rsidR="0042033D" w:rsidRDefault="00000000">
            <w:pPr>
              <w:spacing w:line="232" w:lineRule="auto"/>
              <w:rPr>
                <w:sz w:val="24"/>
                <w:szCs w:val="24"/>
              </w:rPr>
            </w:pPr>
            <w:r>
              <w:rPr>
                <w:sz w:val="24"/>
                <w:szCs w:val="24"/>
              </w:rPr>
              <w:t>Acquis</w:t>
            </w:r>
          </w:p>
        </w:tc>
        <w:tc>
          <w:tcPr>
            <w:tcW w:w="1300" w:type="pct"/>
            <w:tcMar>
              <w:top w:w="28" w:type="dxa"/>
              <w:left w:w="80" w:type="dxa"/>
              <w:bottom w:w="28" w:type="dxa"/>
              <w:right w:w="80" w:type="dxa"/>
            </w:tcMar>
            <w:vAlign w:val="center"/>
          </w:tcPr>
          <w:p w14:paraId="5D4F1336" w14:textId="77777777" w:rsidR="0042033D" w:rsidRDefault="00000000">
            <w:pPr>
              <w:spacing w:line="232" w:lineRule="auto"/>
              <w:rPr>
                <w:sz w:val="24"/>
                <w:szCs w:val="24"/>
              </w:rPr>
            </w:pPr>
            <w:r>
              <w:rPr>
                <w:sz w:val="24"/>
                <w:szCs w:val="24"/>
              </w:rPr>
              <w:t>60 M MGA (valeur d'origine)</w:t>
            </w:r>
          </w:p>
        </w:tc>
        <w:tc>
          <w:tcPr>
            <w:tcW w:w="1500" w:type="pct"/>
            <w:tcMar>
              <w:top w:w="28" w:type="dxa"/>
              <w:left w:w="80" w:type="dxa"/>
              <w:bottom w:w="28" w:type="dxa"/>
              <w:right w:w="80" w:type="dxa"/>
            </w:tcMar>
            <w:vAlign w:val="center"/>
          </w:tcPr>
          <w:p w14:paraId="3DA0F707" w14:textId="77777777" w:rsidR="0042033D" w:rsidRDefault="00000000">
            <w:pPr>
              <w:spacing w:line="232" w:lineRule="auto"/>
              <w:rPr>
                <w:sz w:val="24"/>
                <w:szCs w:val="24"/>
              </w:rPr>
            </w:pPr>
            <w:r>
              <w:rPr>
                <w:sz w:val="24"/>
                <w:szCs w:val="24"/>
              </w:rPr>
              <w:t>Maintien et maintenance préventive</w:t>
            </w:r>
          </w:p>
        </w:tc>
      </w:tr>
      <w:tr w:rsidR="0042033D" w14:paraId="3BFA46FA" w14:textId="77777777">
        <w:trPr>
          <w:cantSplit/>
        </w:trPr>
        <w:tc>
          <w:tcPr>
            <w:tcW w:w="1500" w:type="pct"/>
            <w:tcMar>
              <w:top w:w="28" w:type="dxa"/>
              <w:left w:w="80" w:type="dxa"/>
              <w:bottom w:w="28" w:type="dxa"/>
              <w:right w:w="80" w:type="dxa"/>
            </w:tcMar>
            <w:vAlign w:val="center"/>
          </w:tcPr>
          <w:p w14:paraId="0170A522" w14:textId="77777777" w:rsidR="0042033D" w:rsidRDefault="00000000">
            <w:pPr>
              <w:spacing w:line="232" w:lineRule="auto"/>
              <w:rPr>
                <w:sz w:val="24"/>
                <w:szCs w:val="24"/>
              </w:rPr>
            </w:pPr>
            <w:r>
              <w:rPr>
                <w:b/>
                <w:bCs/>
                <w:sz w:val="24"/>
                <w:szCs w:val="24"/>
              </w:rPr>
              <w:t>Machines de production (5 unités)</w:t>
            </w:r>
          </w:p>
        </w:tc>
        <w:tc>
          <w:tcPr>
            <w:tcW w:w="700" w:type="pct"/>
            <w:tcMar>
              <w:top w:w="28" w:type="dxa"/>
              <w:left w:w="80" w:type="dxa"/>
              <w:bottom w:w="28" w:type="dxa"/>
              <w:right w:w="80" w:type="dxa"/>
            </w:tcMar>
            <w:vAlign w:val="center"/>
          </w:tcPr>
          <w:p w14:paraId="597BB09D" w14:textId="77777777" w:rsidR="0042033D" w:rsidRDefault="00000000">
            <w:pPr>
              <w:spacing w:line="232" w:lineRule="auto"/>
              <w:rPr>
                <w:sz w:val="24"/>
                <w:szCs w:val="24"/>
              </w:rPr>
            </w:pPr>
            <w:r>
              <w:rPr>
                <w:sz w:val="24"/>
                <w:szCs w:val="24"/>
              </w:rPr>
              <w:t>Acquises</w:t>
            </w:r>
          </w:p>
        </w:tc>
        <w:tc>
          <w:tcPr>
            <w:tcW w:w="1300" w:type="pct"/>
            <w:tcMar>
              <w:top w:w="28" w:type="dxa"/>
              <w:left w:w="80" w:type="dxa"/>
              <w:bottom w:w="28" w:type="dxa"/>
              <w:right w:w="80" w:type="dxa"/>
            </w:tcMar>
            <w:vAlign w:val="center"/>
          </w:tcPr>
          <w:p w14:paraId="793357C4" w14:textId="77777777" w:rsidR="0042033D" w:rsidRDefault="00000000">
            <w:pPr>
              <w:spacing w:line="232" w:lineRule="auto"/>
              <w:rPr>
                <w:sz w:val="24"/>
                <w:szCs w:val="24"/>
              </w:rPr>
            </w:pPr>
            <w:r>
              <w:rPr>
                <w:sz w:val="24"/>
                <w:szCs w:val="24"/>
              </w:rPr>
              <w:t>966 000 MGA/mois cumulés</w:t>
            </w:r>
          </w:p>
        </w:tc>
        <w:tc>
          <w:tcPr>
            <w:tcW w:w="1500" w:type="pct"/>
            <w:tcMar>
              <w:top w:w="28" w:type="dxa"/>
              <w:left w:w="80" w:type="dxa"/>
              <w:bottom w:w="28" w:type="dxa"/>
              <w:right w:w="80" w:type="dxa"/>
            </w:tcMar>
            <w:vAlign w:val="center"/>
          </w:tcPr>
          <w:p w14:paraId="41BAF29D" w14:textId="77777777" w:rsidR="0042033D" w:rsidRDefault="00000000">
            <w:pPr>
              <w:spacing w:line="232" w:lineRule="auto"/>
              <w:rPr>
                <w:sz w:val="24"/>
                <w:szCs w:val="24"/>
              </w:rPr>
            </w:pPr>
            <w:r>
              <w:rPr>
                <w:sz w:val="24"/>
                <w:szCs w:val="24"/>
              </w:rPr>
              <w:t>Maintien et maintenance préventive</w:t>
            </w:r>
          </w:p>
        </w:tc>
      </w:tr>
      <w:tr w:rsidR="0042033D" w14:paraId="428A2F3F" w14:textId="77777777">
        <w:trPr>
          <w:cantSplit/>
        </w:trPr>
        <w:tc>
          <w:tcPr>
            <w:tcW w:w="1500" w:type="pct"/>
            <w:tcMar>
              <w:top w:w="28" w:type="dxa"/>
              <w:left w:w="80" w:type="dxa"/>
              <w:bottom w:w="28" w:type="dxa"/>
              <w:right w:w="80" w:type="dxa"/>
            </w:tcMar>
            <w:vAlign w:val="center"/>
          </w:tcPr>
          <w:p w14:paraId="0B81CBC6" w14:textId="77777777" w:rsidR="0042033D" w:rsidRDefault="00000000">
            <w:pPr>
              <w:spacing w:line="232" w:lineRule="auto"/>
              <w:rPr>
                <w:sz w:val="24"/>
                <w:szCs w:val="24"/>
              </w:rPr>
            </w:pPr>
            <w:r>
              <w:rPr>
                <w:b/>
                <w:bCs/>
                <w:sz w:val="24"/>
                <w:szCs w:val="24"/>
              </w:rPr>
              <w:t>Tracteur de collecte</w:t>
            </w:r>
          </w:p>
        </w:tc>
        <w:tc>
          <w:tcPr>
            <w:tcW w:w="700" w:type="pct"/>
            <w:tcMar>
              <w:top w:w="28" w:type="dxa"/>
              <w:left w:w="80" w:type="dxa"/>
              <w:bottom w:w="28" w:type="dxa"/>
              <w:right w:w="80" w:type="dxa"/>
            </w:tcMar>
            <w:vAlign w:val="center"/>
          </w:tcPr>
          <w:p w14:paraId="0D733470" w14:textId="77777777" w:rsidR="0042033D" w:rsidRDefault="00000000">
            <w:pPr>
              <w:spacing w:line="232" w:lineRule="auto"/>
              <w:rPr>
                <w:sz w:val="24"/>
                <w:szCs w:val="24"/>
              </w:rPr>
            </w:pPr>
            <w:r>
              <w:rPr>
                <w:sz w:val="24"/>
                <w:szCs w:val="24"/>
              </w:rPr>
              <w:t>Acquis</w:t>
            </w:r>
          </w:p>
        </w:tc>
        <w:tc>
          <w:tcPr>
            <w:tcW w:w="1300" w:type="pct"/>
            <w:tcMar>
              <w:top w:w="28" w:type="dxa"/>
              <w:left w:w="80" w:type="dxa"/>
              <w:bottom w:w="28" w:type="dxa"/>
              <w:right w:w="80" w:type="dxa"/>
            </w:tcMar>
            <w:vAlign w:val="center"/>
          </w:tcPr>
          <w:p w14:paraId="17AF676F" w14:textId="77777777" w:rsidR="0042033D" w:rsidRDefault="00000000">
            <w:pPr>
              <w:spacing w:line="232" w:lineRule="auto"/>
              <w:rPr>
                <w:sz w:val="24"/>
                <w:szCs w:val="24"/>
              </w:rPr>
            </w:pPr>
            <w:r>
              <w:rPr>
                <w:sz w:val="24"/>
                <w:szCs w:val="24"/>
              </w:rPr>
              <w:t>250 000 MGA/mois</w:t>
            </w:r>
          </w:p>
        </w:tc>
        <w:tc>
          <w:tcPr>
            <w:tcW w:w="1500" w:type="pct"/>
            <w:tcMar>
              <w:top w:w="28" w:type="dxa"/>
              <w:left w:w="80" w:type="dxa"/>
              <w:bottom w:w="28" w:type="dxa"/>
              <w:right w:w="80" w:type="dxa"/>
            </w:tcMar>
            <w:vAlign w:val="center"/>
          </w:tcPr>
          <w:p w14:paraId="3F1FD063" w14:textId="77777777" w:rsidR="0042033D" w:rsidRDefault="00000000">
            <w:pPr>
              <w:spacing w:line="232" w:lineRule="auto"/>
              <w:rPr>
                <w:sz w:val="24"/>
                <w:szCs w:val="24"/>
              </w:rPr>
            </w:pPr>
            <w:r>
              <w:rPr>
                <w:sz w:val="24"/>
                <w:szCs w:val="24"/>
              </w:rPr>
              <w:t>Maintien et maintenance préventive</w:t>
            </w:r>
          </w:p>
        </w:tc>
      </w:tr>
      <w:tr w:rsidR="0042033D" w14:paraId="29F08C65" w14:textId="77777777">
        <w:trPr>
          <w:cantSplit/>
        </w:trPr>
        <w:tc>
          <w:tcPr>
            <w:tcW w:w="1500" w:type="pct"/>
            <w:tcMar>
              <w:top w:w="28" w:type="dxa"/>
              <w:left w:w="80" w:type="dxa"/>
              <w:bottom w:w="28" w:type="dxa"/>
              <w:right w:w="80" w:type="dxa"/>
            </w:tcMar>
            <w:vAlign w:val="center"/>
          </w:tcPr>
          <w:p w14:paraId="4A435017" w14:textId="77777777" w:rsidR="0042033D" w:rsidRDefault="00000000">
            <w:pPr>
              <w:spacing w:line="232" w:lineRule="auto"/>
              <w:rPr>
                <w:sz w:val="24"/>
                <w:szCs w:val="24"/>
              </w:rPr>
            </w:pPr>
            <w:r>
              <w:rPr>
                <w:b/>
                <w:bCs/>
                <w:sz w:val="24"/>
                <w:szCs w:val="24"/>
              </w:rPr>
              <w:t>Kubota de collecte</w:t>
            </w:r>
          </w:p>
        </w:tc>
        <w:tc>
          <w:tcPr>
            <w:tcW w:w="700" w:type="pct"/>
            <w:tcMar>
              <w:top w:w="28" w:type="dxa"/>
              <w:left w:w="80" w:type="dxa"/>
              <w:bottom w:w="28" w:type="dxa"/>
              <w:right w:w="80" w:type="dxa"/>
            </w:tcMar>
            <w:vAlign w:val="center"/>
          </w:tcPr>
          <w:p w14:paraId="136451C8" w14:textId="77777777" w:rsidR="0042033D" w:rsidRDefault="00000000">
            <w:pPr>
              <w:spacing w:line="232" w:lineRule="auto"/>
              <w:rPr>
                <w:sz w:val="24"/>
                <w:szCs w:val="24"/>
              </w:rPr>
            </w:pPr>
            <w:r>
              <w:rPr>
                <w:sz w:val="24"/>
                <w:szCs w:val="24"/>
              </w:rPr>
              <w:t>Acquis</w:t>
            </w:r>
          </w:p>
        </w:tc>
        <w:tc>
          <w:tcPr>
            <w:tcW w:w="1300" w:type="pct"/>
            <w:tcMar>
              <w:top w:w="28" w:type="dxa"/>
              <w:left w:w="80" w:type="dxa"/>
              <w:bottom w:w="28" w:type="dxa"/>
              <w:right w:w="80" w:type="dxa"/>
            </w:tcMar>
            <w:vAlign w:val="center"/>
          </w:tcPr>
          <w:p w14:paraId="0AA22DD1" w14:textId="77777777" w:rsidR="0042033D" w:rsidRDefault="00000000">
            <w:pPr>
              <w:spacing w:line="232" w:lineRule="auto"/>
              <w:rPr>
                <w:sz w:val="24"/>
                <w:szCs w:val="24"/>
              </w:rPr>
            </w:pPr>
            <w:r>
              <w:rPr>
                <w:sz w:val="24"/>
                <w:szCs w:val="24"/>
              </w:rPr>
              <w:t>120 000 MGA/mois</w:t>
            </w:r>
          </w:p>
        </w:tc>
        <w:tc>
          <w:tcPr>
            <w:tcW w:w="1500" w:type="pct"/>
            <w:tcMar>
              <w:top w:w="28" w:type="dxa"/>
              <w:left w:w="80" w:type="dxa"/>
              <w:bottom w:w="28" w:type="dxa"/>
              <w:right w:w="80" w:type="dxa"/>
            </w:tcMar>
            <w:vAlign w:val="center"/>
          </w:tcPr>
          <w:p w14:paraId="0AC45B55" w14:textId="77777777" w:rsidR="0042033D" w:rsidRDefault="00000000">
            <w:pPr>
              <w:spacing w:line="232" w:lineRule="auto"/>
              <w:rPr>
                <w:sz w:val="24"/>
                <w:szCs w:val="24"/>
              </w:rPr>
            </w:pPr>
            <w:r>
              <w:rPr>
                <w:sz w:val="24"/>
                <w:szCs w:val="24"/>
              </w:rPr>
              <w:t>Maintien et maintenance préventive</w:t>
            </w:r>
          </w:p>
        </w:tc>
      </w:tr>
      <w:tr w:rsidR="0042033D" w14:paraId="2EE429F9" w14:textId="77777777">
        <w:trPr>
          <w:cantSplit/>
        </w:trPr>
        <w:tc>
          <w:tcPr>
            <w:tcW w:w="1500" w:type="pct"/>
            <w:tcMar>
              <w:top w:w="28" w:type="dxa"/>
              <w:left w:w="80" w:type="dxa"/>
              <w:bottom w:w="28" w:type="dxa"/>
              <w:right w:w="80" w:type="dxa"/>
            </w:tcMar>
            <w:vAlign w:val="center"/>
          </w:tcPr>
          <w:p w14:paraId="0C46C13B" w14:textId="77777777" w:rsidR="0042033D" w:rsidRDefault="00000000">
            <w:pPr>
              <w:spacing w:line="232" w:lineRule="auto"/>
              <w:rPr>
                <w:sz w:val="24"/>
                <w:szCs w:val="24"/>
              </w:rPr>
            </w:pPr>
            <w:r>
              <w:rPr>
                <w:b/>
                <w:bCs/>
                <w:sz w:val="24"/>
                <w:szCs w:val="24"/>
              </w:rPr>
              <w:t>Sécheurs solaires complémentaires</w:t>
            </w:r>
          </w:p>
        </w:tc>
        <w:tc>
          <w:tcPr>
            <w:tcW w:w="700" w:type="pct"/>
            <w:tcMar>
              <w:top w:w="28" w:type="dxa"/>
              <w:left w:w="80" w:type="dxa"/>
              <w:bottom w:w="28" w:type="dxa"/>
              <w:right w:w="80" w:type="dxa"/>
            </w:tcMar>
            <w:vAlign w:val="center"/>
          </w:tcPr>
          <w:p w14:paraId="116FB34D" w14:textId="77777777" w:rsidR="0042033D" w:rsidRDefault="00000000">
            <w:pPr>
              <w:spacing w:line="232" w:lineRule="auto"/>
              <w:rPr>
                <w:sz w:val="24"/>
                <w:szCs w:val="24"/>
              </w:rPr>
            </w:pPr>
            <w:r>
              <w:rPr>
                <w:sz w:val="24"/>
                <w:szCs w:val="24"/>
              </w:rPr>
              <w:t>À acquérir</w:t>
            </w:r>
          </w:p>
        </w:tc>
        <w:tc>
          <w:tcPr>
            <w:tcW w:w="1300" w:type="pct"/>
            <w:tcMar>
              <w:top w:w="28" w:type="dxa"/>
              <w:left w:w="80" w:type="dxa"/>
              <w:bottom w:w="28" w:type="dxa"/>
              <w:right w:w="80" w:type="dxa"/>
            </w:tcMar>
            <w:vAlign w:val="center"/>
          </w:tcPr>
          <w:p w14:paraId="053E53AA" w14:textId="77777777" w:rsidR="0042033D" w:rsidRDefault="00000000">
            <w:pPr>
              <w:spacing w:line="232" w:lineRule="auto"/>
              <w:rPr>
                <w:sz w:val="24"/>
                <w:szCs w:val="24"/>
              </w:rPr>
            </w:pPr>
            <w:r>
              <w:rPr>
                <w:sz w:val="24"/>
                <w:szCs w:val="24"/>
              </w:rPr>
              <w:t>3 500 $ (CAPEX)</w:t>
            </w:r>
          </w:p>
        </w:tc>
        <w:tc>
          <w:tcPr>
            <w:tcW w:w="1500" w:type="pct"/>
            <w:tcMar>
              <w:top w:w="28" w:type="dxa"/>
              <w:left w:w="80" w:type="dxa"/>
              <w:bottom w:w="28" w:type="dxa"/>
              <w:right w:w="80" w:type="dxa"/>
            </w:tcMar>
            <w:vAlign w:val="center"/>
          </w:tcPr>
          <w:p w14:paraId="431C4732" w14:textId="77777777" w:rsidR="0042033D" w:rsidRDefault="00000000">
            <w:pPr>
              <w:spacing w:line="232" w:lineRule="auto"/>
              <w:rPr>
                <w:sz w:val="24"/>
                <w:szCs w:val="24"/>
              </w:rPr>
            </w:pPr>
            <w:r>
              <w:rPr>
                <w:sz w:val="24"/>
                <w:szCs w:val="24"/>
              </w:rPr>
              <w:t>Poste 1 du plan de 50 000 $</w:t>
            </w:r>
          </w:p>
        </w:tc>
      </w:tr>
      <w:tr w:rsidR="0042033D" w14:paraId="2C8BDF87" w14:textId="77777777">
        <w:trPr>
          <w:cantSplit/>
        </w:trPr>
        <w:tc>
          <w:tcPr>
            <w:tcW w:w="1500" w:type="pct"/>
            <w:tcMar>
              <w:top w:w="28" w:type="dxa"/>
              <w:left w:w="80" w:type="dxa"/>
              <w:bottom w:w="28" w:type="dxa"/>
              <w:right w:w="80" w:type="dxa"/>
            </w:tcMar>
            <w:vAlign w:val="center"/>
          </w:tcPr>
          <w:p w14:paraId="022B0303" w14:textId="77777777" w:rsidR="0042033D" w:rsidRDefault="00000000">
            <w:pPr>
              <w:spacing w:line="232" w:lineRule="auto"/>
              <w:rPr>
                <w:sz w:val="24"/>
                <w:szCs w:val="24"/>
              </w:rPr>
            </w:pPr>
            <w:r>
              <w:rPr>
                <w:b/>
                <w:bCs/>
                <w:sz w:val="24"/>
                <w:szCs w:val="24"/>
              </w:rPr>
              <w:t>Circuit mécanique de séchage-broyage ligne larves</w:t>
            </w:r>
          </w:p>
        </w:tc>
        <w:tc>
          <w:tcPr>
            <w:tcW w:w="700" w:type="pct"/>
            <w:tcMar>
              <w:top w:w="28" w:type="dxa"/>
              <w:left w:w="80" w:type="dxa"/>
              <w:bottom w:w="28" w:type="dxa"/>
              <w:right w:w="80" w:type="dxa"/>
            </w:tcMar>
            <w:vAlign w:val="center"/>
          </w:tcPr>
          <w:p w14:paraId="471F3D7E" w14:textId="77777777" w:rsidR="0042033D" w:rsidRDefault="00000000">
            <w:pPr>
              <w:spacing w:line="232" w:lineRule="auto"/>
              <w:rPr>
                <w:sz w:val="24"/>
                <w:szCs w:val="24"/>
              </w:rPr>
            </w:pPr>
            <w:r>
              <w:rPr>
                <w:sz w:val="24"/>
                <w:szCs w:val="24"/>
              </w:rPr>
              <w:t>À acquérir</w:t>
            </w:r>
          </w:p>
        </w:tc>
        <w:tc>
          <w:tcPr>
            <w:tcW w:w="1300" w:type="pct"/>
            <w:tcMar>
              <w:top w:w="28" w:type="dxa"/>
              <w:left w:w="80" w:type="dxa"/>
              <w:bottom w:w="28" w:type="dxa"/>
              <w:right w:w="80" w:type="dxa"/>
            </w:tcMar>
            <w:vAlign w:val="center"/>
          </w:tcPr>
          <w:p w14:paraId="1486D57B" w14:textId="77777777" w:rsidR="0042033D" w:rsidRDefault="00000000">
            <w:pPr>
              <w:spacing w:line="232" w:lineRule="auto"/>
              <w:rPr>
                <w:sz w:val="24"/>
                <w:szCs w:val="24"/>
              </w:rPr>
            </w:pPr>
            <w:r>
              <w:rPr>
                <w:sz w:val="24"/>
                <w:szCs w:val="24"/>
              </w:rPr>
              <w:t>3 500 $ (inclus CAPEX)</w:t>
            </w:r>
          </w:p>
        </w:tc>
        <w:tc>
          <w:tcPr>
            <w:tcW w:w="1500" w:type="pct"/>
            <w:tcMar>
              <w:top w:w="28" w:type="dxa"/>
              <w:left w:w="80" w:type="dxa"/>
              <w:bottom w:w="28" w:type="dxa"/>
              <w:right w:w="80" w:type="dxa"/>
            </w:tcMar>
            <w:vAlign w:val="center"/>
          </w:tcPr>
          <w:p w14:paraId="13B89DD6" w14:textId="77777777" w:rsidR="0042033D" w:rsidRDefault="00000000">
            <w:pPr>
              <w:spacing w:line="232" w:lineRule="auto"/>
              <w:rPr>
                <w:sz w:val="24"/>
                <w:szCs w:val="24"/>
              </w:rPr>
            </w:pPr>
            <w:r>
              <w:rPr>
                <w:sz w:val="24"/>
                <w:szCs w:val="24"/>
              </w:rPr>
              <w:t>Industrialisation de la ligne protéines</w:t>
            </w:r>
          </w:p>
        </w:tc>
      </w:tr>
      <w:tr w:rsidR="0042033D" w14:paraId="7C943E1B" w14:textId="77777777">
        <w:trPr>
          <w:cantSplit/>
        </w:trPr>
        <w:tc>
          <w:tcPr>
            <w:tcW w:w="1500" w:type="pct"/>
            <w:tcMar>
              <w:top w:w="28" w:type="dxa"/>
              <w:left w:w="80" w:type="dxa"/>
              <w:bottom w:w="28" w:type="dxa"/>
              <w:right w:w="80" w:type="dxa"/>
            </w:tcMar>
            <w:vAlign w:val="center"/>
          </w:tcPr>
          <w:p w14:paraId="0D0B0E25" w14:textId="77777777" w:rsidR="0042033D" w:rsidRDefault="00000000">
            <w:pPr>
              <w:spacing w:line="232" w:lineRule="auto"/>
              <w:rPr>
                <w:sz w:val="24"/>
                <w:szCs w:val="24"/>
              </w:rPr>
            </w:pPr>
            <w:r>
              <w:rPr>
                <w:b/>
                <w:bCs/>
                <w:sz w:val="24"/>
                <w:szCs w:val="24"/>
              </w:rPr>
              <w:t>Mélangeurs industriels</w:t>
            </w:r>
          </w:p>
        </w:tc>
        <w:tc>
          <w:tcPr>
            <w:tcW w:w="700" w:type="pct"/>
            <w:tcMar>
              <w:top w:w="28" w:type="dxa"/>
              <w:left w:w="80" w:type="dxa"/>
              <w:bottom w:w="28" w:type="dxa"/>
              <w:right w:w="80" w:type="dxa"/>
            </w:tcMar>
            <w:vAlign w:val="center"/>
          </w:tcPr>
          <w:p w14:paraId="7C2A5B95" w14:textId="77777777" w:rsidR="0042033D" w:rsidRDefault="00000000">
            <w:pPr>
              <w:spacing w:line="232" w:lineRule="auto"/>
              <w:rPr>
                <w:sz w:val="24"/>
                <w:szCs w:val="24"/>
              </w:rPr>
            </w:pPr>
            <w:r>
              <w:rPr>
                <w:sz w:val="24"/>
                <w:szCs w:val="24"/>
              </w:rPr>
              <w:t>À acquérir</w:t>
            </w:r>
          </w:p>
        </w:tc>
        <w:tc>
          <w:tcPr>
            <w:tcW w:w="1300" w:type="pct"/>
            <w:tcMar>
              <w:top w:w="28" w:type="dxa"/>
              <w:left w:w="80" w:type="dxa"/>
              <w:bottom w:w="28" w:type="dxa"/>
              <w:right w:w="80" w:type="dxa"/>
            </w:tcMar>
            <w:vAlign w:val="center"/>
          </w:tcPr>
          <w:p w14:paraId="0008618A" w14:textId="77777777" w:rsidR="0042033D" w:rsidRDefault="00000000">
            <w:pPr>
              <w:spacing w:line="232" w:lineRule="auto"/>
              <w:rPr>
                <w:sz w:val="24"/>
                <w:szCs w:val="24"/>
              </w:rPr>
            </w:pPr>
            <w:r>
              <w:rPr>
                <w:sz w:val="24"/>
                <w:szCs w:val="24"/>
              </w:rPr>
              <w:t>1 500 $ (CAPEX)</w:t>
            </w:r>
          </w:p>
        </w:tc>
        <w:tc>
          <w:tcPr>
            <w:tcW w:w="1500" w:type="pct"/>
            <w:tcMar>
              <w:top w:w="28" w:type="dxa"/>
              <w:left w:w="80" w:type="dxa"/>
              <w:bottom w:w="28" w:type="dxa"/>
              <w:right w:w="80" w:type="dxa"/>
            </w:tcMar>
            <w:vAlign w:val="center"/>
          </w:tcPr>
          <w:p w14:paraId="5C9288BA" w14:textId="77777777" w:rsidR="0042033D" w:rsidRDefault="00000000">
            <w:pPr>
              <w:spacing w:line="232" w:lineRule="auto"/>
              <w:rPr>
                <w:sz w:val="24"/>
                <w:szCs w:val="24"/>
              </w:rPr>
            </w:pPr>
            <w:r>
              <w:rPr>
                <w:sz w:val="24"/>
                <w:szCs w:val="24"/>
              </w:rPr>
              <w:t>Poste 1 du plan de 50 000 $</w:t>
            </w:r>
          </w:p>
        </w:tc>
      </w:tr>
      <w:tr w:rsidR="0042033D" w14:paraId="640F457A" w14:textId="77777777">
        <w:trPr>
          <w:cantSplit/>
        </w:trPr>
        <w:tc>
          <w:tcPr>
            <w:tcW w:w="1500" w:type="pct"/>
            <w:tcMar>
              <w:top w:w="28" w:type="dxa"/>
              <w:left w:w="80" w:type="dxa"/>
              <w:bottom w:w="28" w:type="dxa"/>
              <w:right w:w="80" w:type="dxa"/>
            </w:tcMar>
            <w:vAlign w:val="center"/>
          </w:tcPr>
          <w:p w14:paraId="5E1F86EC" w14:textId="77777777" w:rsidR="0042033D" w:rsidRDefault="00000000">
            <w:pPr>
              <w:spacing w:line="232" w:lineRule="auto"/>
              <w:rPr>
                <w:sz w:val="24"/>
                <w:szCs w:val="24"/>
              </w:rPr>
            </w:pPr>
            <w:r>
              <w:rPr>
                <w:b/>
                <w:bCs/>
                <w:sz w:val="24"/>
                <w:szCs w:val="24"/>
              </w:rPr>
              <w:t>Tables de séparation larves/frass et conditionnement</w:t>
            </w:r>
          </w:p>
        </w:tc>
        <w:tc>
          <w:tcPr>
            <w:tcW w:w="700" w:type="pct"/>
            <w:tcMar>
              <w:top w:w="28" w:type="dxa"/>
              <w:left w:w="80" w:type="dxa"/>
              <w:bottom w:w="28" w:type="dxa"/>
              <w:right w:w="80" w:type="dxa"/>
            </w:tcMar>
            <w:vAlign w:val="center"/>
          </w:tcPr>
          <w:p w14:paraId="7A87E1F9" w14:textId="77777777" w:rsidR="0042033D" w:rsidRDefault="00000000">
            <w:pPr>
              <w:spacing w:line="232" w:lineRule="auto"/>
              <w:rPr>
                <w:sz w:val="24"/>
                <w:szCs w:val="24"/>
              </w:rPr>
            </w:pPr>
            <w:r>
              <w:rPr>
                <w:sz w:val="24"/>
                <w:szCs w:val="24"/>
              </w:rPr>
              <w:t>À acquérir</w:t>
            </w:r>
          </w:p>
        </w:tc>
        <w:tc>
          <w:tcPr>
            <w:tcW w:w="1300" w:type="pct"/>
            <w:tcMar>
              <w:top w:w="28" w:type="dxa"/>
              <w:left w:w="80" w:type="dxa"/>
              <w:bottom w:w="28" w:type="dxa"/>
              <w:right w:w="80" w:type="dxa"/>
            </w:tcMar>
            <w:vAlign w:val="center"/>
          </w:tcPr>
          <w:p w14:paraId="49F51048" w14:textId="77777777" w:rsidR="0042033D" w:rsidRDefault="00000000">
            <w:pPr>
              <w:spacing w:line="232" w:lineRule="auto"/>
              <w:rPr>
                <w:sz w:val="24"/>
                <w:szCs w:val="24"/>
              </w:rPr>
            </w:pPr>
            <w:r>
              <w:rPr>
                <w:sz w:val="24"/>
                <w:szCs w:val="24"/>
              </w:rPr>
              <w:t>1 000 $ (CAPEX)</w:t>
            </w:r>
          </w:p>
        </w:tc>
        <w:tc>
          <w:tcPr>
            <w:tcW w:w="1500" w:type="pct"/>
            <w:tcMar>
              <w:top w:w="28" w:type="dxa"/>
              <w:left w:w="80" w:type="dxa"/>
              <w:bottom w:w="28" w:type="dxa"/>
              <w:right w:w="80" w:type="dxa"/>
            </w:tcMar>
            <w:vAlign w:val="center"/>
          </w:tcPr>
          <w:p w14:paraId="597E79B0" w14:textId="77777777" w:rsidR="0042033D" w:rsidRDefault="00000000">
            <w:pPr>
              <w:spacing w:line="232" w:lineRule="auto"/>
              <w:rPr>
                <w:sz w:val="24"/>
                <w:szCs w:val="24"/>
              </w:rPr>
            </w:pPr>
            <w:r>
              <w:rPr>
                <w:sz w:val="24"/>
                <w:szCs w:val="24"/>
              </w:rPr>
              <w:t>Poste 1 du plan de 50 000 $</w:t>
            </w:r>
          </w:p>
        </w:tc>
      </w:tr>
      <w:tr w:rsidR="0042033D" w14:paraId="290F980A" w14:textId="77777777">
        <w:trPr>
          <w:cantSplit/>
        </w:trPr>
        <w:tc>
          <w:tcPr>
            <w:tcW w:w="1500" w:type="pct"/>
            <w:tcMar>
              <w:top w:w="28" w:type="dxa"/>
              <w:left w:w="80" w:type="dxa"/>
              <w:bottom w:w="28" w:type="dxa"/>
              <w:right w:w="80" w:type="dxa"/>
            </w:tcMar>
            <w:vAlign w:val="center"/>
          </w:tcPr>
          <w:p w14:paraId="38E952C8" w14:textId="77777777" w:rsidR="0042033D" w:rsidRDefault="00000000">
            <w:pPr>
              <w:spacing w:line="232" w:lineRule="auto"/>
              <w:rPr>
                <w:sz w:val="24"/>
                <w:szCs w:val="24"/>
              </w:rPr>
            </w:pPr>
            <w:r>
              <w:rPr>
                <w:b/>
                <w:bCs/>
                <w:sz w:val="24"/>
                <w:szCs w:val="24"/>
              </w:rPr>
              <w:t>Bacs d'élevage additionnels</w:t>
            </w:r>
          </w:p>
        </w:tc>
        <w:tc>
          <w:tcPr>
            <w:tcW w:w="700" w:type="pct"/>
            <w:tcMar>
              <w:top w:w="28" w:type="dxa"/>
              <w:left w:w="80" w:type="dxa"/>
              <w:bottom w:w="28" w:type="dxa"/>
              <w:right w:w="80" w:type="dxa"/>
            </w:tcMar>
            <w:vAlign w:val="center"/>
          </w:tcPr>
          <w:p w14:paraId="6A1986FD" w14:textId="77777777" w:rsidR="0042033D" w:rsidRDefault="00000000">
            <w:pPr>
              <w:spacing w:line="232" w:lineRule="auto"/>
              <w:rPr>
                <w:sz w:val="24"/>
                <w:szCs w:val="24"/>
              </w:rPr>
            </w:pPr>
            <w:r>
              <w:rPr>
                <w:sz w:val="24"/>
                <w:szCs w:val="24"/>
              </w:rPr>
              <w:t>À acquérir</w:t>
            </w:r>
          </w:p>
        </w:tc>
        <w:tc>
          <w:tcPr>
            <w:tcW w:w="1300" w:type="pct"/>
            <w:tcMar>
              <w:top w:w="28" w:type="dxa"/>
              <w:left w:w="80" w:type="dxa"/>
              <w:bottom w:w="28" w:type="dxa"/>
              <w:right w:w="80" w:type="dxa"/>
            </w:tcMar>
            <w:vAlign w:val="center"/>
          </w:tcPr>
          <w:p w14:paraId="705C8AEC" w14:textId="77777777" w:rsidR="0042033D" w:rsidRDefault="00000000">
            <w:pPr>
              <w:spacing w:line="232" w:lineRule="auto"/>
              <w:rPr>
                <w:sz w:val="24"/>
                <w:szCs w:val="24"/>
              </w:rPr>
            </w:pPr>
            <w:r>
              <w:rPr>
                <w:sz w:val="24"/>
                <w:szCs w:val="24"/>
              </w:rPr>
              <w:t>2 500 $</w:t>
            </w:r>
          </w:p>
        </w:tc>
        <w:tc>
          <w:tcPr>
            <w:tcW w:w="1500" w:type="pct"/>
            <w:tcMar>
              <w:top w:w="28" w:type="dxa"/>
              <w:left w:w="80" w:type="dxa"/>
              <w:bottom w:w="28" w:type="dxa"/>
              <w:right w:w="80" w:type="dxa"/>
            </w:tcMar>
            <w:vAlign w:val="center"/>
          </w:tcPr>
          <w:p w14:paraId="294A78F8" w14:textId="77777777" w:rsidR="0042033D" w:rsidRDefault="00000000">
            <w:pPr>
              <w:spacing w:line="232" w:lineRule="auto"/>
              <w:rPr>
                <w:sz w:val="24"/>
                <w:szCs w:val="24"/>
              </w:rPr>
            </w:pPr>
            <w:r>
              <w:rPr>
                <w:sz w:val="24"/>
                <w:szCs w:val="24"/>
              </w:rPr>
              <w:t>Poste 2 du plan de 50 000 $</w:t>
            </w:r>
          </w:p>
        </w:tc>
      </w:tr>
      <w:tr w:rsidR="0042033D" w14:paraId="4DFF3E22" w14:textId="77777777">
        <w:trPr>
          <w:cantSplit/>
        </w:trPr>
        <w:tc>
          <w:tcPr>
            <w:tcW w:w="1500" w:type="pct"/>
            <w:tcMar>
              <w:top w:w="28" w:type="dxa"/>
              <w:left w:w="80" w:type="dxa"/>
              <w:bottom w:w="28" w:type="dxa"/>
              <w:right w:w="80" w:type="dxa"/>
            </w:tcMar>
            <w:vAlign w:val="center"/>
          </w:tcPr>
          <w:p w14:paraId="56487838" w14:textId="77777777" w:rsidR="0042033D" w:rsidRDefault="00000000">
            <w:pPr>
              <w:spacing w:line="232" w:lineRule="auto"/>
              <w:rPr>
                <w:sz w:val="24"/>
                <w:szCs w:val="24"/>
              </w:rPr>
            </w:pPr>
            <w:r>
              <w:rPr>
                <w:b/>
                <w:bCs/>
                <w:sz w:val="24"/>
                <w:szCs w:val="24"/>
              </w:rPr>
              <w:t>Kit de contrôle qualité (NPK, pathogènes)</w:t>
            </w:r>
          </w:p>
        </w:tc>
        <w:tc>
          <w:tcPr>
            <w:tcW w:w="700" w:type="pct"/>
            <w:tcMar>
              <w:top w:w="28" w:type="dxa"/>
              <w:left w:w="80" w:type="dxa"/>
              <w:bottom w:w="28" w:type="dxa"/>
              <w:right w:w="80" w:type="dxa"/>
            </w:tcMar>
            <w:vAlign w:val="center"/>
          </w:tcPr>
          <w:p w14:paraId="3538EC36" w14:textId="77777777" w:rsidR="0042033D" w:rsidRDefault="00000000">
            <w:pPr>
              <w:spacing w:line="232" w:lineRule="auto"/>
              <w:rPr>
                <w:sz w:val="24"/>
                <w:szCs w:val="24"/>
              </w:rPr>
            </w:pPr>
            <w:r>
              <w:rPr>
                <w:sz w:val="24"/>
                <w:szCs w:val="24"/>
              </w:rPr>
              <w:t>À acquérir</w:t>
            </w:r>
          </w:p>
        </w:tc>
        <w:tc>
          <w:tcPr>
            <w:tcW w:w="1300" w:type="pct"/>
            <w:tcMar>
              <w:top w:w="28" w:type="dxa"/>
              <w:left w:w="80" w:type="dxa"/>
              <w:bottom w:w="28" w:type="dxa"/>
              <w:right w:w="80" w:type="dxa"/>
            </w:tcMar>
            <w:vAlign w:val="center"/>
          </w:tcPr>
          <w:p w14:paraId="63CAB4B9" w14:textId="77777777" w:rsidR="0042033D" w:rsidRDefault="00000000">
            <w:pPr>
              <w:spacing w:line="232" w:lineRule="auto"/>
              <w:rPr>
                <w:sz w:val="24"/>
                <w:szCs w:val="24"/>
              </w:rPr>
            </w:pPr>
            <w:r>
              <w:rPr>
                <w:sz w:val="24"/>
                <w:szCs w:val="24"/>
              </w:rPr>
              <w:t>2 000 $</w:t>
            </w:r>
          </w:p>
        </w:tc>
        <w:tc>
          <w:tcPr>
            <w:tcW w:w="1500" w:type="pct"/>
            <w:tcMar>
              <w:top w:w="28" w:type="dxa"/>
              <w:left w:w="80" w:type="dxa"/>
              <w:bottom w:w="28" w:type="dxa"/>
              <w:right w:w="80" w:type="dxa"/>
            </w:tcMar>
            <w:vAlign w:val="center"/>
          </w:tcPr>
          <w:p w14:paraId="728406A1" w14:textId="77777777" w:rsidR="0042033D" w:rsidRDefault="00000000">
            <w:pPr>
              <w:spacing w:line="232" w:lineRule="auto"/>
              <w:rPr>
                <w:sz w:val="24"/>
                <w:szCs w:val="24"/>
              </w:rPr>
            </w:pPr>
            <w:r>
              <w:rPr>
                <w:sz w:val="24"/>
                <w:szCs w:val="24"/>
              </w:rPr>
              <w:t>Poste qualité du plan de 50 000 $</w:t>
            </w:r>
          </w:p>
        </w:tc>
      </w:tr>
    </w:tbl>
    <w:p w14:paraId="53FF6AB4" w14:textId="77777777" w:rsidR="0042033D" w:rsidRDefault="00000000">
      <w:pPr>
        <w:pStyle w:val="Heading2"/>
        <w:spacing w:before="150" w:after="60"/>
        <w:rPr>
          <w:rFonts w:ascii="Times New Roman" w:hAnsi="Times New Roman"/>
        </w:rPr>
      </w:pPr>
      <w:bookmarkStart w:id="44" w:name="_Toc100044"/>
      <w:r>
        <w:rPr>
          <w:rFonts w:ascii="Times New Roman" w:hAnsi="Times New Roman"/>
        </w:rPr>
        <w:t>11.3 Main-d'œuvre et organisation du travail</w:t>
      </w:r>
      <w:bookmarkEnd w:id="44"/>
    </w:p>
    <w:p w14:paraId="08AD58C1" w14:textId="77777777" w:rsidR="0042033D" w:rsidRDefault="00000000">
      <w:pPr>
        <w:spacing w:after="60"/>
        <w:jc w:val="both"/>
        <w:rPr>
          <w:sz w:val="24"/>
          <w:szCs w:val="24"/>
        </w:rPr>
      </w:pPr>
      <w:r>
        <w:rPr>
          <w:sz w:val="24"/>
          <w:szCs w:val="24"/>
        </w:rPr>
        <w:t>L’organisation repose sur cinq fondateurs et 16 salariés ETP déclarés. Le plan d’effectifs suit la capacité et les exigences de qualité : recrutement commercial au M+2, opérateurs complémentaires pour la ligne de séchage et renforcement progressif des fonctions qualité / administration. Les rémunérations des fondateurs sont intégrées au modèle à partir de 2027 afin d’éviter que la rentabilité cible dépende durablement d’un travail non rémunéré.</w:t>
      </w:r>
    </w:p>
    <w:p w14:paraId="7D32A406" w14:textId="77777777" w:rsidR="0042033D" w:rsidRDefault="00000000">
      <w:pPr>
        <w:spacing w:after="60"/>
        <w:jc w:val="both"/>
        <w:rPr>
          <w:sz w:val="24"/>
          <w:szCs w:val="24"/>
        </w:rPr>
      </w:pPr>
      <w:r>
        <w:rPr>
          <w:sz w:val="24"/>
          <w:szCs w:val="24"/>
        </w:rPr>
        <w:t xml:space="preserve">Le plan de renforcement des effectifs, calé sur la trajectoire de capacité, prévoit le passage de </w:t>
      </w:r>
      <w:r>
        <w:rPr>
          <w:b/>
          <w:bCs/>
          <w:sz w:val="24"/>
          <w:szCs w:val="24"/>
        </w:rPr>
        <w:t>16 ETP actuels à 19 fin 2026</w:t>
      </w:r>
      <w:r>
        <w:rPr>
          <w:sz w:val="24"/>
          <w:szCs w:val="24"/>
        </w:rPr>
        <w:t xml:space="preserve"> (commercial B2B au M+2 et deux opérateurs de la ligne de séchage), </w:t>
      </w:r>
      <w:r>
        <w:rPr>
          <w:b/>
          <w:bCs/>
          <w:sz w:val="24"/>
          <w:szCs w:val="24"/>
        </w:rPr>
        <w:t>26 ETP en 2027</w:t>
      </w:r>
      <w:r>
        <w:rPr>
          <w:sz w:val="24"/>
          <w:szCs w:val="24"/>
        </w:rPr>
        <w:t xml:space="preserve">, </w:t>
      </w:r>
      <w:r>
        <w:rPr>
          <w:b/>
          <w:bCs/>
          <w:sz w:val="24"/>
          <w:szCs w:val="24"/>
        </w:rPr>
        <w:t>34 en 2028</w:t>
      </w:r>
      <w:r>
        <w:rPr>
          <w:sz w:val="24"/>
          <w:szCs w:val="24"/>
        </w:rPr>
        <w:t xml:space="preserve">, </w:t>
      </w:r>
      <w:r>
        <w:rPr>
          <w:b/>
          <w:bCs/>
          <w:sz w:val="24"/>
          <w:szCs w:val="24"/>
        </w:rPr>
        <w:t>43 en 2029</w:t>
      </w:r>
      <w:r>
        <w:rPr>
          <w:sz w:val="24"/>
          <w:szCs w:val="24"/>
        </w:rPr>
        <w:t xml:space="preserve"> et </w:t>
      </w:r>
      <w:r>
        <w:rPr>
          <w:b/>
          <w:bCs/>
          <w:sz w:val="24"/>
          <w:szCs w:val="24"/>
        </w:rPr>
        <w:t>52 en 2030</w:t>
      </w:r>
      <w:r>
        <w:rPr>
          <w:sz w:val="24"/>
          <w:szCs w:val="24"/>
        </w:rPr>
        <w:t>. Sur cette trajectoire, la productivité progresse de 0,63 tonne par mois et par ETP en configuration actuelle (largement manuelle) vers 1,0 tonne dès 2026-2027 puis 1,05 à 1,08 tonne à l'horizon 2030 : la mécanisation du criblage et du séchage financée par le plan absorbe les fonctions d'encadrement, de logistique et de qualité ajoutées à mesure de la croissance. En incluant le fondateur, la productivité ressort à 2,8 K $ de chiffre d'affaires par personne sur l'exercice 2024-2025 (contre 3,0 K $ par ETP salarié). La masse salariale projetée intègre dès 2027 la rémunération des fondateurs (Tableau 9 bis) et maintient le ratio charges de personnel sur chiffre d'affaires en dessous de 25 % jusqu'à l'horizon 2030.</w:t>
      </w:r>
    </w:p>
    <w:p w14:paraId="1ACB7810"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45" w:name="_Toc238821291"/>
      <w:r w:rsidRPr="005C594B">
        <w:rPr>
          <w:rFonts w:ascii="League Spartan" w:hAnsi="League Spartan"/>
          <w:sz w:val="40"/>
          <w:szCs w:val="40"/>
        </w:rPr>
        <w:lastRenderedPageBreak/>
        <w:t>12. Chaîne d'approvisionnement</w:t>
      </w:r>
      <w:bookmarkEnd w:id="45"/>
    </w:p>
    <w:p w14:paraId="0AC9B749" w14:textId="77777777" w:rsidR="0042033D" w:rsidRDefault="00000000">
      <w:pPr>
        <w:spacing w:after="60"/>
        <w:jc w:val="both"/>
        <w:rPr>
          <w:sz w:val="24"/>
          <w:szCs w:val="24"/>
        </w:rPr>
      </w:pPr>
      <w:r>
        <w:rPr>
          <w:sz w:val="24"/>
          <w:szCs w:val="24"/>
        </w:rPr>
        <w:t>La chaîne d'approvisionnement est un actif opérationnel critique qui détermine la qualité, le coût et la continuité de la production. Le modèle s'appuie sur un réseau multi-sources de fournisseurs de déchets organiques, complémentaires dans leur typologie (agro-industriels, marchés urbains, élevages, cultures de rente) et dans leur saisonnalité, ce qui réduit le risque de rupture et permet d'ajuster la formulation des substrats aux profils nutritionnels disponibles.</w:t>
      </w:r>
    </w:p>
    <w:p w14:paraId="77892B35" w14:textId="77777777" w:rsidR="0042033D" w:rsidRDefault="00000000">
      <w:pPr>
        <w:keepNext/>
        <w:spacing w:before="140" w:after="50" w:line="260" w:lineRule="auto"/>
        <w:rPr>
          <w:sz w:val="24"/>
          <w:szCs w:val="24"/>
        </w:rPr>
      </w:pPr>
      <w:r>
        <w:rPr>
          <w:rFonts w:eastAsia="Arial"/>
          <w:b/>
          <w:bCs/>
          <w:color w:val="1A2330"/>
          <w:sz w:val="24"/>
          <w:szCs w:val="24"/>
        </w:rPr>
        <w:t>Tableau 8 — Réseau de fournisseurs de déchets organiques</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014"/>
        <w:gridCol w:w="2564"/>
        <w:gridCol w:w="2564"/>
        <w:gridCol w:w="2014"/>
      </w:tblGrid>
      <w:tr w:rsidR="0042033D" w14:paraId="26CBD509" w14:textId="77777777">
        <w:trPr>
          <w:cantSplit/>
          <w:tblHeader/>
        </w:trPr>
        <w:tc>
          <w:tcPr>
            <w:tcW w:w="1100" w:type="pct"/>
            <w:shd w:val="clear" w:color="auto" w:fill="D4875A"/>
            <w:tcMar>
              <w:top w:w="36" w:type="dxa"/>
              <w:left w:w="80" w:type="dxa"/>
              <w:bottom w:w="36" w:type="dxa"/>
              <w:right w:w="80" w:type="dxa"/>
            </w:tcMar>
            <w:vAlign w:val="center"/>
          </w:tcPr>
          <w:p w14:paraId="644B793A" w14:textId="77777777" w:rsidR="0042033D" w:rsidRDefault="00000000">
            <w:pPr>
              <w:spacing w:line="232" w:lineRule="auto"/>
              <w:jc w:val="center"/>
              <w:rPr>
                <w:sz w:val="24"/>
                <w:szCs w:val="24"/>
              </w:rPr>
            </w:pPr>
            <w:r>
              <w:rPr>
                <w:b/>
                <w:bCs/>
                <w:color w:val="FFFFFF"/>
                <w:sz w:val="24"/>
                <w:szCs w:val="24"/>
              </w:rPr>
              <w:t>Source</w:t>
            </w:r>
          </w:p>
        </w:tc>
        <w:tc>
          <w:tcPr>
            <w:tcW w:w="1400" w:type="pct"/>
            <w:shd w:val="clear" w:color="auto" w:fill="D4875A"/>
            <w:tcMar>
              <w:top w:w="36" w:type="dxa"/>
              <w:left w:w="80" w:type="dxa"/>
              <w:bottom w:w="36" w:type="dxa"/>
              <w:right w:w="80" w:type="dxa"/>
            </w:tcMar>
            <w:vAlign w:val="center"/>
          </w:tcPr>
          <w:p w14:paraId="3E769258" w14:textId="77777777" w:rsidR="0042033D" w:rsidRDefault="00000000">
            <w:pPr>
              <w:spacing w:line="232" w:lineRule="auto"/>
              <w:jc w:val="center"/>
              <w:rPr>
                <w:sz w:val="24"/>
                <w:szCs w:val="24"/>
              </w:rPr>
            </w:pPr>
            <w:r>
              <w:rPr>
                <w:b/>
                <w:bCs/>
                <w:color w:val="FFFFFF"/>
                <w:sz w:val="24"/>
                <w:szCs w:val="24"/>
              </w:rPr>
              <w:t>Type</w:t>
            </w:r>
          </w:p>
        </w:tc>
        <w:tc>
          <w:tcPr>
            <w:tcW w:w="1400" w:type="pct"/>
            <w:shd w:val="clear" w:color="auto" w:fill="D4875A"/>
            <w:tcMar>
              <w:top w:w="36" w:type="dxa"/>
              <w:left w:w="80" w:type="dxa"/>
              <w:bottom w:w="36" w:type="dxa"/>
              <w:right w:w="80" w:type="dxa"/>
            </w:tcMar>
            <w:vAlign w:val="center"/>
          </w:tcPr>
          <w:p w14:paraId="65D8FF80" w14:textId="77777777" w:rsidR="0042033D" w:rsidRDefault="00000000">
            <w:pPr>
              <w:spacing w:line="232" w:lineRule="auto"/>
              <w:jc w:val="center"/>
              <w:rPr>
                <w:sz w:val="24"/>
                <w:szCs w:val="24"/>
              </w:rPr>
            </w:pPr>
            <w:r>
              <w:rPr>
                <w:b/>
                <w:bCs/>
                <w:color w:val="FFFFFF"/>
                <w:sz w:val="24"/>
                <w:szCs w:val="24"/>
              </w:rPr>
              <w:t>Volume</w:t>
            </w:r>
          </w:p>
        </w:tc>
        <w:tc>
          <w:tcPr>
            <w:tcW w:w="1100" w:type="pct"/>
            <w:shd w:val="clear" w:color="auto" w:fill="D4875A"/>
            <w:tcMar>
              <w:top w:w="36" w:type="dxa"/>
              <w:left w:w="80" w:type="dxa"/>
              <w:bottom w:w="36" w:type="dxa"/>
              <w:right w:w="80" w:type="dxa"/>
            </w:tcMar>
            <w:vAlign w:val="center"/>
          </w:tcPr>
          <w:p w14:paraId="50CEC0EB" w14:textId="77777777" w:rsidR="0042033D" w:rsidRDefault="00000000">
            <w:pPr>
              <w:spacing w:line="232" w:lineRule="auto"/>
              <w:jc w:val="center"/>
              <w:rPr>
                <w:sz w:val="24"/>
                <w:szCs w:val="24"/>
              </w:rPr>
            </w:pPr>
            <w:r>
              <w:rPr>
                <w:b/>
                <w:bCs/>
                <w:color w:val="FFFFFF"/>
                <w:sz w:val="24"/>
                <w:szCs w:val="24"/>
              </w:rPr>
              <w:t>Fiabilité</w:t>
            </w:r>
          </w:p>
        </w:tc>
      </w:tr>
      <w:tr w:rsidR="0042033D" w14:paraId="4AC3A060" w14:textId="77777777">
        <w:trPr>
          <w:cantSplit/>
        </w:trPr>
        <w:tc>
          <w:tcPr>
            <w:tcW w:w="1100" w:type="pct"/>
            <w:tcMar>
              <w:top w:w="28" w:type="dxa"/>
              <w:left w:w="80" w:type="dxa"/>
              <w:bottom w:w="28" w:type="dxa"/>
              <w:right w:w="80" w:type="dxa"/>
            </w:tcMar>
            <w:vAlign w:val="center"/>
          </w:tcPr>
          <w:p w14:paraId="74B86FB1" w14:textId="77777777" w:rsidR="0042033D" w:rsidRDefault="00000000">
            <w:pPr>
              <w:spacing w:line="232" w:lineRule="auto"/>
              <w:rPr>
                <w:sz w:val="24"/>
                <w:szCs w:val="24"/>
              </w:rPr>
            </w:pPr>
            <w:r>
              <w:rPr>
                <w:b/>
                <w:bCs/>
                <w:sz w:val="24"/>
                <w:szCs w:val="24"/>
              </w:rPr>
              <w:t>SCRIMAD (Toamasina)</w:t>
            </w:r>
          </w:p>
        </w:tc>
        <w:tc>
          <w:tcPr>
            <w:tcW w:w="1400" w:type="pct"/>
            <w:tcMar>
              <w:top w:w="28" w:type="dxa"/>
              <w:left w:w="80" w:type="dxa"/>
              <w:bottom w:w="28" w:type="dxa"/>
              <w:right w:w="80" w:type="dxa"/>
            </w:tcMar>
            <w:vAlign w:val="center"/>
          </w:tcPr>
          <w:p w14:paraId="62A1C6B2" w14:textId="77777777" w:rsidR="0042033D" w:rsidRDefault="00000000">
            <w:pPr>
              <w:spacing w:line="232" w:lineRule="auto"/>
              <w:rPr>
                <w:sz w:val="24"/>
                <w:szCs w:val="24"/>
              </w:rPr>
            </w:pPr>
            <w:r>
              <w:rPr>
                <w:sz w:val="24"/>
                <w:szCs w:val="24"/>
              </w:rPr>
              <w:t>Complexe agro-industriel</w:t>
            </w:r>
          </w:p>
        </w:tc>
        <w:tc>
          <w:tcPr>
            <w:tcW w:w="1400" w:type="pct"/>
            <w:tcMar>
              <w:top w:w="28" w:type="dxa"/>
              <w:left w:w="80" w:type="dxa"/>
              <w:bottom w:w="28" w:type="dxa"/>
              <w:right w:w="80" w:type="dxa"/>
            </w:tcMar>
            <w:vAlign w:val="center"/>
          </w:tcPr>
          <w:p w14:paraId="73507BFE" w14:textId="77777777" w:rsidR="0042033D" w:rsidRDefault="00000000">
            <w:pPr>
              <w:spacing w:line="232" w:lineRule="auto"/>
              <w:rPr>
                <w:sz w:val="24"/>
                <w:szCs w:val="24"/>
              </w:rPr>
            </w:pPr>
            <w:r>
              <w:rPr>
                <w:sz w:val="24"/>
                <w:szCs w:val="24"/>
              </w:rPr>
              <w:t>Variable — déchets de transformation</w:t>
            </w:r>
          </w:p>
        </w:tc>
        <w:tc>
          <w:tcPr>
            <w:tcW w:w="1100" w:type="pct"/>
            <w:tcMar>
              <w:top w:w="28" w:type="dxa"/>
              <w:left w:w="80" w:type="dxa"/>
              <w:bottom w:w="28" w:type="dxa"/>
              <w:right w:w="80" w:type="dxa"/>
            </w:tcMar>
            <w:vAlign w:val="center"/>
          </w:tcPr>
          <w:p w14:paraId="71B1BD9A" w14:textId="77777777" w:rsidR="0042033D" w:rsidRDefault="00000000">
            <w:pPr>
              <w:spacing w:line="232" w:lineRule="auto"/>
              <w:rPr>
                <w:sz w:val="24"/>
                <w:szCs w:val="24"/>
              </w:rPr>
            </w:pPr>
            <w:r>
              <w:rPr>
                <w:sz w:val="24"/>
                <w:szCs w:val="24"/>
              </w:rPr>
              <w:t>Élevée</w:t>
            </w:r>
          </w:p>
        </w:tc>
      </w:tr>
      <w:tr w:rsidR="0042033D" w14:paraId="768D5459" w14:textId="77777777">
        <w:trPr>
          <w:cantSplit/>
        </w:trPr>
        <w:tc>
          <w:tcPr>
            <w:tcW w:w="1100" w:type="pct"/>
            <w:tcMar>
              <w:top w:w="28" w:type="dxa"/>
              <w:left w:w="80" w:type="dxa"/>
              <w:bottom w:w="28" w:type="dxa"/>
              <w:right w:w="80" w:type="dxa"/>
            </w:tcMar>
            <w:vAlign w:val="center"/>
          </w:tcPr>
          <w:p w14:paraId="4DEC5E36" w14:textId="77777777" w:rsidR="0042033D" w:rsidRDefault="00000000">
            <w:pPr>
              <w:spacing w:line="232" w:lineRule="auto"/>
              <w:rPr>
                <w:sz w:val="24"/>
                <w:szCs w:val="24"/>
              </w:rPr>
            </w:pPr>
            <w:r>
              <w:rPr>
                <w:b/>
                <w:bCs/>
                <w:sz w:val="24"/>
                <w:szCs w:val="24"/>
              </w:rPr>
              <w:t>Bazary (marchés de Toamasina)</w:t>
            </w:r>
          </w:p>
        </w:tc>
        <w:tc>
          <w:tcPr>
            <w:tcW w:w="1400" w:type="pct"/>
            <w:tcMar>
              <w:top w:w="28" w:type="dxa"/>
              <w:left w:w="80" w:type="dxa"/>
              <w:bottom w:w="28" w:type="dxa"/>
              <w:right w:w="80" w:type="dxa"/>
            </w:tcMar>
            <w:vAlign w:val="center"/>
          </w:tcPr>
          <w:p w14:paraId="7FE72790" w14:textId="77777777" w:rsidR="0042033D" w:rsidRDefault="00000000">
            <w:pPr>
              <w:spacing w:line="232" w:lineRule="auto"/>
              <w:rPr>
                <w:sz w:val="24"/>
                <w:szCs w:val="24"/>
              </w:rPr>
            </w:pPr>
            <w:r>
              <w:rPr>
                <w:sz w:val="24"/>
                <w:szCs w:val="24"/>
              </w:rPr>
              <w:t>Déchets organiques de marchés</w:t>
            </w:r>
          </w:p>
        </w:tc>
        <w:tc>
          <w:tcPr>
            <w:tcW w:w="1400" w:type="pct"/>
            <w:tcMar>
              <w:top w:w="28" w:type="dxa"/>
              <w:left w:w="80" w:type="dxa"/>
              <w:bottom w:w="28" w:type="dxa"/>
              <w:right w:w="80" w:type="dxa"/>
            </w:tcMar>
            <w:vAlign w:val="center"/>
          </w:tcPr>
          <w:p w14:paraId="61E5B95E" w14:textId="77777777" w:rsidR="0042033D" w:rsidRDefault="00000000">
            <w:pPr>
              <w:spacing w:line="232" w:lineRule="auto"/>
              <w:rPr>
                <w:sz w:val="24"/>
                <w:szCs w:val="24"/>
              </w:rPr>
            </w:pPr>
            <w:r>
              <w:rPr>
                <w:sz w:val="24"/>
                <w:szCs w:val="24"/>
              </w:rPr>
              <w:t>Quotidien — 0,5 à 2 T par semaine</w:t>
            </w:r>
          </w:p>
        </w:tc>
        <w:tc>
          <w:tcPr>
            <w:tcW w:w="1100" w:type="pct"/>
            <w:tcMar>
              <w:top w:w="28" w:type="dxa"/>
              <w:left w:w="80" w:type="dxa"/>
              <w:bottom w:w="28" w:type="dxa"/>
              <w:right w:w="80" w:type="dxa"/>
            </w:tcMar>
            <w:vAlign w:val="center"/>
          </w:tcPr>
          <w:p w14:paraId="4505474E" w14:textId="77777777" w:rsidR="0042033D" w:rsidRDefault="00000000">
            <w:pPr>
              <w:spacing w:line="232" w:lineRule="auto"/>
              <w:rPr>
                <w:sz w:val="24"/>
                <w:szCs w:val="24"/>
              </w:rPr>
            </w:pPr>
            <w:r>
              <w:rPr>
                <w:sz w:val="24"/>
                <w:szCs w:val="24"/>
              </w:rPr>
              <w:t>Moyenne — sensible aux jours de marché</w:t>
            </w:r>
          </w:p>
        </w:tc>
      </w:tr>
      <w:tr w:rsidR="0042033D" w14:paraId="21440BA4" w14:textId="77777777">
        <w:trPr>
          <w:cantSplit/>
        </w:trPr>
        <w:tc>
          <w:tcPr>
            <w:tcW w:w="1100" w:type="pct"/>
            <w:tcMar>
              <w:top w:w="28" w:type="dxa"/>
              <w:left w:w="80" w:type="dxa"/>
              <w:bottom w:w="28" w:type="dxa"/>
              <w:right w:w="80" w:type="dxa"/>
            </w:tcMar>
            <w:vAlign w:val="center"/>
          </w:tcPr>
          <w:p w14:paraId="26E9D272" w14:textId="77777777" w:rsidR="0042033D" w:rsidRDefault="00000000">
            <w:pPr>
              <w:spacing w:line="232" w:lineRule="auto"/>
              <w:rPr>
                <w:sz w:val="24"/>
                <w:szCs w:val="24"/>
              </w:rPr>
            </w:pPr>
            <w:r>
              <w:rPr>
                <w:b/>
                <w:bCs/>
                <w:sz w:val="24"/>
                <w:szCs w:val="24"/>
              </w:rPr>
              <w:t>MAFI</w:t>
            </w:r>
          </w:p>
        </w:tc>
        <w:tc>
          <w:tcPr>
            <w:tcW w:w="1400" w:type="pct"/>
            <w:tcMar>
              <w:top w:w="28" w:type="dxa"/>
              <w:left w:w="80" w:type="dxa"/>
              <w:bottom w:w="28" w:type="dxa"/>
              <w:right w:w="80" w:type="dxa"/>
            </w:tcMar>
            <w:vAlign w:val="center"/>
          </w:tcPr>
          <w:p w14:paraId="733B197B" w14:textId="77777777" w:rsidR="0042033D" w:rsidRDefault="00000000">
            <w:pPr>
              <w:spacing w:line="232" w:lineRule="auto"/>
              <w:rPr>
                <w:sz w:val="24"/>
                <w:szCs w:val="24"/>
              </w:rPr>
            </w:pPr>
            <w:r>
              <w:rPr>
                <w:sz w:val="24"/>
                <w:szCs w:val="24"/>
              </w:rPr>
              <w:t>Industriel agroalimentaire</w:t>
            </w:r>
          </w:p>
        </w:tc>
        <w:tc>
          <w:tcPr>
            <w:tcW w:w="1400" w:type="pct"/>
            <w:tcMar>
              <w:top w:w="28" w:type="dxa"/>
              <w:left w:w="80" w:type="dxa"/>
              <w:bottom w:w="28" w:type="dxa"/>
              <w:right w:w="80" w:type="dxa"/>
            </w:tcMar>
            <w:vAlign w:val="center"/>
          </w:tcPr>
          <w:p w14:paraId="3D4D7B1F" w14:textId="77777777" w:rsidR="0042033D" w:rsidRDefault="00000000">
            <w:pPr>
              <w:spacing w:line="232" w:lineRule="auto"/>
              <w:rPr>
                <w:sz w:val="24"/>
                <w:szCs w:val="24"/>
              </w:rPr>
            </w:pPr>
            <w:r>
              <w:rPr>
                <w:sz w:val="24"/>
                <w:szCs w:val="24"/>
              </w:rPr>
              <w:t>Périodique</w:t>
            </w:r>
          </w:p>
        </w:tc>
        <w:tc>
          <w:tcPr>
            <w:tcW w:w="1100" w:type="pct"/>
            <w:tcMar>
              <w:top w:w="28" w:type="dxa"/>
              <w:left w:w="80" w:type="dxa"/>
              <w:bottom w:w="28" w:type="dxa"/>
              <w:right w:w="80" w:type="dxa"/>
            </w:tcMar>
            <w:vAlign w:val="center"/>
          </w:tcPr>
          <w:p w14:paraId="60791C6A" w14:textId="77777777" w:rsidR="0042033D" w:rsidRDefault="00000000">
            <w:pPr>
              <w:spacing w:line="232" w:lineRule="auto"/>
              <w:rPr>
                <w:sz w:val="24"/>
                <w:szCs w:val="24"/>
              </w:rPr>
            </w:pPr>
            <w:r>
              <w:rPr>
                <w:sz w:val="24"/>
                <w:szCs w:val="24"/>
              </w:rPr>
              <w:t>Moyenne</w:t>
            </w:r>
          </w:p>
        </w:tc>
      </w:tr>
      <w:tr w:rsidR="0042033D" w14:paraId="417E8455" w14:textId="77777777">
        <w:trPr>
          <w:cantSplit/>
        </w:trPr>
        <w:tc>
          <w:tcPr>
            <w:tcW w:w="1100" w:type="pct"/>
            <w:tcMar>
              <w:top w:w="28" w:type="dxa"/>
              <w:left w:w="80" w:type="dxa"/>
              <w:bottom w:w="28" w:type="dxa"/>
              <w:right w:w="80" w:type="dxa"/>
            </w:tcMar>
            <w:vAlign w:val="center"/>
          </w:tcPr>
          <w:p w14:paraId="4A7F5317" w14:textId="77777777" w:rsidR="0042033D" w:rsidRDefault="00000000">
            <w:pPr>
              <w:spacing w:line="232" w:lineRule="auto"/>
              <w:rPr>
                <w:sz w:val="24"/>
                <w:szCs w:val="24"/>
              </w:rPr>
            </w:pPr>
            <w:r>
              <w:rPr>
                <w:b/>
                <w:bCs/>
                <w:sz w:val="24"/>
                <w:szCs w:val="24"/>
              </w:rPr>
              <w:t>FDA</w:t>
            </w:r>
          </w:p>
        </w:tc>
        <w:tc>
          <w:tcPr>
            <w:tcW w:w="1400" w:type="pct"/>
            <w:tcMar>
              <w:top w:w="28" w:type="dxa"/>
              <w:left w:w="80" w:type="dxa"/>
              <w:bottom w:w="28" w:type="dxa"/>
              <w:right w:w="80" w:type="dxa"/>
            </w:tcMar>
            <w:vAlign w:val="center"/>
          </w:tcPr>
          <w:p w14:paraId="11A38242" w14:textId="77777777" w:rsidR="0042033D" w:rsidRDefault="00000000">
            <w:pPr>
              <w:spacing w:line="232" w:lineRule="auto"/>
              <w:rPr>
                <w:sz w:val="24"/>
                <w:szCs w:val="24"/>
              </w:rPr>
            </w:pPr>
            <w:r>
              <w:rPr>
                <w:sz w:val="24"/>
                <w:szCs w:val="24"/>
              </w:rPr>
              <w:t>Programme de subvention agricole</w:t>
            </w:r>
          </w:p>
        </w:tc>
        <w:tc>
          <w:tcPr>
            <w:tcW w:w="1400" w:type="pct"/>
            <w:tcMar>
              <w:top w:w="28" w:type="dxa"/>
              <w:left w:w="80" w:type="dxa"/>
              <w:bottom w:w="28" w:type="dxa"/>
              <w:right w:w="80" w:type="dxa"/>
            </w:tcMar>
            <w:vAlign w:val="center"/>
          </w:tcPr>
          <w:p w14:paraId="48C8DCD7" w14:textId="77777777" w:rsidR="0042033D" w:rsidRDefault="00000000">
            <w:pPr>
              <w:spacing w:line="232" w:lineRule="auto"/>
              <w:rPr>
                <w:sz w:val="24"/>
                <w:szCs w:val="24"/>
              </w:rPr>
            </w:pPr>
            <w:r>
              <w:rPr>
                <w:sz w:val="24"/>
                <w:szCs w:val="24"/>
              </w:rPr>
              <w:t>Ponctuel — lié aux campagnes agricoles</w:t>
            </w:r>
          </w:p>
        </w:tc>
        <w:tc>
          <w:tcPr>
            <w:tcW w:w="1100" w:type="pct"/>
            <w:tcMar>
              <w:top w:w="28" w:type="dxa"/>
              <w:left w:w="80" w:type="dxa"/>
              <w:bottom w:w="28" w:type="dxa"/>
              <w:right w:w="80" w:type="dxa"/>
            </w:tcMar>
            <w:vAlign w:val="center"/>
          </w:tcPr>
          <w:p w14:paraId="5CCD0D27" w14:textId="77777777" w:rsidR="0042033D" w:rsidRDefault="00000000">
            <w:pPr>
              <w:spacing w:line="232" w:lineRule="auto"/>
              <w:rPr>
                <w:sz w:val="24"/>
                <w:szCs w:val="24"/>
              </w:rPr>
            </w:pPr>
            <w:r>
              <w:rPr>
                <w:sz w:val="24"/>
                <w:szCs w:val="24"/>
              </w:rPr>
              <w:t>Élevée, mais saisonnière</w:t>
            </w:r>
          </w:p>
        </w:tc>
      </w:tr>
      <w:tr w:rsidR="0042033D" w14:paraId="2A5AD43C" w14:textId="77777777">
        <w:trPr>
          <w:cantSplit/>
        </w:trPr>
        <w:tc>
          <w:tcPr>
            <w:tcW w:w="1100" w:type="pct"/>
            <w:tcMar>
              <w:top w:w="28" w:type="dxa"/>
              <w:left w:w="80" w:type="dxa"/>
              <w:bottom w:w="28" w:type="dxa"/>
              <w:right w:w="80" w:type="dxa"/>
            </w:tcMar>
            <w:vAlign w:val="center"/>
          </w:tcPr>
          <w:p w14:paraId="2DA791B0" w14:textId="77777777" w:rsidR="0042033D" w:rsidRDefault="00000000">
            <w:pPr>
              <w:spacing w:line="232" w:lineRule="auto"/>
              <w:rPr>
                <w:sz w:val="24"/>
                <w:szCs w:val="24"/>
              </w:rPr>
            </w:pPr>
            <w:r>
              <w:rPr>
                <w:b/>
                <w:bCs/>
                <w:sz w:val="24"/>
                <w:szCs w:val="24"/>
              </w:rPr>
              <w:t>Élevages avicoles locaux</w:t>
            </w:r>
          </w:p>
        </w:tc>
        <w:tc>
          <w:tcPr>
            <w:tcW w:w="1400" w:type="pct"/>
            <w:tcMar>
              <w:top w:w="28" w:type="dxa"/>
              <w:left w:w="80" w:type="dxa"/>
              <w:bottom w:w="28" w:type="dxa"/>
              <w:right w:w="80" w:type="dxa"/>
            </w:tcMar>
            <w:vAlign w:val="center"/>
          </w:tcPr>
          <w:p w14:paraId="108CDA7E" w14:textId="77777777" w:rsidR="0042033D" w:rsidRDefault="00000000">
            <w:pPr>
              <w:spacing w:line="232" w:lineRule="auto"/>
              <w:rPr>
                <w:sz w:val="24"/>
                <w:szCs w:val="24"/>
              </w:rPr>
            </w:pPr>
            <w:r>
              <w:rPr>
                <w:sz w:val="24"/>
                <w:szCs w:val="24"/>
              </w:rPr>
              <w:t>Fientes de poule (substrat riche en azote)</w:t>
            </w:r>
          </w:p>
        </w:tc>
        <w:tc>
          <w:tcPr>
            <w:tcW w:w="1400" w:type="pct"/>
            <w:tcMar>
              <w:top w:w="28" w:type="dxa"/>
              <w:left w:w="80" w:type="dxa"/>
              <w:bottom w:w="28" w:type="dxa"/>
              <w:right w:w="80" w:type="dxa"/>
            </w:tcMar>
            <w:vAlign w:val="center"/>
          </w:tcPr>
          <w:p w14:paraId="06A6C72E" w14:textId="77777777" w:rsidR="0042033D" w:rsidRDefault="00000000">
            <w:pPr>
              <w:spacing w:line="232" w:lineRule="auto"/>
              <w:rPr>
                <w:sz w:val="24"/>
                <w:szCs w:val="24"/>
              </w:rPr>
            </w:pPr>
            <w:r>
              <w:rPr>
                <w:sz w:val="24"/>
                <w:szCs w:val="24"/>
              </w:rPr>
              <w:t>Continu — 70 T par an</w:t>
            </w:r>
          </w:p>
        </w:tc>
        <w:tc>
          <w:tcPr>
            <w:tcW w:w="1100" w:type="pct"/>
            <w:tcMar>
              <w:top w:w="28" w:type="dxa"/>
              <w:left w:w="80" w:type="dxa"/>
              <w:bottom w:w="28" w:type="dxa"/>
              <w:right w:w="80" w:type="dxa"/>
            </w:tcMar>
            <w:vAlign w:val="center"/>
          </w:tcPr>
          <w:p w14:paraId="4733D40D" w14:textId="77777777" w:rsidR="0042033D" w:rsidRDefault="00000000">
            <w:pPr>
              <w:spacing w:line="232" w:lineRule="auto"/>
              <w:rPr>
                <w:sz w:val="24"/>
                <w:szCs w:val="24"/>
              </w:rPr>
            </w:pPr>
            <w:r>
              <w:rPr>
                <w:sz w:val="24"/>
                <w:szCs w:val="24"/>
              </w:rPr>
              <w:t>Élevée</w:t>
            </w:r>
          </w:p>
        </w:tc>
      </w:tr>
      <w:tr w:rsidR="0042033D" w14:paraId="4E986C83" w14:textId="77777777">
        <w:trPr>
          <w:cantSplit/>
        </w:trPr>
        <w:tc>
          <w:tcPr>
            <w:tcW w:w="1100" w:type="pct"/>
            <w:tcMar>
              <w:top w:w="28" w:type="dxa"/>
              <w:left w:w="80" w:type="dxa"/>
              <w:bottom w:w="28" w:type="dxa"/>
              <w:right w:w="80" w:type="dxa"/>
            </w:tcMar>
            <w:vAlign w:val="center"/>
          </w:tcPr>
          <w:p w14:paraId="798CCFA5" w14:textId="77777777" w:rsidR="0042033D" w:rsidRDefault="00000000">
            <w:pPr>
              <w:spacing w:line="232" w:lineRule="auto"/>
              <w:rPr>
                <w:sz w:val="24"/>
                <w:szCs w:val="24"/>
              </w:rPr>
            </w:pPr>
            <w:r>
              <w:rPr>
                <w:b/>
                <w:bCs/>
                <w:sz w:val="24"/>
                <w:szCs w:val="24"/>
              </w:rPr>
              <w:t>Marchandises (tomates périmées)</w:t>
            </w:r>
          </w:p>
        </w:tc>
        <w:tc>
          <w:tcPr>
            <w:tcW w:w="1400" w:type="pct"/>
            <w:tcMar>
              <w:top w:w="28" w:type="dxa"/>
              <w:left w:w="80" w:type="dxa"/>
              <w:bottom w:w="28" w:type="dxa"/>
              <w:right w:w="80" w:type="dxa"/>
            </w:tcMar>
            <w:vAlign w:val="center"/>
          </w:tcPr>
          <w:p w14:paraId="2A06E295" w14:textId="77777777" w:rsidR="0042033D" w:rsidRDefault="00000000">
            <w:pPr>
              <w:spacing w:line="232" w:lineRule="auto"/>
              <w:rPr>
                <w:sz w:val="24"/>
                <w:szCs w:val="24"/>
              </w:rPr>
            </w:pPr>
            <w:r>
              <w:rPr>
                <w:sz w:val="24"/>
                <w:szCs w:val="24"/>
              </w:rPr>
              <w:t>Déchets agroalimentaires standardisés</w:t>
            </w:r>
          </w:p>
        </w:tc>
        <w:tc>
          <w:tcPr>
            <w:tcW w:w="1400" w:type="pct"/>
            <w:tcMar>
              <w:top w:w="28" w:type="dxa"/>
              <w:left w:w="80" w:type="dxa"/>
              <w:bottom w:w="28" w:type="dxa"/>
              <w:right w:w="80" w:type="dxa"/>
            </w:tcMar>
            <w:vAlign w:val="center"/>
          </w:tcPr>
          <w:p w14:paraId="652F287F" w14:textId="77777777" w:rsidR="0042033D" w:rsidRDefault="00000000">
            <w:pPr>
              <w:spacing w:line="232" w:lineRule="auto"/>
              <w:rPr>
                <w:sz w:val="24"/>
                <w:szCs w:val="24"/>
              </w:rPr>
            </w:pPr>
            <w:r>
              <w:rPr>
                <w:sz w:val="24"/>
                <w:szCs w:val="24"/>
              </w:rPr>
              <w:t>45 T par an</w:t>
            </w:r>
          </w:p>
        </w:tc>
        <w:tc>
          <w:tcPr>
            <w:tcW w:w="1100" w:type="pct"/>
            <w:tcMar>
              <w:top w:w="28" w:type="dxa"/>
              <w:left w:w="80" w:type="dxa"/>
              <w:bottom w:w="28" w:type="dxa"/>
              <w:right w:w="80" w:type="dxa"/>
            </w:tcMar>
            <w:vAlign w:val="center"/>
          </w:tcPr>
          <w:p w14:paraId="5D317D15" w14:textId="77777777" w:rsidR="0042033D" w:rsidRDefault="00000000">
            <w:pPr>
              <w:spacing w:line="232" w:lineRule="auto"/>
              <w:rPr>
                <w:sz w:val="24"/>
                <w:szCs w:val="24"/>
              </w:rPr>
            </w:pPr>
            <w:r>
              <w:rPr>
                <w:sz w:val="24"/>
                <w:szCs w:val="24"/>
              </w:rPr>
              <w:t>Élevée</w:t>
            </w:r>
          </w:p>
        </w:tc>
      </w:tr>
      <w:tr w:rsidR="0042033D" w14:paraId="4C4EE90C" w14:textId="77777777">
        <w:trPr>
          <w:cantSplit/>
        </w:trPr>
        <w:tc>
          <w:tcPr>
            <w:tcW w:w="1100" w:type="pct"/>
            <w:tcMar>
              <w:top w:w="28" w:type="dxa"/>
              <w:left w:w="80" w:type="dxa"/>
              <w:bottom w:w="28" w:type="dxa"/>
              <w:right w:w="80" w:type="dxa"/>
            </w:tcMar>
            <w:vAlign w:val="center"/>
          </w:tcPr>
          <w:p w14:paraId="4887CE48" w14:textId="77777777" w:rsidR="0042033D" w:rsidRDefault="00000000">
            <w:pPr>
              <w:spacing w:line="232" w:lineRule="auto"/>
              <w:rPr>
                <w:sz w:val="24"/>
                <w:szCs w:val="24"/>
              </w:rPr>
            </w:pPr>
            <w:r>
              <w:rPr>
                <w:b/>
                <w:bCs/>
                <w:sz w:val="24"/>
                <w:szCs w:val="24"/>
              </w:rPr>
              <w:t>Cultures de litchi (saison)</w:t>
            </w:r>
          </w:p>
        </w:tc>
        <w:tc>
          <w:tcPr>
            <w:tcW w:w="1400" w:type="pct"/>
            <w:tcMar>
              <w:top w:w="28" w:type="dxa"/>
              <w:left w:w="80" w:type="dxa"/>
              <w:bottom w:w="28" w:type="dxa"/>
              <w:right w:w="80" w:type="dxa"/>
            </w:tcMar>
            <w:vAlign w:val="center"/>
          </w:tcPr>
          <w:p w14:paraId="1D018131" w14:textId="77777777" w:rsidR="0042033D" w:rsidRDefault="00000000">
            <w:pPr>
              <w:spacing w:line="232" w:lineRule="auto"/>
              <w:rPr>
                <w:sz w:val="24"/>
                <w:szCs w:val="24"/>
              </w:rPr>
            </w:pPr>
            <w:r>
              <w:rPr>
                <w:sz w:val="24"/>
                <w:szCs w:val="24"/>
              </w:rPr>
              <w:t>Déchets de récolte</w:t>
            </w:r>
          </w:p>
        </w:tc>
        <w:tc>
          <w:tcPr>
            <w:tcW w:w="1400" w:type="pct"/>
            <w:tcMar>
              <w:top w:w="28" w:type="dxa"/>
              <w:left w:w="80" w:type="dxa"/>
              <w:bottom w:w="28" w:type="dxa"/>
              <w:right w:w="80" w:type="dxa"/>
            </w:tcMar>
            <w:vAlign w:val="center"/>
          </w:tcPr>
          <w:p w14:paraId="5DC5F0E4" w14:textId="77777777" w:rsidR="0042033D" w:rsidRDefault="00000000">
            <w:pPr>
              <w:spacing w:line="232" w:lineRule="auto"/>
              <w:rPr>
                <w:sz w:val="24"/>
                <w:szCs w:val="24"/>
              </w:rPr>
            </w:pPr>
            <w:r>
              <w:rPr>
                <w:sz w:val="24"/>
                <w:szCs w:val="24"/>
              </w:rPr>
              <w:t>≈ 564 T collectées (saison 2025)</w:t>
            </w:r>
          </w:p>
        </w:tc>
        <w:tc>
          <w:tcPr>
            <w:tcW w:w="1100" w:type="pct"/>
            <w:tcMar>
              <w:top w:w="28" w:type="dxa"/>
              <w:left w:w="80" w:type="dxa"/>
              <w:bottom w:w="28" w:type="dxa"/>
              <w:right w:w="80" w:type="dxa"/>
            </w:tcMar>
            <w:vAlign w:val="center"/>
          </w:tcPr>
          <w:p w14:paraId="0DB74E99" w14:textId="77777777" w:rsidR="0042033D" w:rsidRDefault="00000000">
            <w:pPr>
              <w:spacing w:line="232" w:lineRule="auto"/>
              <w:rPr>
                <w:sz w:val="24"/>
                <w:szCs w:val="24"/>
              </w:rPr>
            </w:pPr>
            <w:r>
              <w:rPr>
                <w:sz w:val="24"/>
                <w:szCs w:val="24"/>
              </w:rPr>
              <w:t>Saisonnière — pic de novembre à janvier</w:t>
            </w:r>
          </w:p>
        </w:tc>
      </w:tr>
    </w:tbl>
    <w:p w14:paraId="0A4F444F" w14:textId="77777777" w:rsidR="0042033D" w:rsidRDefault="00000000">
      <w:pPr>
        <w:pStyle w:val="Heading2"/>
        <w:spacing w:before="150" w:after="60"/>
        <w:rPr>
          <w:rFonts w:ascii="Times New Roman" w:hAnsi="Times New Roman"/>
        </w:rPr>
      </w:pPr>
      <w:bookmarkStart w:id="46" w:name="_Toc100046"/>
      <w:r>
        <w:rPr>
          <w:rFonts w:ascii="Times New Roman" w:hAnsi="Times New Roman"/>
        </w:rPr>
        <w:t>12.1 Stratégie de diversification, de sécurisation et financement du cycle FDA</w:t>
      </w:r>
      <w:bookmarkEnd w:id="46"/>
    </w:p>
    <w:p w14:paraId="1DFC4119" w14:textId="77777777" w:rsidR="0042033D" w:rsidRDefault="00000000">
      <w:pPr>
        <w:spacing w:after="60"/>
        <w:jc w:val="both"/>
        <w:rPr>
          <w:sz w:val="24"/>
          <w:szCs w:val="24"/>
        </w:rPr>
      </w:pPr>
      <w:r>
        <w:rPr>
          <w:sz w:val="24"/>
          <w:szCs w:val="24"/>
        </w:rPr>
        <w:t>La stratégie d'approvisionnement repose sur trois principes. Premièrement, la diversification : sept sources principales sont mobilisées, réparties entre complexes agro-industriels (SCRIMAD, MAFI, restaurants), marchés urbains (Bazary), élevages locaux (fientes) et cultures saisonnières (litchi de novembre à janvier). Deuxièmement, la contractualisation : les fournisseurs majeurs signent des contrats exclusifs de collecte de trois ans, assortis de volumes minimum garantis, de conditions tarifaires verrouillées et de pénalités plafonnées de rupture anticipée (modèle type en Annexe G) ; cette exclusivité protège simultanément le coût de revient et la continuité de la production face à l'émergence d'usages concurrents des substrats. Un plan B est acté : des sources alternatives préqualifiées au-delà de cinquante kilomètres (Brickaville, Mahambo), dont le surcoût logistique est plafonné à environ +18 $ par tonne de frass. Troisièmement, le stockage tampon sur site (quatre à six semaines de substrat) absorbe les variations de disponibilité.</w:t>
      </w:r>
    </w:p>
    <w:p w14:paraId="715A30F9" w14:textId="59F67016" w:rsidR="0042033D" w:rsidRDefault="00000000">
      <w:pPr>
        <w:spacing w:after="60"/>
        <w:jc w:val="both"/>
        <w:rPr>
          <w:sz w:val="24"/>
          <w:szCs w:val="24"/>
        </w:rPr>
      </w:pPr>
      <w:r>
        <w:rPr>
          <w:sz w:val="24"/>
          <w:szCs w:val="24"/>
        </w:rPr>
        <w:t xml:space="preserve">S'agissant du financement du cycle institutionnel, le financement catalytique de 50 000 $ consacre désormais </w:t>
      </w:r>
      <w:r>
        <w:rPr>
          <w:b/>
          <w:bCs/>
          <w:sz w:val="24"/>
          <w:szCs w:val="24"/>
        </w:rPr>
        <w:t>18 000 $ au besoin en fonds de roulement</w:t>
      </w:r>
      <w:r>
        <w:rPr>
          <w:sz w:val="24"/>
          <w:szCs w:val="24"/>
        </w:rPr>
        <w:t xml:space="preserve">, conformément au choix retenu à enveloppe constante : ce niveau dimensionne la réserve sur l'hypothèse prudente d'un </w:t>
      </w:r>
      <w:r>
        <w:rPr>
          <w:b/>
          <w:bCs/>
          <w:sz w:val="24"/>
          <w:szCs w:val="24"/>
        </w:rPr>
        <w:t xml:space="preserve">retard </w:t>
      </w:r>
      <w:r>
        <w:rPr>
          <w:b/>
          <w:bCs/>
          <w:sz w:val="24"/>
          <w:szCs w:val="24"/>
        </w:rPr>
        <w:lastRenderedPageBreak/>
        <w:t>de paiement FDA porté à 120 jours</w:t>
      </w:r>
      <w:r>
        <w:rPr>
          <w:sz w:val="24"/>
          <w:szCs w:val="24"/>
        </w:rPr>
        <w:t xml:space="preserve"> (encours moyen d'environ 18 400 $ sur le chiffre d'affaires institutionnel projeté de 56 K $ en 2026, contre 13 800 $ à 90 jours) et couvre le préfinancement des stocks tampon ; il est financé par redéploiement partiel des postes CAPEX et expansion, dont les montants ont été optimisés après comparaison de deux devis par équipement et décalage d'une partie des bacs d'élevage sur l'autofinancement 2026. En complément, une </w:t>
      </w:r>
      <w:r>
        <w:rPr>
          <w:b/>
          <w:bCs/>
          <w:sz w:val="24"/>
          <w:szCs w:val="24"/>
        </w:rPr>
        <w:t xml:space="preserve">ligne de crédit court terme a été négociée avec la </w:t>
      </w:r>
      <w:r w:rsidR="001166A1">
        <w:rPr>
          <w:b/>
          <w:bCs/>
          <w:sz w:val="24"/>
          <w:szCs w:val="24"/>
          <w:lang w:val="fr-FR"/>
        </w:rPr>
        <w:t>BNI</w:t>
      </w:r>
      <w:r>
        <w:rPr>
          <w:sz w:val="24"/>
          <w:szCs w:val="24"/>
        </w:rPr>
        <w:t xml:space="preserve"> : montant 15 000 $, taux 12 % par an, durée six mois renouvelable, garantie constituée du nantissement des créances FDA et d'une caution solidaire du gérant ; son coût s'établit à environ 450 $ par trimestre d'utilisation (≈ 0,8 % du chiffre d'affaires annuel 2026 par trimestre mobilisé). En cas de retard FDA supérieur à 120 jours, l'entreprise activera cette ligne — la lettre de la </w:t>
      </w:r>
      <w:r w:rsidR="00ED4AD3">
        <w:rPr>
          <w:sz w:val="24"/>
          <w:szCs w:val="24"/>
        </w:rPr>
        <w:t>BNI</w:t>
      </w:r>
      <w:r>
        <w:rPr>
          <w:sz w:val="24"/>
          <w:szCs w:val="24"/>
        </w:rPr>
        <w:t xml:space="preserve"> confirmant l'existence et les conditions de la ligne figure en salle de données —, la contractualisation définitive constituant une condition à lever au T1 2027 (cf. section 18.1).</w:t>
      </w:r>
    </w:p>
    <w:p w14:paraId="2C15B8F1" w14:textId="77777777" w:rsidR="0042033D" w:rsidRDefault="00000000">
      <w:pPr>
        <w:pStyle w:val="Heading2"/>
        <w:spacing w:before="150" w:after="60"/>
        <w:rPr>
          <w:rFonts w:ascii="Times New Roman" w:hAnsi="Times New Roman"/>
        </w:rPr>
      </w:pPr>
      <w:bookmarkStart w:id="47" w:name="_Toc100047"/>
      <w:r>
        <w:rPr>
          <w:rFonts w:ascii="Times New Roman" w:hAnsi="Times New Roman"/>
        </w:rPr>
        <w:t>12.2 Logistique de collecte et de distribution</w:t>
      </w:r>
      <w:bookmarkEnd w:id="47"/>
    </w:p>
    <w:p w14:paraId="5864D263" w14:textId="77777777" w:rsidR="0042033D" w:rsidRDefault="00000000">
      <w:pPr>
        <w:spacing w:after="60"/>
        <w:jc w:val="both"/>
        <w:rPr>
          <w:sz w:val="24"/>
          <w:szCs w:val="24"/>
        </w:rPr>
      </w:pPr>
      <w:r>
        <w:rPr>
          <w:sz w:val="24"/>
          <w:szCs w:val="24"/>
        </w:rPr>
        <w:t>La logistique amont (collecte) et aval (distribution) mobilise un tracteur pour la collecte locale dans un rayon de 30 km autour de Toamasina et un Kubota pour les déplacements plus longs. Les coûts de carburant représentent environ 2,3 millions d'Ariary par an (510 $). La distribution vers les clients B2B et les revendeurs B2C est assurée en propre pour les volumes inférieurs à 2 tonnes, et par transporteur tiers pour les volumes supérieurs. Le coût de livraison (frais PUPRA et dépenses d'équipes) représente environ 6,8 millions d'Ariary par an (1 500 $).</w:t>
      </w:r>
    </w:p>
    <w:p w14:paraId="2EE7FBD4" w14:textId="77777777" w:rsidR="0042033D" w:rsidRDefault="00000000">
      <w:pPr>
        <w:pStyle w:val="Heading2"/>
        <w:spacing w:before="150" w:after="60"/>
        <w:rPr>
          <w:rFonts w:ascii="Times New Roman" w:hAnsi="Times New Roman"/>
        </w:rPr>
      </w:pPr>
      <w:bookmarkStart w:id="48" w:name="_Toc100048"/>
      <w:r>
        <w:rPr>
          <w:rFonts w:ascii="Times New Roman" w:hAnsi="Times New Roman"/>
        </w:rPr>
        <w:t>12.3 Risques d'approvisionnement et mesures d'atténuation</w:t>
      </w:r>
      <w:bookmarkEnd w:id="48"/>
    </w:p>
    <w:p w14:paraId="14B4C205" w14:textId="77777777" w:rsidR="0042033D" w:rsidRDefault="00000000">
      <w:pPr>
        <w:spacing w:after="60"/>
        <w:jc w:val="both"/>
        <w:rPr>
          <w:sz w:val="24"/>
          <w:szCs w:val="24"/>
          <w:lang w:val="fr-FR"/>
        </w:rPr>
      </w:pPr>
      <w:r>
        <w:rPr>
          <w:sz w:val="24"/>
          <w:szCs w:val="24"/>
        </w:rPr>
        <w:t>Les principaux risques identifiés sont la saisonnalité de certaines sources (litchi, déchets de récolte), la sensibilité aux cyclones tropicaux — le cyclone Gezani, en février 2026, a interrompu la collecte pendant deux semaines avant une reprise complète —, la disponibilité variable des marchés urbains et, de façon croissante, le risque de conflit d'usage des substrats lié à l'arrivée d'autres valorisateurs (composteurs, méthaniseurs, éleveurs auto-consommateurs). Les mesures d'atténuation incluent la diversification systématique des sources, le stockage tampon de quatre à six semaines, les contrats exclusifs de collecte sur trois ans auprès des fournisseurs majeurs (Annexe G), l'activation éventuelle du plan B géographique préqualifié (surcoût plafonné à +18 $ par tonne) et l'investissement dans une infrastructure de stockage couvert.</w:t>
      </w:r>
    </w:p>
    <w:p w14:paraId="6C2A636A" w14:textId="77777777" w:rsidR="005C594B" w:rsidRDefault="005C594B">
      <w:pPr>
        <w:spacing w:after="60"/>
        <w:jc w:val="both"/>
        <w:rPr>
          <w:sz w:val="24"/>
          <w:szCs w:val="24"/>
          <w:lang w:val="fr-FR"/>
        </w:rPr>
      </w:pPr>
    </w:p>
    <w:p w14:paraId="524EFB59" w14:textId="77777777" w:rsidR="005C594B" w:rsidRDefault="005C594B">
      <w:pPr>
        <w:spacing w:after="60"/>
        <w:jc w:val="both"/>
        <w:rPr>
          <w:sz w:val="24"/>
          <w:szCs w:val="24"/>
          <w:lang w:val="fr-FR"/>
        </w:rPr>
      </w:pPr>
    </w:p>
    <w:p w14:paraId="7DC05C9F" w14:textId="77777777" w:rsidR="005C594B" w:rsidRDefault="005C594B">
      <w:pPr>
        <w:spacing w:after="60"/>
        <w:jc w:val="both"/>
        <w:rPr>
          <w:sz w:val="24"/>
          <w:szCs w:val="24"/>
          <w:lang w:val="fr-FR"/>
        </w:rPr>
      </w:pPr>
    </w:p>
    <w:p w14:paraId="28C78255" w14:textId="77777777" w:rsidR="005C594B" w:rsidRDefault="005C594B">
      <w:pPr>
        <w:spacing w:after="60"/>
        <w:jc w:val="both"/>
        <w:rPr>
          <w:sz w:val="24"/>
          <w:szCs w:val="24"/>
          <w:lang w:val="fr-FR"/>
        </w:rPr>
      </w:pPr>
    </w:p>
    <w:p w14:paraId="02C131D6" w14:textId="77777777" w:rsidR="005C594B" w:rsidRDefault="005C594B">
      <w:pPr>
        <w:spacing w:after="60"/>
        <w:jc w:val="both"/>
        <w:rPr>
          <w:sz w:val="24"/>
          <w:szCs w:val="24"/>
          <w:lang w:val="fr-FR"/>
        </w:rPr>
      </w:pPr>
    </w:p>
    <w:p w14:paraId="17ADD221" w14:textId="77777777" w:rsidR="005C594B" w:rsidRDefault="005C594B">
      <w:pPr>
        <w:spacing w:after="60"/>
        <w:jc w:val="both"/>
        <w:rPr>
          <w:sz w:val="24"/>
          <w:szCs w:val="24"/>
          <w:lang w:val="fr-FR"/>
        </w:rPr>
      </w:pPr>
    </w:p>
    <w:p w14:paraId="18A1C2B2" w14:textId="77777777" w:rsidR="005C594B" w:rsidRPr="005C594B" w:rsidRDefault="005C594B">
      <w:pPr>
        <w:spacing w:after="60"/>
        <w:jc w:val="both"/>
        <w:rPr>
          <w:sz w:val="24"/>
          <w:szCs w:val="24"/>
          <w:lang w:val="fr-FR"/>
        </w:rPr>
      </w:pPr>
    </w:p>
    <w:p w14:paraId="7583F0A9"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49" w:name="_Toc238821292"/>
      <w:r w:rsidRPr="005C594B">
        <w:rPr>
          <w:rFonts w:ascii="League Spartan" w:hAnsi="League Spartan"/>
          <w:sz w:val="40"/>
          <w:szCs w:val="40"/>
        </w:rPr>
        <w:lastRenderedPageBreak/>
        <w:t>13. Technologie et infrastructure</w:t>
      </w:r>
      <w:bookmarkEnd w:id="49"/>
    </w:p>
    <w:p w14:paraId="61B48219" w14:textId="77777777" w:rsidR="0042033D" w:rsidRDefault="00000000">
      <w:pPr>
        <w:spacing w:after="60"/>
        <w:jc w:val="both"/>
        <w:rPr>
          <w:sz w:val="24"/>
          <w:szCs w:val="24"/>
        </w:rPr>
      </w:pPr>
      <w:r>
        <w:rPr>
          <w:sz w:val="24"/>
          <w:szCs w:val="24"/>
        </w:rPr>
        <w:t>La maîtrise technologique constitue le cœur de l'avantage compétitif opérationnel. Elle ne réside pas dans une technologie brevetée mais dans la combinaison d'un savoir-faire entomologique acclimaté, d'un manuel de procédures opératoires standard industrialisé, d'une base de données opérationnelle accumulée sur trente mois et de l'appui d'un comité consultatif technique pluridisciplinaire.</w:t>
      </w:r>
    </w:p>
    <w:p w14:paraId="64EFD8EA" w14:textId="77777777" w:rsidR="0042033D" w:rsidRDefault="00000000">
      <w:pPr>
        <w:pStyle w:val="Heading2"/>
        <w:spacing w:before="150" w:after="60"/>
        <w:rPr>
          <w:rFonts w:ascii="Times New Roman" w:hAnsi="Times New Roman"/>
        </w:rPr>
      </w:pPr>
      <w:bookmarkStart w:id="50" w:name="_Toc100050"/>
      <w:r>
        <w:rPr>
          <w:rFonts w:ascii="Times New Roman" w:hAnsi="Times New Roman"/>
        </w:rPr>
        <w:t>13.1 Le manuel SOP industriel : propriété intellectuelle opérationnelle</w:t>
      </w:r>
      <w:bookmarkEnd w:id="50"/>
    </w:p>
    <w:p w14:paraId="60616F0F" w14:textId="77777777" w:rsidR="0042033D" w:rsidRDefault="00000000">
      <w:pPr>
        <w:spacing w:after="60"/>
        <w:jc w:val="both"/>
        <w:rPr>
          <w:sz w:val="24"/>
          <w:szCs w:val="24"/>
        </w:rPr>
      </w:pPr>
      <w:r>
        <w:rPr>
          <w:sz w:val="24"/>
          <w:szCs w:val="24"/>
        </w:rPr>
        <w:t>Le manuel de procédures opératoires standard est un document de référence de 144 pages, en version 1.0, daté du 11 juillet 2026 et diffusé de manière contrôlée. Élaboré avec l'appui du comité consultatif technique, il couvre l'entomologie appliquée, l'ingénierie industrielle (Lean Manufacturing, Six Sigma, Kaizen), la nutrition des insectes, l'agronomie, la statistique et les plans d'expériences, la biosécurité (HACCP), les normes ISO (9001, 14001, 22000, 45001, GMP, GLP), la chaîne d'approvisionnement, la maintenance préventive et prédictive, l'instrumentation connectée, la biostatistique et l'audit scientifique. Il documente l'ensemble des paramètres opératoires critiques, les procédures de contrôle qualité à chaque étape, les protocoles de biosécurité et de maintenance préventive.</w:t>
      </w:r>
    </w:p>
    <w:p w14:paraId="14EE7B6D" w14:textId="77777777" w:rsidR="0042033D" w:rsidRDefault="00000000">
      <w:pPr>
        <w:spacing w:after="60"/>
        <w:jc w:val="both"/>
        <w:rPr>
          <w:sz w:val="24"/>
          <w:szCs w:val="24"/>
        </w:rPr>
      </w:pPr>
      <w:r>
        <w:rPr>
          <w:sz w:val="24"/>
          <w:szCs w:val="24"/>
        </w:rPr>
        <w:t xml:space="preserve">Sur le plan juridique, </w:t>
      </w:r>
      <w:r>
        <w:rPr>
          <w:b/>
          <w:bCs/>
          <w:sz w:val="24"/>
          <w:szCs w:val="24"/>
        </w:rPr>
        <w:t>le SOP est protégé par le droit d'auteur malgache (loi n° 2005-021 sur la propriété littéraire et artistique) en tant qu'œuvre de l'esprit. Un dépôt auprès de l'OMAPI (Office Malgache de la Propriété Intellectuelle) est prévu au T1 2027 pour formaliser cette protection.</w:t>
      </w:r>
      <w:r>
        <w:rPr>
          <w:sz w:val="24"/>
          <w:szCs w:val="24"/>
        </w:rPr>
        <w:t xml:space="preserve"> La réplication d'un référentiel équivalent, incluant l'acclimatation de la souche aux substrats tropicaux malgaches et l'accumulation de 30 mois de données opératoires, est estimée entre 18 et 24 mois. Le coût associé (150-200 K$) est une estimation interne fondée sur le coût réel de développement supporté par B.S.F. et les coûts de marché d'un accompagnement expert international ; il n'a pas fait l'objet d'une valorisation par tiers indépendant. Cette fourchette exprime un coût de réplication opérationnelle et non une valeur comptable d'actif : conformément aux règles prudentielles du référentiel comptable malgache, le savoir-faire généré en interne n'est pas capitalisé à l'actif au titre des immobilisations incorporelles, ce qui conduit à ne présenter cet atout que comme une barrière à l'entrée économique plutôt que comme une valeur immobilisée.</w:t>
      </w:r>
    </w:p>
    <w:p w14:paraId="1C01CA6F" w14:textId="77777777" w:rsidR="0042033D" w:rsidRDefault="00000000">
      <w:pPr>
        <w:pStyle w:val="Heading2"/>
        <w:spacing w:before="150" w:after="60"/>
        <w:rPr>
          <w:rFonts w:ascii="Times New Roman" w:hAnsi="Times New Roman"/>
        </w:rPr>
      </w:pPr>
      <w:bookmarkStart w:id="51" w:name="_Toc100051"/>
      <w:r>
        <w:rPr>
          <w:rFonts w:ascii="Times New Roman" w:hAnsi="Times New Roman"/>
        </w:rPr>
        <w:t>13.2 Infrastructure actuelle et plan d'évolution</w:t>
      </w:r>
      <w:bookmarkEnd w:id="51"/>
    </w:p>
    <w:p w14:paraId="0BBFC2E5" w14:textId="77777777" w:rsidR="0042033D" w:rsidRDefault="00000000">
      <w:pPr>
        <w:spacing w:after="60"/>
        <w:jc w:val="both"/>
        <w:rPr>
          <w:sz w:val="24"/>
          <w:szCs w:val="24"/>
        </w:rPr>
      </w:pPr>
      <w:r>
        <w:rPr>
          <w:sz w:val="24"/>
          <w:szCs w:val="24"/>
        </w:rPr>
        <w:t xml:space="preserve">L'infrastructure actuelle — hangar BSF principal d'environ 200 m², cinq machines de production, tracteur et Kubota de collecte, zones de stockage, criblage, séchage et conditionnement — est dimensionnée pour la capacité actuelle de 10 tonnes par mois. Le plan d'évolution prévoit trois paliers : le premier (2026, post-financement) ajoute sécheurs solaires et mécaniques, mélangeurs industriels, tables de séparation et bacs d'élevage pour porter la capacité dans la fourchette de 18-22 tonnes par mois et industrialiser la ligne de séchage des larves ; le deuxième (2027-2028) vise un second hangar de production et l'extension des équipements de </w:t>
      </w:r>
      <w:r>
        <w:rPr>
          <w:sz w:val="24"/>
          <w:szCs w:val="24"/>
        </w:rPr>
        <w:lastRenderedPageBreak/>
        <w:t>transformation des larves, en cohérence avec le financement de scale-up ; le troisième (2029-2030) porte la capacité aux niveaux semi-industriels projetés de 46 à 56 tonnes mensuelles, l'architecture du site demeurant compatible avec une configuration future de 3 tonnes par jour.</w:t>
      </w:r>
    </w:p>
    <w:p w14:paraId="56A47201" w14:textId="77777777" w:rsidR="0042033D" w:rsidRDefault="00000000">
      <w:pPr>
        <w:pStyle w:val="Heading2"/>
        <w:spacing w:before="150" w:after="60"/>
        <w:rPr>
          <w:rFonts w:ascii="Times New Roman" w:hAnsi="Times New Roman"/>
        </w:rPr>
      </w:pPr>
      <w:bookmarkStart w:id="52" w:name="_Toc100052"/>
      <w:r>
        <w:rPr>
          <w:rFonts w:ascii="Times New Roman" w:hAnsi="Times New Roman"/>
        </w:rPr>
        <w:t>13.3 Système d'information et suivi opérationnel</w:t>
      </w:r>
      <w:bookmarkEnd w:id="52"/>
    </w:p>
    <w:p w14:paraId="7DB66DA5" w14:textId="77777777" w:rsidR="0042033D" w:rsidRDefault="00000000">
      <w:pPr>
        <w:spacing w:after="60"/>
        <w:jc w:val="both"/>
        <w:rPr>
          <w:sz w:val="24"/>
          <w:szCs w:val="24"/>
        </w:rPr>
      </w:pPr>
      <w:r>
        <w:rPr>
          <w:sz w:val="24"/>
          <w:szCs w:val="24"/>
        </w:rPr>
        <w:t>Le suivi opérationnel repose sur des fiches de production journalières (Bilan BSF Larve) qui enregistrent, pour chaque cycle, les quantités d'œufs, de néonates, de pupes, de frass produit, de larves triées, de déchets traités et de provende ; elles alimentent un tableau de bord mensuel d'analyse des tendances et d'optimisation des paramètres. À l'horizon 2027-2028, ce suivi sera digitalisé via une instrumentation connectée (capteurs de température, d'humidité et de poids) reliée à une plateforme de gestion centralisée.</w:t>
      </w:r>
    </w:p>
    <w:p w14:paraId="5A99589D"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53" w:name="_Toc238821293"/>
      <w:r w:rsidRPr="005C594B">
        <w:rPr>
          <w:rFonts w:ascii="League Spartan" w:hAnsi="League Spartan"/>
          <w:sz w:val="40"/>
          <w:szCs w:val="40"/>
        </w:rPr>
        <w:t>14. Ressources humaines</w:t>
      </w:r>
      <w:bookmarkEnd w:id="53"/>
    </w:p>
    <w:p w14:paraId="47E95AAC" w14:textId="77777777" w:rsidR="0042033D" w:rsidRDefault="00000000">
      <w:pPr>
        <w:spacing w:after="60"/>
        <w:jc w:val="both"/>
        <w:rPr>
          <w:sz w:val="24"/>
          <w:szCs w:val="24"/>
        </w:rPr>
      </w:pPr>
      <w:r>
        <w:rPr>
          <w:sz w:val="24"/>
          <w:szCs w:val="24"/>
        </w:rPr>
        <w:t>L'équipe fondatrice réunit cinq profils complémentaires couvrant l'ensemble des dimensions critiques de l'entreprise. Cette équipe a conduit le projet du stade de preuve de concept au stade opérationnel certifié, sur trente mois d'activité, sans endettement extérieur et en dégageant un résultat net positif sur chacun des deux premiers exercices. Les fondateurs ont travaillé à titre bénévole durant la phase de construction et ne perçoivent aucune rémunération jusqu'en 2026 ; la rémunération projetée — un cumul de 6 millions de MGA par mois à compter de 2027 — est intégrée au modèle financier, ce qui démontre que la trajectoire de rentabilité n'est pas construite sur un bénévolat permanent.</w:t>
      </w:r>
    </w:p>
    <w:p w14:paraId="5E4857F1" w14:textId="77777777" w:rsidR="0042033D" w:rsidRDefault="00000000">
      <w:pPr>
        <w:keepNext/>
        <w:spacing w:before="140" w:after="50" w:line="260" w:lineRule="auto"/>
        <w:rPr>
          <w:sz w:val="24"/>
          <w:szCs w:val="24"/>
        </w:rPr>
      </w:pPr>
      <w:r>
        <w:rPr>
          <w:rFonts w:eastAsia="Arial"/>
          <w:b/>
          <w:bCs/>
          <w:color w:val="1A2330"/>
          <w:sz w:val="24"/>
          <w:szCs w:val="24"/>
        </w:rPr>
        <w:t>Tableau 9 — Équipe fondatrice de Bio Source Farm</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198"/>
        <w:gridCol w:w="2014"/>
        <w:gridCol w:w="4944"/>
      </w:tblGrid>
      <w:tr w:rsidR="0042033D" w14:paraId="5F7E0222" w14:textId="77777777">
        <w:trPr>
          <w:cantSplit/>
          <w:tblHeader/>
        </w:trPr>
        <w:tc>
          <w:tcPr>
            <w:tcW w:w="1200" w:type="pct"/>
            <w:shd w:val="clear" w:color="auto" w:fill="D4875A"/>
            <w:tcMar>
              <w:top w:w="36" w:type="dxa"/>
              <w:left w:w="80" w:type="dxa"/>
              <w:bottom w:w="36" w:type="dxa"/>
              <w:right w:w="80" w:type="dxa"/>
            </w:tcMar>
            <w:vAlign w:val="center"/>
          </w:tcPr>
          <w:p w14:paraId="1862A221" w14:textId="77777777" w:rsidR="0042033D" w:rsidRDefault="00000000">
            <w:pPr>
              <w:spacing w:line="232" w:lineRule="auto"/>
              <w:jc w:val="center"/>
              <w:rPr>
                <w:sz w:val="24"/>
                <w:szCs w:val="24"/>
              </w:rPr>
            </w:pPr>
            <w:r>
              <w:rPr>
                <w:b/>
                <w:bCs/>
                <w:color w:val="FFFFFF"/>
                <w:sz w:val="24"/>
                <w:szCs w:val="24"/>
              </w:rPr>
              <w:t>Nom</w:t>
            </w:r>
          </w:p>
        </w:tc>
        <w:tc>
          <w:tcPr>
            <w:tcW w:w="1100" w:type="pct"/>
            <w:shd w:val="clear" w:color="auto" w:fill="D4875A"/>
            <w:tcMar>
              <w:top w:w="36" w:type="dxa"/>
              <w:left w:w="80" w:type="dxa"/>
              <w:bottom w:w="36" w:type="dxa"/>
              <w:right w:w="80" w:type="dxa"/>
            </w:tcMar>
            <w:vAlign w:val="center"/>
          </w:tcPr>
          <w:p w14:paraId="1AF27CD8" w14:textId="77777777" w:rsidR="0042033D" w:rsidRDefault="00000000">
            <w:pPr>
              <w:spacing w:line="232" w:lineRule="auto"/>
              <w:jc w:val="center"/>
              <w:rPr>
                <w:sz w:val="24"/>
                <w:szCs w:val="24"/>
              </w:rPr>
            </w:pPr>
            <w:r>
              <w:rPr>
                <w:b/>
                <w:bCs/>
                <w:color w:val="FFFFFF"/>
                <w:sz w:val="24"/>
                <w:szCs w:val="24"/>
              </w:rPr>
              <w:t>Rôle</w:t>
            </w:r>
          </w:p>
        </w:tc>
        <w:tc>
          <w:tcPr>
            <w:tcW w:w="2700" w:type="pct"/>
            <w:shd w:val="clear" w:color="auto" w:fill="D4875A"/>
            <w:tcMar>
              <w:top w:w="36" w:type="dxa"/>
              <w:left w:w="80" w:type="dxa"/>
              <w:bottom w:w="36" w:type="dxa"/>
              <w:right w:w="80" w:type="dxa"/>
            </w:tcMar>
            <w:vAlign w:val="center"/>
          </w:tcPr>
          <w:p w14:paraId="63AC2E6D" w14:textId="77777777" w:rsidR="0042033D" w:rsidRDefault="00000000">
            <w:pPr>
              <w:spacing w:line="232" w:lineRule="auto"/>
              <w:jc w:val="center"/>
              <w:rPr>
                <w:sz w:val="24"/>
                <w:szCs w:val="24"/>
              </w:rPr>
            </w:pPr>
            <w:r>
              <w:rPr>
                <w:b/>
                <w:bCs/>
                <w:color w:val="FFFFFF"/>
                <w:sz w:val="24"/>
                <w:szCs w:val="24"/>
              </w:rPr>
              <w:t>Profil</w:t>
            </w:r>
          </w:p>
        </w:tc>
      </w:tr>
      <w:tr w:rsidR="0042033D" w14:paraId="0E0EF3DA" w14:textId="77777777">
        <w:trPr>
          <w:cantSplit/>
        </w:trPr>
        <w:tc>
          <w:tcPr>
            <w:tcW w:w="1200" w:type="pct"/>
            <w:tcMar>
              <w:top w:w="28" w:type="dxa"/>
              <w:left w:w="80" w:type="dxa"/>
              <w:bottom w:w="28" w:type="dxa"/>
              <w:right w:w="80" w:type="dxa"/>
            </w:tcMar>
            <w:vAlign w:val="center"/>
          </w:tcPr>
          <w:p w14:paraId="0024B9D5" w14:textId="77777777" w:rsidR="0042033D" w:rsidRDefault="00000000">
            <w:pPr>
              <w:spacing w:line="232" w:lineRule="auto"/>
              <w:rPr>
                <w:sz w:val="24"/>
                <w:szCs w:val="24"/>
              </w:rPr>
            </w:pPr>
            <w:r>
              <w:rPr>
                <w:b/>
                <w:bCs/>
                <w:sz w:val="24"/>
                <w:szCs w:val="24"/>
              </w:rPr>
              <w:t>RASOLOMAMPIONONA Tendry Ny Aina Joelson</w:t>
            </w:r>
          </w:p>
        </w:tc>
        <w:tc>
          <w:tcPr>
            <w:tcW w:w="1100" w:type="pct"/>
            <w:tcMar>
              <w:top w:w="28" w:type="dxa"/>
              <w:left w:w="80" w:type="dxa"/>
              <w:bottom w:w="28" w:type="dxa"/>
              <w:right w:w="80" w:type="dxa"/>
            </w:tcMar>
            <w:vAlign w:val="center"/>
          </w:tcPr>
          <w:p w14:paraId="1BF9CDF0" w14:textId="77777777" w:rsidR="0042033D" w:rsidRDefault="00000000">
            <w:pPr>
              <w:spacing w:line="232" w:lineRule="auto"/>
              <w:rPr>
                <w:sz w:val="24"/>
                <w:szCs w:val="24"/>
              </w:rPr>
            </w:pPr>
            <w:r>
              <w:rPr>
                <w:b/>
                <w:bCs/>
                <w:sz w:val="24"/>
                <w:szCs w:val="24"/>
              </w:rPr>
              <w:t>Gérant et fondateur</w:t>
            </w:r>
          </w:p>
        </w:tc>
        <w:tc>
          <w:tcPr>
            <w:tcW w:w="2700" w:type="pct"/>
            <w:tcMar>
              <w:top w:w="28" w:type="dxa"/>
              <w:left w:w="80" w:type="dxa"/>
              <w:bottom w:w="28" w:type="dxa"/>
              <w:right w:w="80" w:type="dxa"/>
            </w:tcMar>
            <w:vAlign w:val="center"/>
          </w:tcPr>
          <w:p w14:paraId="595E3473" w14:textId="77777777" w:rsidR="0042033D" w:rsidRDefault="00000000">
            <w:pPr>
              <w:spacing w:line="232" w:lineRule="auto"/>
              <w:rPr>
                <w:sz w:val="24"/>
                <w:szCs w:val="24"/>
              </w:rPr>
            </w:pPr>
            <w:r>
              <w:rPr>
                <w:sz w:val="24"/>
                <w:szCs w:val="24"/>
              </w:rPr>
              <w:t>Environnementaliste de formation, porteur de la vision fondatrice ; pilote la stratégie générale, les relations institutionnelles (PIC3/ACCELEREO, FDA, réseau Prix Pierre Castel) et la coordination technique du SOP</w:t>
            </w:r>
          </w:p>
        </w:tc>
      </w:tr>
      <w:tr w:rsidR="0042033D" w14:paraId="755BE346" w14:textId="77777777">
        <w:trPr>
          <w:cantSplit/>
        </w:trPr>
        <w:tc>
          <w:tcPr>
            <w:tcW w:w="1200" w:type="pct"/>
            <w:tcMar>
              <w:top w:w="28" w:type="dxa"/>
              <w:left w:w="80" w:type="dxa"/>
              <w:bottom w:w="28" w:type="dxa"/>
              <w:right w:w="80" w:type="dxa"/>
            </w:tcMar>
            <w:vAlign w:val="center"/>
          </w:tcPr>
          <w:p w14:paraId="6EAD9E07" w14:textId="77777777" w:rsidR="0042033D" w:rsidRDefault="00000000">
            <w:pPr>
              <w:spacing w:line="232" w:lineRule="auto"/>
              <w:rPr>
                <w:sz w:val="24"/>
                <w:szCs w:val="24"/>
              </w:rPr>
            </w:pPr>
            <w:r>
              <w:rPr>
                <w:b/>
                <w:bCs/>
                <w:sz w:val="24"/>
                <w:szCs w:val="24"/>
              </w:rPr>
              <w:t>RASAMIMANANA Faly</w:t>
            </w:r>
          </w:p>
        </w:tc>
        <w:tc>
          <w:tcPr>
            <w:tcW w:w="1100" w:type="pct"/>
            <w:tcMar>
              <w:top w:w="28" w:type="dxa"/>
              <w:left w:w="80" w:type="dxa"/>
              <w:bottom w:w="28" w:type="dxa"/>
              <w:right w:w="80" w:type="dxa"/>
            </w:tcMar>
            <w:vAlign w:val="center"/>
          </w:tcPr>
          <w:p w14:paraId="1594565A" w14:textId="77777777" w:rsidR="0042033D" w:rsidRDefault="00000000">
            <w:pPr>
              <w:spacing w:line="232" w:lineRule="auto"/>
              <w:rPr>
                <w:sz w:val="24"/>
                <w:szCs w:val="24"/>
              </w:rPr>
            </w:pPr>
            <w:r>
              <w:rPr>
                <w:b/>
                <w:bCs/>
                <w:sz w:val="24"/>
                <w:szCs w:val="24"/>
              </w:rPr>
              <w:t>Développement institutionnel et partenariats</w:t>
            </w:r>
          </w:p>
        </w:tc>
        <w:tc>
          <w:tcPr>
            <w:tcW w:w="2700" w:type="pct"/>
            <w:tcMar>
              <w:top w:w="28" w:type="dxa"/>
              <w:left w:w="80" w:type="dxa"/>
              <w:bottom w:w="28" w:type="dxa"/>
              <w:right w:w="80" w:type="dxa"/>
            </w:tcMar>
            <w:vAlign w:val="center"/>
          </w:tcPr>
          <w:p w14:paraId="76C16C12" w14:textId="77777777" w:rsidR="0042033D" w:rsidRDefault="00000000">
            <w:pPr>
              <w:spacing w:line="232" w:lineRule="auto"/>
              <w:rPr>
                <w:sz w:val="24"/>
                <w:szCs w:val="24"/>
              </w:rPr>
            </w:pPr>
            <w:r>
              <w:rPr>
                <w:sz w:val="24"/>
                <w:szCs w:val="24"/>
              </w:rPr>
              <w:t>Vingt ans d'expérience dans le commerce institutionnel ; a structuré le contrat cadre FDA et pilote les partenariats institutionnels</w:t>
            </w:r>
          </w:p>
        </w:tc>
      </w:tr>
      <w:tr w:rsidR="0042033D" w14:paraId="72EEFCA7" w14:textId="77777777">
        <w:trPr>
          <w:cantSplit/>
        </w:trPr>
        <w:tc>
          <w:tcPr>
            <w:tcW w:w="1200" w:type="pct"/>
            <w:tcMar>
              <w:top w:w="28" w:type="dxa"/>
              <w:left w:w="80" w:type="dxa"/>
              <w:bottom w:w="28" w:type="dxa"/>
              <w:right w:w="80" w:type="dxa"/>
            </w:tcMar>
            <w:vAlign w:val="center"/>
          </w:tcPr>
          <w:p w14:paraId="612AF4A1" w14:textId="77777777" w:rsidR="0042033D" w:rsidRDefault="00000000">
            <w:pPr>
              <w:spacing w:line="232" w:lineRule="auto"/>
              <w:rPr>
                <w:sz w:val="24"/>
                <w:szCs w:val="24"/>
              </w:rPr>
            </w:pPr>
            <w:r>
              <w:rPr>
                <w:b/>
                <w:bCs/>
                <w:sz w:val="24"/>
                <w:szCs w:val="24"/>
              </w:rPr>
              <w:t>Zafilahy Jos</w:t>
            </w:r>
          </w:p>
        </w:tc>
        <w:tc>
          <w:tcPr>
            <w:tcW w:w="1100" w:type="pct"/>
            <w:tcMar>
              <w:top w:w="28" w:type="dxa"/>
              <w:left w:w="80" w:type="dxa"/>
              <w:bottom w:w="28" w:type="dxa"/>
              <w:right w:w="80" w:type="dxa"/>
            </w:tcMar>
            <w:vAlign w:val="center"/>
          </w:tcPr>
          <w:p w14:paraId="47F7BC99" w14:textId="77777777" w:rsidR="0042033D" w:rsidRDefault="00000000">
            <w:pPr>
              <w:spacing w:line="232" w:lineRule="auto"/>
              <w:rPr>
                <w:sz w:val="24"/>
                <w:szCs w:val="24"/>
              </w:rPr>
            </w:pPr>
            <w:r>
              <w:rPr>
                <w:b/>
                <w:bCs/>
                <w:sz w:val="24"/>
                <w:szCs w:val="24"/>
              </w:rPr>
              <w:t>Production et Lean Management</w:t>
            </w:r>
          </w:p>
        </w:tc>
        <w:tc>
          <w:tcPr>
            <w:tcW w:w="2700" w:type="pct"/>
            <w:tcMar>
              <w:top w:w="28" w:type="dxa"/>
              <w:left w:w="80" w:type="dxa"/>
              <w:bottom w:w="28" w:type="dxa"/>
              <w:right w:w="80" w:type="dxa"/>
            </w:tcMar>
            <w:vAlign w:val="center"/>
          </w:tcPr>
          <w:p w14:paraId="060B19F2" w14:textId="77777777" w:rsidR="0042033D" w:rsidRDefault="00000000">
            <w:pPr>
              <w:spacing w:line="232" w:lineRule="auto"/>
              <w:rPr>
                <w:sz w:val="24"/>
                <w:szCs w:val="24"/>
              </w:rPr>
            </w:pPr>
            <w:r>
              <w:rPr>
                <w:sz w:val="24"/>
                <w:szCs w:val="24"/>
              </w:rPr>
              <w:t>Spécialiste de l'amélioration continue (Lean Six Sigma) ; structure les flux de production, standardise les postes et anime la démarche Kaizen qui fonde la documentation du SOP</w:t>
            </w:r>
          </w:p>
        </w:tc>
      </w:tr>
      <w:tr w:rsidR="0042033D" w14:paraId="5208FCD9" w14:textId="77777777">
        <w:trPr>
          <w:cantSplit/>
        </w:trPr>
        <w:tc>
          <w:tcPr>
            <w:tcW w:w="1200" w:type="pct"/>
            <w:tcMar>
              <w:top w:w="28" w:type="dxa"/>
              <w:left w:w="80" w:type="dxa"/>
              <w:bottom w:w="28" w:type="dxa"/>
              <w:right w:w="80" w:type="dxa"/>
            </w:tcMar>
            <w:vAlign w:val="center"/>
          </w:tcPr>
          <w:p w14:paraId="555F8528" w14:textId="77777777" w:rsidR="0042033D" w:rsidRDefault="00000000">
            <w:pPr>
              <w:spacing w:line="232" w:lineRule="auto"/>
              <w:rPr>
                <w:sz w:val="24"/>
                <w:szCs w:val="24"/>
              </w:rPr>
            </w:pPr>
            <w:r>
              <w:rPr>
                <w:b/>
                <w:bCs/>
                <w:sz w:val="24"/>
                <w:szCs w:val="24"/>
              </w:rPr>
              <w:t>MAMPIONONA</w:t>
            </w:r>
          </w:p>
        </w:tc>
        <w:tc>
          <w:tcPr>
            <w:tcW w:w="1100" w:type="pct"/>
            <w:tcMar>
              <w:top w:w="28" w:type="dxa"/>
              <w:left w:w="80" w:type="dxa"/>
              <w:bottom w:w="28" w:type="dxa"/>
              <w:right w:w="80" w:type="dxa"/>
            </w:tcMar>
            <w:vAlign w:val="center"/>
          </w:tcPr>
          <w:p w14:paraId="4C843E5A" w14:textId="77777777" w:rsidR="0042033D" w:rsidRDefault="00000000">
            <w:pPr>
              <w:spacing w:line="232" w:lineRule="auto"/>
              <w:rPr>
                <w:sz w:val="24"/>
                <w:szCs w:val="24"/>
              </w:rPr>
            </w:pPr>
            <w:r>
              <w:rPr>
                <w:b/>
                <w:bCs/>
                <w:sz w:val="24"/>
                <w:szCs w:val="24"/>
              </w:rPr>
              <w:t>Chef de production</w:t>
            </w:r>
          </w:p>
        </w:tc>
        <w:tc>
          <w:tcPr>
            <w:tcW w:w="2700" w:type="pct"/>
            <w:tcMar>
              <w:top w:w="28" w:type="dxa"/>
              <w:left w:w="80" w:type="dxa"/>
              <w:bottom w:w="28" w:type="dxa"/>
              <w:right w:w="80" w:type="dxa"/>
            </w:tcMar>
            <w:vAlign w:val="center"/>
          </w:tcPr>
          <w:p w14:paraId="0858CEFA" w14:textId="77777777" w:rsidR="0042033D" w:rsidRDefault="00000000">
            <w:pPr>
              <w:spacing w:line="232" w:lineRule="auto"/>
              <w:rPr>
                <w:sz w:val="24"/>
                <w:szCs w:val="24"/>
              </w:rPr>
            </w:pPr>
            <w:r>
              <w:rPr>
                <w:sz w:val="24"/>
                <w:szCs w:val="24"/>
              </w:rPr>
              <w:t>Expérimenté dans la conduite d'unités agroalimentaires ; pilote la chaîne de production BSF, la planification des cycles larvaires et la formation pratique des opérateurs</w:t>
            </w:r>
          </w:p>
        </w:tc>
      </w:tr>
      <w:tr w:rsidR="0042033D" w14:paraId="57656DC5" w14:textId="77777777">
        <w:trPr>
          <w:cantSplit/>
        </w:trPr>
        <w:tc>
          <w:tcPr>
            <w:tcW w:w="1200" w:type="pct"/>
            <w:tcMar>
              <w:top w:w="28" w:type="dxa"/>
              <w:left w:w="80" w:type="dxa"/>
              <w:bottom w:w="28" w:type="dxa"/>
              <w:right w:w="80" w:type="dxa"/>
            </w:tcMar>
            <w:vAlign w:val="center"/>
          </w:tcPr>
          <w:p w14:paraId="3DD8FB3B" w14:textId="77777777" w:rsidR="0042033D" w:rsidRDefault="00000000">
            <w:pPr>
              <w:spacing w:line="232" w:lineRule="auto"/>
              <w:rPr>
                <w:sz w:val="24"/>
                <w:szCs w:val="24"/>
              </w:rPr>
            </w:pPr>
            <w:r>
              <w:rPr>
                <w:b/>
                <w:bCs/>
                <w:sz w:val="24"/>
                <w:szCs w:val="24"/>
              </w:rPr>
              <w:t>RASOAVINJATO Mirana Carol</w:t>
            </w:r>
          </w:p>
        </w:tc>
        <w:tc>
          <w:tcPr>
            <w:tcW w:w="1100" w:type="pct"/>
            <w:tcMar>
              <w:top w:w="28" w:type="dxa"/>
              <w:left w:w="80" w:type="dxa"/>
              <w:bottom w:w="28" w:type="dxa"/>
              <w:right w:w="80" w:type="dxa"/>
            </w:tcMar>
            <w:vAlign w:val="center"/>
          </w:tcPr>
          <w:p w14:paraId="482ADD93" w14:textId="77777777" w:rsidR="0042033D" w:rsidRDefault="00000000">
            <w:pPr>
              <w:spacing w:line="232" w:lineRule="auto"/>
              <w:rPr>
                <w:sz w:val="24"/>
                <w:szCs w:val="24"/>
              </w:rPr>
            </w:pPr>
            <w:r>
              <w:rPr>
                <w:b/>
                <w:bCs/>
                <w:sz w:val="24"/>
                <w:szCs w:val="24"/>
              </w:rPr>
              <w:t>Ventes et Ressources Humaines</w:t>
            </w:r>
          </w:p>
        </w:tc>
        <w:tc>
          <w:tcPr>
            <w:tcW w:w="2700" w:type="pct"/>
            <w:tcMar>
              <w:top w:w="28" w:type="dxa"/>
              <w:left w:w="80" w:type="dxa"/>
              <w:bottom w:w="28" w:type="dxa"/>
              <w:right w:w="80" w:type="dxa"/>
            </w:tcMar>
            <w:vAlign w:val="center"/>
          </w:tcPr>
          <w:p w14:paraId="2F8333C2" w14:textId="77777777" w:rsidR="0042033D" w:rsidRDefault="00000000">
            <w:pPr>
              <w:spacing w:line="232" w:lineRule="auto"/>
              <w:rPr>
                <w:sz w:val="24"/>
                <w:szCs w:val="24"/>
              </w:rPr>
            </w:pPr>
            <w:r>
              <w:rPr>
                <w:sz w:val="24"/>
                <w:szCs w:val="24"/>
              </w:rPr>
              <w:t>En charge du développement commercial direct, du service clients et de l'administration du personnel (CNAPS, paie, sécurité au travail) ; coordonne le réseau de revendeurs locaux</w:t>
            </w:r>
          </w:p>
        </w:tc>
      </w:tr>
    </w:tbl>
    <w:p w14:paraId="693105AA" w14:textId="77777777" w:rsidR="0042033D" w:rsidRDefault="00000000">
      <w:pPr>
        <w:pStyle w:val="Heading2"/>
        <w:spacing w:before="150" w:after="60"/>
        <w:rPr>
          <w:rFonts w:ascii="Times New Roman" w:hAnsi="Times New Roman"/>
        </w:rPr>
      </w:pPr>
      <w:bookmarkStart w:id="54" w:name="_Toc100054"/>
      <w:r>
        <w:rPr>
          <w:rFonts w:ascii="Times New Roman" w:hAnsi="Times New Roman"/>
        </w:rPr>
        <w:lastRenderedPageBreak/>
        <w:t>14.1 Effectifs actuels, rémunérations et plan de renforcement</w:t>
      </w:r>
      <w:bookmarkEnd w:id="54"/>
    </w:p>
    <w:p w14:paraId="18B34891" w14:textId="77777777" w:rsidR="0042033D" w:rsidRDefault="00000000">
      <w:pPr>
        <w:spacing w:after="60"/>
        <w:jc w:val="both"/>
        <w:rPr>
          <w:sz w:val="24"/>
          <w:szCs w:val="24"/>
        </w:rPr>
      </w:pPr>
      <w:r>
        <w:rPr>
          <w:sz w:val="24"/>
          <w:szCs w:val="24"/>
        </w:rPr>
        <w:t xml:space="preserve">Au-delà de l'équipe fondatrice, l'entreprise emploie </w:t>
      </w:r>
      <w:r>
        <w:rPr>
          <w:b/>
          <w:bCs/>
          <w:sz w:val="24"/>
          <w:szCs w:val="24"/>
        </w:rPr>
        <w:t>16 ETP salariés depuis 2024, tous enregistrés au CNAPS</w:t>
      </w:r>
      <w:r>
        <w:rPr>
          <w:sz w:val="24"/>
          <w:szCs w:val="24"/>
        </w:rPr>
        <w:t xml:space="preserve"> : 14 ouvriers de production à 267 000 MGA par mois et 2 chefs ouvriers à 287 000 MGA par mois, soit une masse salariale salariée d'environ 4,31 millions de MGA par mois (≈ 11 500 $ par an). Le plan de renforcement prévoit 19 ETP fin 2026, 26 en 2027, 34 en 2028, 43 en 2029 et 52 en 2030, en cohérence avec la trajectoire de capacité (cf. section 11.3 pour la productivité associée). Les curriculum vitæ synthétiques des cinq fondateurs figurent en Annexe F ; leurs conditions de rémunération, actuelles et cibles, sont détaillées au Tableau 9 bis ci-après.</w:t>
      </w:r>
    </w:p>
    <w:p w14:paraId="30F3952E" w14:textId="77777777" w:rsidR="0042033D" w:rsidRDefault="00000000">
      <w:pPr>
        <w:keepNext/>
        <w:spacing w:before="140" w:after="50" w:line="260" w:lineRule="auto"/>
        <w:rPr>
          <w:sz w:val="24"/>
          <w:szCs w:val="24"/>
        </w:rPr>
      </w:pPr>
      <w:r>
        <w:rPr>
          <w:rFonts w:eastAsia="Arial"/>
          <w:b/>
          <w:bCs/>
          <w:color w:val="1A2330"/>
          <w:sz w:val="24"/>
          <w:szCs w:val="24"/>
        </w:rPr>
        <w:t>Tableau 9 bis — Rémunération des fondateurs : situation actuelle et normalisation dès 2027</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4212"/>
        <w:gridCol w:w="2197"/>
        <w:gridCol w:w="2747"/>
      </w:tblGrid>
      <w:tr w:rsidR="0042033D" w14:paraId="42D0A5BE" w14:textId="77777777">
        <w:trPr>
          <w:cantSplit/>
          <w:tblHeader/>
        </w:trPr>
        <w:tc>
          <w:tcPr>
            <w:tcW w:w="2300" w:type="pct"/>
            <w:shd w:val="clear" w:color="auto" w:fill="D4875A"/>
            <w:tcMar>
              <w:top w:w="36" w:type="dxa"/>
              <w:left w:w="80" w:type="dxa"/>
              <w:bottom w:w="36" w:type="dxa"/>
              <w:right w:w="80" w:type="dxa"/>
            </w:tcMar>
            <w:vAlign w:val="center"/>
          </w:tcPr>
          <w:p w14:paraId="0BAEC986" w14:textId="77777777" w:rsidR="0042033D" w:rsidRDefault="00000000">
            <w:pPr>
              <w:spacing w:line="232" w:lineRule="auto"/>
              <w:jc w:val="center"/>
              <w:rPr>
                <w:sz w:val="24"/>
                <w:szCs w:val="24"/>
              </w:rPr>
            </w:pPr>
            <w:r>
              <w:rPr>
                <w:b/>
                <w:bCs/>
                <w:color w:val="FFFFFF"/>
                <w:sz w:val="24"/>
                <w:szCs w:val="24"/>
              </w:rPr>
              <w:t>Fondateur / fonction assumée</w:t>
            </w:r>
          </w:p>
        </w:tc>
        <w:tc>
          <w:tcPr>
            <w:tcW w:w="1200" w:type="pct"/>
            <w:shd w:val="clear" w:color="auto" w:fill="D4875A"/>
            <w:tcMar>
              <w:top w:w="36" w:type="dxa"/>
              <w:left w:w="80" w:type="dxa"/>
              <w:bottom w:w="36" w:type="dxa"/>
              <w:right w:w="80" w:type="dxa"/>
            </w:tcMar>
            <w:vAlign w:val="center"/>
          </w:tcPr>
          <w:p w14:paraId="4B75DBEA" w14:textId="77777777" w:rsidR="0042033D" w:rsidRDefault="00000000">
            <w:pPr>
              <w:spacing w:line="232" w:lineRule="auto"/>
              <w:jc w:val="center"/>
              <w:rPr>
                <w:sz w:val="24"/>
                <w:szCs w:val="24"/>
              </w:rPr>
            </w:pPr>
            <w:r>
              <w:rPr>
                <w:b/>
                <w:bCs/>
                <w:color w:val="FFFFFF"/>
                <w:sz w:val="24"/>
                <w:szCs w:val="24"/>
              </w:rPr>
              <w:t>Rémunération actuelle (jusqu'en 2026)</w:t>
            </w:r>
          </w:p>
        </w:tc>
        <w:tc>
          <w:tcPr>
            <w:tcW w:w="1500" w:type="pct"/>
            <w:shd w:val="clear" w:color="auto" w:fill="D4875A"/>
            <w:tcMar>
              <w:top w:w="36" w:type="dxa"/>
              <w:left w:w="80" w:type="dxa"/>
              <w:bottom w:w="36" w:type="dxa"/>
              <w:right w:w="80" w:type="dxa"/>
            </w:tcMar>
            <w:vAlign w:val="center"/>
          </w:tcPr>
          <w:p w14:paraId="03828FBB" w14:textId="77777777" w:rsidR="0042033D" w:rsidRDefault="00000000">
            <w:pPr>
              <w:spacing w:line="232" w:lineRule="auto"/>
              <w:jc w:val="center"/>
              <w:rPr>
                <w:sz w:val="24"/>
                <w:szCs w:val="24"/>
              </w:rPr>
            </w:pPr>
            <w:r>
              <w:rPr>
                <w:b/>
                <w:bCs/>
                <w:color w:val="FFFFFF"/>
                <w:sz w:val="24"/>
                <w:szCs w:val="24"/>
              </w:rPr>
              <w:t>Rémunération cible dès 2027 (MGA/mois)</w:t>
            </w:r>
          </w:p>
        </w:tc>
      </w:tr>
      <w:tr w:rsidR="0042033D" w14:paraId="6DC46F94" w14:textId="77777777">
        <w:trPr>
          <w:cantSplit/>
        </w:trPr>
        <w:tc>
          <w:tcPr>
            <w:tcW w:w="2300" w:type="pct"/>
            <w:tcMar>
              <w:top w:w="28" w:type="dxa"/>
              <w:left w:w="80" w:type="dxa"/>
              <w:bottom w:w="28" w:type="dxa"/>
              <w:right w:w="80" w:type="dxa"/>
            </w:tcMar>
            <w:vAlign w:val="center"/>
          </w:tcPr>
          <w:p w14:paraId="59733553" w14:textId="77777777" w:rsidR="0042033D" w:rsidRDefault="00000000">
            <w:pPr>
              <w:spacing w:line="232" w:lineRule="auto"/>
              <w:rPr>
                <w:sz w:val="24"/>
                <w:szCs w:val="24"/>
              </w:rPr>
            </w:pPr>
            <w:r>
              <w:rPr>
                <w:b/>
                <w:bCs/>
                <w:sz w:val="24"/>
                <w:szCs w:val="24"/>
              </w:rPr>
              <w:t>RASOLOMAMPIONONA Tendry Ny Aina Joelson — gérance et stratégie</w:t>
            </w:r>
          </w:p>
        </w:tc>
        <w:tc>
          <w:tcPr>
            <w:tcW w:w="1200" w:type="pct"/>
            <w:tcMar>
              <w:top w:w="28" w:type="dxa"/>
              <w:left w:w="80" w:type="dxa"/>
              <w:bottom w:w="28" w:type="dxa"/>
              <w:right w:w="80" w:type="dxa"/>
            </w:tcMar>
            <w:vAlign w:val="center"/>
          </w:tcPr>
          <w:p w14:paraId="33D1A00C" w14:textId="77777777" w:rsidR="0042033D" w:rsidRDefault="00000000">
            <w:pPr>
              <w:spacing w:line="232" w:lineRule="auto"/>
              <w:jc w:val="center"/>
              <w:rPr>
                <w:sz w:val="24"/>
                <w:szCs w:val="24"/>
              </w:rPr>
            </w:pPr>
            <w:r>
              <w:rPr>
                <w:b/>
                <w:bCs/>
                <w:sz w:val="24"/>
                <w:szCs w:val="24"/>
              </w:rPr>
              <w:t>Non rémunéré</w:t>
            </w:r>
          </w:p>
        </w:tc>
        <w:tc>
          <w:tcPr>
            <w:tcW w:w="1500" w:type="pct"/>
            <w:tcMar>
              <w:top w:w="28" w:type="dxa"/>
              <w:left w:w="80" w:type="dxa"/>
              <w:bottom w:w="28" w:type="dxa"/>
              <w:right w:w="80" w:type="dxa"/>
            </w:tcMar>
            <w:vAlign w:val="center"/>
          </w:tcPr>
          <w:p w14:paraId="0BF5BF9C" w14:textId="77777777" w:rsidR="0042033D" w:rsidRDefault="00000000">
            <w:pPr>
              <w:spacing w:line="232" w:lineRule="auto"/>
              <w:jc w:val="center"/>
              <w:rPr>
                <w:sz w:val="24"/>
                <w:szCs w:val="24"/>
              </w:rPr>
            </w:pPr>
            <w:r>
              <w:rPr>
                <w:b/>
                <w:bCs/>
                <w:sz w:val="24"/>
                <w:szCs w:val="24"/>
              </w:rPr>
              <w:t>2 000 000</w:t>
            </w:r>
          </w:p>
        </w:tc>
      </w:tr>
      <w:tr w:rsidR="0042033D" w14:paraId="223B5058" w14:textId="77777777">
        <w:trPr>
          <w:cantSplit/>
        </w:trPr>
        <w:tc>
          <w:tcPr>
            <w:tcW w:w="2300" w:type="pct"/>
            <w:tcMar>
              <w:top w:w="28" w:type="dxa"/>
              <w:left w:w="80" w:type="dxa"/>
              <w:bottom w:w="28" w:type="dxa"/>
              <w:right w:w="80" w:type="dxa"/>
            </w:tcMar>
            <w:vAlign w:val="center"/>
          </w:tcPr>
          <w:p w14:paraId="23F96B8A" w14:textId="77777777" w:rsidR="0042033D" w:rsidRDefault="00000000">
            <w:pPr>
              <w:spacing w:line="232" w:lineRule="auto"/>
              <w:rPr>
                <w:sz w:val="24"/>
                <w:szCs w:val="24"/>
              </w:rPr>
            </w:pPr>
            <w:r>
              <w:rPr>
                <w:b/>
                <w:bCs/>
                <w:sz w:val="24"/>
                <w:szCs w:val="24"/>
              </w:rPr>
              <w:t>RASAMIMANANA Faly — développement institutionnel</w:t>
            </w:r>
          </w:p>
        </w:tc>
        <w:tc>
          <w:tcPr>
            <w:tcW w:w="1200" w:type="pct"/>
            <w:tcMar>
              <w:top w:w="28" w:type="dxa"/>
              <w:left w:w="80" w:type="dxa"/>
              <w:bottom w:w="28" w:type="dxa"/>
              <w:right w:w="80" w:type="dxa"/>
            </w:tcMar>
            <w:vAlign w:val="center"/>
          </w:tcPr>
          <w:p w14:paraId="329F60D4" w14:textId="77777777" w:rsidR="0042033D" w:rsidRDefault="00000000">
            <w:pPr>
              <w:spacing w:line="232" w:lineRule="auto"/>
              <w:jc w:val="center"/>
              <w:rPr>
                <w:sz w:val="24"/>
                <w:szCs w:val="24"/>
              </w:rPr>
            </w:pPr>
            <w:r>
              <w:rPr>
                <w:b/>
                <w:bCs/>
                <w:sz w:val="24"/>
                <w:szCs w:val="24"/>
              </w:rPr>
              <w:t>Non rémunéré</w:t>
            </w:r>
          </w:p>
        </w:tc>
        <w:tc>
          <w:tcPr>
            <w:tcW w:w="1500" w:type="pct"/>
            <w:tcMar>
              <w:top w:w="28" w:type="dxa"/>
              <w:left w:w="80" w:type="dxa"/>
              <w:bottom w:w="28" w:type="dxa"/>
              <w:right w:w="80" w:type="dxa"/>
            </w:tcMar>
            <w:vAlign w:val="center"/>
          </w:tcPr>
          <w:p w14:paraId="27527ABC" w14:textId="77777777" w:rsidR="0042033D" w:rsidRDefault="00000000">
            <w:pPr>
              <w:spacing w:line="232" w:lineRule="auto"/>
              <w:jc w:val="center"/>
              <w:rPr>
                <w:sz w:val="24"/>
                <w:szCs w:val="24"/>
              </w:rPr>
            </w:pPr>
            <w:r>
              <w:rPr>
                <w:b/>
                <w:bCs/>
                <w:sz w:val="24"/>
                <w:szCs w:val="24"/>
              </w:rPr>
              <w:t>1 000 000</w:t>
            </w:r>
          </w:p>
        </w:tc>
      </w:tr>
      <w:tr w:rsidR="0042033D" w14:paraId="1FC5D9E6" w14:textId="77777777">
        <w:trPr>
          <w:cantSplit/>
        </w:trPr>
        <w:tc>
          <w:tcPr>
            <w:tcW w:w="2300" w:type="pct"/>
            <w:tcMar>
              <w:top w:w="28" w:type="dxa"/>
              <w:left w:w="80" w:type="dxa"/>
              <w:bottom w:w="28" w:type="dxa"/>
              <w:right w:w="80" w:type="dxa"/>
            </w:tcMar>
            <w:vAlign w:val="center"/>
          </w:tcPr>
          <w:p w14:paraId="588615D6" w14:textId="77777777" w:rsidR="0042033D" w:rsidRDefault="00000000">
            <w:pPr>
              <w:spacing w:line="232" w:lineRule="auto"/>
              <w:rPr>
                <w:sz w:val="24"/>
                <w:szCs w:val="24"/>
              </w:rPr>
            </w:pPr>
            <w:r>
              <w:rPr>
                <w:b/>
                <w:bCs/>
                <w:sz w:val="24"/>
                <w:szCs w:val="24"/>
              </w:rPr>
              <w:t>Zafilahy Jos — production et Lean Management</w:t>
            </w:r>
          </w:p>
        </w:tc>
        <w:tc>
          <w:tcPr>
            <w:tcW w:w="1200" w:type="pct"/>
            <w:tcMar>
              <w:top w:w="28" w:type="dxa"/>
              <w:left w:w="80" w:type="dxa"/>
              <w:bottom w:w="28" w:type="dxa"/>
              <w:right w:w="80" w:type="dxa"/>
            </w:tcMar>
            <w:vAlign w:val="center"/>
          </w:tcPr>
          <w:p w14:paraId="2B0092BA" w14:textId="77777777" w:rsidR="0042033D" w:rsidRDefault="00000000">
            <w:pPr>
              <w:spacing w:line="232" w:lineRule="auto"/>
              <w:jc w:val="center"/>
              <w:rPr>
                <w:sz w:val="24"/>
                <w:szCs w:val="24"/>
              </w:rPr>
            </w:pPr>
            <w:r>
              <w:rPr>
                <w:b/>
                <w:bCs/>
                <w:sz w:val="24"/>
                <w:szCs w:val="24"/>
              </w:rPr>
              <w:t>Non rémunéré</w:t>
            </w:r>
          </w:p>
        </w:tc>
        <w:tc>
          <w:tcPr>
            <w:tcW w:w="1500" w:type="pct"/>
            <w:tcMar>
              <w:top w:w="28" w:type="dxa"/>
              <w:left w:w="80" w:type="dxa"/>
              <w:bottom w:w="28" w:type="dxa"/>
              <w:right w:w="80" w:type="dxa"/>
            </w:tcMar>
            <w:vAlign w:val="center"/>
          </w:tcPr>
          <w:p w14:paraId="5009B732" w14:textId="77777777" w:rsidR="0042033D" w:rsidRDefault="00000000">
            <w:pPr>
              <w:spacing w:line="232" w:lineRule="auto"/>
              <w:jc w:val="center"/>
              <w:rPr>
                <w:sz w:val="24"/>
                <w:szCs w:val="24"/>
              </w:rPr>
            </w:pPr>
            <w:r>
              <w:rPr>
                <w:b/>
                <w:bCs/>
                <w:sz w:val="24"/>
                <w:szCs w:val="24"/>
              </w:rPr>
              <w:t>1 000 000</w:t>
            </w:r>
          </w:p>
        </w:tc>
      </w:tr>
      <w:tr w:rsidR="0042033D" w14:paraId="03285F77" w14:textId="77777777">
        <w:trPr>
          <w:cantSplit/>
        </w:trPr>
        <w:tc>
          <w:tcPr>
            <w:tcW w:w="2300" w:type="pct"/>
            <w:tcMar>
              <w:top w:w="28" w:type="dxa"/>
              <w:left w:w="80" w:type="dxa"/>
              <w:bottom w:w="28" w:type="dxa"/>
              <w:right w:w="80" w:type="dxa"/>
            </w:tcMar>
            <w:vAlign w:val="center"/>
          </w:tcPr>
          <w:p w14:paraId="04451324" w14:textId="77777777" w:rsidR="0042033D" w:rsidRDefault="00000000">
            <w:pPr>
              <w:spacing w:line="232" w:lineRule="auto"/>
              <w:rPr>
                <w:sz w:val="24"/>
                <w:szCs w:val="24"/>
              </w:rPr>
            </w:pPr>
            <w:r>
              <w:rPr>
                <w:b/>
                <w:bCs/>
                <w:sz w:val="24"/>
                <w:szCs w:val="24"/>
              </w:rPr>
              <w:t>MAMPIONONA — coordination de production</w:t>
            </w:r>
          </w:p>
        </w:tc>
        <w:tc>
          <w:tcPr>
            <w:tcW w:w="1200" w:type="pct"/>
            <w:tcMar>
              <w:top w:w="28" w:type="dxa"/>
              <w:left w:w="80" w:type="dxa"/>
              <w:bottom w:w="28" w:type="dxa"/>
              <w:right w:w="80" w:type="dxa"/>
            </w:tcMar>
            <w:vAlign w:val="center"/>
          </w:tcPr>
          <w:p w14:paraId="68FC0399" w14:textId="77777777" w:rsidR="0042033D" w:rsidRDefault="00000000">
            <w:pPr>
              <w:spacing w:line="232" w:lineRule="auto"/>
              <w:jc w:val="center"/>
              <w:rPr>
                <w:sz w:val="24"/>
                <w:szCs w:val="24"/>
              </w:rPr>
            </w:pPr>
            <w:r>
              <w:rPr>
                <w:b/>
                <w:bCs/>
                <w:sz w:val="24"/>
                <w:szCs w:val="24"/>
              </w:rPr>
              <w:t>Non rémunéré</w:t>
            </w:r>
          </w:p>
        </w:tc>
        <w:tc>
          <w:tcPr>
            <w:tcW w:w="1500" w:type="pct"/>
            <w:tcMar>
              <w:top w:w="28" w:type="dxa"/>
              <w:left w:w="80" w:type="dxa"/>
              <w:bottom w:w="28" w:type="dxa"/>
              <w:right w:w="80" w:type="dxa"/>
            </w:tcMar>
            <w:vAlign w:val="center"/>
          </w:tcPr>
          <w:p w14:paraId="2722F547" w14:textId="77777777" w:rsidR="0042033D" w:rsidRDefault="00000000">
            <w:pPr>
              <w:spacing w:line="232" w:lineRule="auto"/>
              <w:jc w:val="center"/>
              <w:rPr>
                <w:sz w:val="24"/>
                <w:szCs w:val="24"/>
              </w:rPr>
            </w:pPr>
            <w:r>
              <w:rPr>
                <w:b/>
                <w:bCs/>
                <w:sz w:val="24"/>
                <w:szCs w:val="24"/>
              </w:rPr>
              <w:t>1 000 000</w:t>
            </w:r>
          </w:p>
        </w:tc>
      </w:tr>
      <w:tr w:rsidR="0042033D" w14:paraId="12AB5DC1" w14:textId="77777777">
        <w:trPr>
          <w:cantSplit/>
        </w:trPr>
        <w:tc>
          <w:tcPr>
            <w:tcW w:w="2300" w:type="pct"/>
            <w:tcMar>
              <w:top w:w="28" w:type="dxa"/>
              <w:left w:w="80" w:type="dxa"/>
              <w:bottom w:w="28" w:type="dxa"/>
              <w:right w:w="80" w:type="dxa"/>
            </w:tcMar>
            <w:vAlign w:val="center"/>
          </w:tcPr>
          <w:p w14:paraId="3EE31453" w14:textId="77777777" w:rsidR="0042033D" w:rsidRDefault="00000000">
            <w:pPr>
              <w:spacing w:line="232" w:lineRule="auto"/>
              <w:rPr>
                <w:sz w:val="24"/>
                <w:szCs w:val="24"/>
              </w:rPr>
            </w:pPr>
            <w:r>
              <w:rPr>
                <w:b/>
                <w:bCs/>
                <w:sz w:val="24"/>
                <w:szCs w:val="24"/>
              </w:rPr>
              <w:t>RASOAVINJATO Mirana Carol — ventes et ressources humaines</w:t>
            </w:r>
          </w:p>
        </w:tc>
        <w:tc>
          <w:tcPr>
            <w:tcW w:w="1200" w:type="pct"/>
            <w:tcMar>
              <w:top w:w="28" w:type="dxa"/>
              <w:left w:w="80" w:type="dxa"/>
              <w:bottom w:w="28" w:type="dxa"/>
              <w:right w:w="80" w:type="dxa"/>
            </w:tcMar>
            <w:vAlign w:val="center"/>
          </w:tcPr>
          <w:p w14:paraId="288F818F" w14:textId="77777777" w:rsidR="0042033D" w:rsidRDefault="00000000">
            <w:pPr>
              <w:spacing w:line="232" w:lineRule="auto"/>
              <w:jc w:val="center"/>
              <w:rPr>
                <w:sz w:val="24"/>
                <w:szCs w:val="24"/>
              </w:rPr>
            </w:pPr>
            <w:r>
              <w:rPr>
                <w:b/>
                <w:bCs/>
                <w:sz w:val="24"/>
                <w:szCs w:val="24"/>
              </w:rPr>
              <w:t>Non rémunéré</w:t>
            </w:r>
          </w:p>
        </w:tc>
        <w:tc>
          <w:tcPr>
            <w:tcW w:w="1500" w:type="pct"/>
            <w:tcMar>
              <w:top w:w="28" w:type="dxa"/>
              <w:left w:w="80" w:type="dxa"/>
              <w:bottom w:w="28" w:type="dxa"/>
              <w:right w:w="80" w:type="dxa"/>
            </w:tcMar>
            <w:vAlign w:val="center"/>
          </w:tcPr>
          <w:p w14:paraId="246A076B" w14:textId="77777777" w:rsidR="0042033D" w:rsidRDefault="00000000">
            <w:pPr>
              <w:spacing w:line="232" w:lineRule="auto"/>
              <w:jc w:val="center"/>
              <w:rPr>
                <w:sz w:val="24"/>
                <w:szCs w:val="24"/>
              </w:rPr>
            </w:pPr>
            <w:r>
              <w:rPr>
                <w:b/>
                <w:bCs/>
                <w:sz w:val="24"/>
                <w:szCs w:val="24"/>
              </w:rPr>
              <w:t>1 000 000</w:t>
            </w:r>
          </w:p>
        </w:tc>
      </w:tr>
      <w:tr w:rsidR="0042033D" w14:paraId="7559E8AF" w14:textId="77777777">
        <w:trPr>
          <w:cantSplit/>
        </w:trPr>
        <w:tc>
          <w:tcPr>
            <w:tcW w:w="2300" w:type="pct"/>
            <w:tcMar>
              <w:top w:w="28" w:type="dxa"/>
              <w:left w:w="80" w:type="dxa"/>
              <w:bottom w:w="28" w:type="dxa"/>
              <w:right w:w="80" w:type="dxa"/>
            </w:tcMar>
            <w:vAlign w:val="center"/>
          </w:tcPr>
          <w:p w14:paraId="53386C56" w14:textId="77777777" w:rsidR="0042033D" w:rsidRDefault="00000000">
            <w:pPr>
              <w:spacing w:line="232" w:lineRule="auto"/>
              <w:rPr>
                <w:sz w:val="24"/>
                <w:szCs w:val="24"/>
              </w:rPr>
            </w:pPr>
            <w:r>
              <w:rPr>
                <w:b/>
                <w:bCs/>
                <w:sz w:val="24"/>
                <w:szCs w:val="24"/>
              </w:rPr>
              <w:t>Total</w:t>
            </w:r>
          </w:p>
        </w:tc>
        <w:tc>
          <w:tcPr>
            <w:tcW w:w="1200" w:type="pct"/>
            <w:tcMar>
              <w:top w:w="28" w:type="dxa"/>
              <w:left w:w="80" w:type="dxa"/>
              <w:bottom w:w="28" w:type="dxa"/>
              <w:right w:w="80" w:type="dxa"/>
            </w:tcMar>
            <w:vAlign w:val="center"/>
          </w:tcPr>
          <w:p w14:paraId="36A0F410" w14:textId="77777777" w:rsidR="0042033D" w:rsidRDefault="00000000">
            <w:pPr>
              <w:spacing w:line="232" w:lineRule="auto"/>
              <w:jc w:val="center"/>
              <w:rPr>
                <w:sz w:val="24"/>
                <w:szCs w:val="24"/>
              </w:rPr>
            </w:pPr>
            <w:r>
              <w:rPr>
                <w:b/>
                <w:bCs/>
                <w:sz w:val="24"/>
                <w:szCs w:val="24"/>
              </w:rPr>
              <w:t>0</w:t>
            </w:r>
          </w:p>
        </w:tc>
        <w:tc>
          <w:tcPr>
            <w:tcW w:w="1500" w:type="pct"/>
            <w:tcMar>
              <w:top w:w="28" w:type="dxa"/>
              <w:left w:w="80" w:type="dxa"/>
              <w:bottom w:w="28" w:type="dxa"/>
              <w:right w:w="80" w:type="dxa"/>
            </w:tcMar>
            <w:vAlign w:val="center"/>
          </w:tcPr>
          <w:p w14:paraId="57BFD4F7" w14:textId="77777777" w:rsidR="0042033D" w:rsidRDefault="00000000">
            <w:pPr>
              <w:spacing w:line="232" w:lineRule="auto"/>
              <w:jc w:val="center"/>
              <w:rPr>
                <w:sz w:val="24"/>
                <w:szCs w:val="24"/>
              </w:rPr>
            </w:pPr>
            <w:r>
              <w:rPr>
                <w:b/>
                <w:bCs/>
                <w:sz w:val="24"/>
                <w:szCs w:val="24"/>
              </w:rPr>
              <w:t>6 000 000 MGA/mois (≈ 16 000 $/an au taux de 4 500)</w:t>
            </w:r>
          </w:p>
        </w:tc>
      </w:tr>
    </w:tbl>
    <w:p w14:paraId="1540836E" w14:textId="77777777" w:rsidR="0042033D" w:rsidRDefault="00000000">
      <w:pPr>
        <w:spacing w:after="60"/>
        <w:jc w:val="both"/>
        <w:rPr>
          <w:sz w:val="24"/>
          <w:szCs w:val="24"/>
        </w:rPr>
      </w:pPr>
      <w:r>
        <w:rPr>
          <w:sz w:val="24"/>
          <w:szCs w:val="24"/>
        </w:rPr>
        <w:t>Ce référentiel met en évidence deux faits décisifs pour l'analyse de rentabilité. D'une part, les fondateurs ne perçoivent aucune rémunération jusqu'en 2026 : la rentabilité historique certifiée est donc obtenue sans rémunération de direction. D'autre part, la rémunération projetée — 6 millions de MGA par mois cumulés dès 2027, soit environ 16 000 $ par an — est intégrée dans les charges opérationnelles du modèle prévisionnel dès cet exercice : la marge nette projetée de 11 % en 2027 est calculée après cette charge. La reconstitution pro forma des exercices certifiés intégrant cette même charge, présentée en section 21.1 (Tableau 16 bis), montre qu'à l'échelle artisanale actuelle l'entreprise se situe au voisinage de l'équilibre avec fondateurs payés, et confirme que la rentabilité cible n'est pas portée par un bénévolat permanent mais par la montée en capacité.</w:t>
      </w:r>
    </w:p>
    <w:p w14:paraId="66FEBE31" w14:textId="77777777" w:rsidR="0042033D" w:rsidRDefault="00000000">
      <w:pPr>
        <w:pStyle w:val="Heading2"/>
        <w:spacing w:before="150" w:after="60"/>
        <w:rPr>
          <w:rFonts w:ascii="Times New Roman" w:hAnsi="Times New Roman"/>
        </w:rPr>
      </w:pPr>
      <w:bookmarkStart w:id="55" w:name="_Toc100055"/>
      <w:r>
        <w:rPr>
          <w:rFonts w:ascii="Times New Roman" w:hAnsi="Times New Roman"/>
        </w:rPr>
        <w:t>14.2 Compétences clés et formation</w:t>
      </w:r>
      <w:bookmarkEnd w:id="55"/>
    </w:p>
    <w:p w14:paraId="55D35696" w14:textId="77777777" w:rsidR="0042033D" w:rsidRDefault="00000000">
      <w:pPr>
        <w:spacing w:after="60"/>
        <w:jc w:val="both"/>
        <w:rPr>
          <w:sz w:val="24"/>
          <w:szCs w:val="24"/>
        </w:rPr>
      </w:pPr>
      <w:r>
        <w:rPr>
          <w:sz w:val="24"/>
          <w:szCs w:val="24"/>
        </w:rPr>
        <w:t xml:space="preserve">Les compétences clés sont l'entomologie appliquée, la formulation des substrats, le contrôle qualité (HACCP, ISO), la gestion de production (lean), la relation client institutionnelle et commerciale et la gestion financière ; elles sont concentrées sur l'équipe fondatrice et les chefs ouvriers. Le plan de formation 2026-2027, financé par le poste RH du ticket, transfère les </w:t>
      </w:r>
      <w:r>
        <w:rPr>
          <w:sz w:val="24"/>
          <w:szCs w:val="24"/>
        </w:rPr>
        <w:lastRenderedPageBreak/>
        <w:t>compétences techniques vers les opérateurs (BSF, qualité, hygiène) et renforce le profil commercial B2B.</w:t>
      </w:r>
    </w:p>
    <w:p w14:paraId="27AD8AD7" w14:textId="77777777" w:rsidR="0042033D" w:rsidRDefault="00000000">
      <w:pPr>
        <w:pStyle w:val="Heading2"/>
        <w:spacing w:before="150" w:after="60"/>
        <w:rPr>
          <w:rFonts w:ascii="Times New Roman" w:hAnsi="Times New Roman"/>
        </w:rPr>
      </w:pPr>
      <w:bookmarkStart w:id="56" w:name="_Toc100056"/>
      <w:r>
        <w:rPr>
          <w:rFonts w:ascii="Times New Roman" w:hAnsi="Times New Roman"/>
        </w:rPr>
        <w:t>14.3 Gouvernance RH et relations sociales</w:t>
      </w:r>
      <w:bookmarkEnd w:id="56"/>
    </w:p>
    <w:p w14:paraId="47B4257C" w14:textId="77777777" w:rsidR="0042033D" w:rsidRDefault="00000000">
      <w:pPr>
        <w:spacing w:after="60"/>
        <w:jc w:val="both"/>
        <w:rPr>
          <w:sz w:val="24"/>
          <w:szCs w:val="24"/>
        </w:rPr>
      </w:pPr>
      <w:r>
        <w:rPr>
          <w:sz w:val="24"/>
          <w:szCs w:val="24"/>
        </w:rPr>
        <w:t xml:space="preserve">Bio Source Farm applique le droit du travail malgache et cotise au régime CNAPS pour l'ensemble de ses seize employés ; les conditions de travail respectent les normes locales (durée du travail, congés, sécurité). L'entreprise fournit les équipements de protection individuelle (gants, masques, blouses) et assure la cantine et le transport du personnel. </w:t>
      </w:r>
      <w:r>
        <w:rPr>
          <w:b/>
          <w:bCs/>
          <w:sz w:val="24"/>
          <w:szCs w:val="24"/>
        </w:rPr>
        <w:t>Les contrats de travail des employés et les engagements des membres du comité consultatif comportent une clause de confidentialité couvrant les procédés, les données opérationnelles, les référentiels du SOP et les informations commerciales</w:t>
      </w:r>
      <w:r>
        <w:rPr>
          <w:sz w:val="24"/>
          <w:szCs w:val="24"/>
        </w:rPr>
        <w:t>, dont la violation est passible de sanctions contractuelles ; cette clause complète la protection par droit d'auteur décrite en section 13.1.</w:t>
      </w:r>
    </w:p>
    <w:p w14:paraId="650ED58B" w14:textId="77777777" w:rsidR="0042033D" w:rsidRPr="004C3E51" w:rsidRDefault="00000000">
      <w:pPr>
        <w:pStyle w:val="Heading1"/>
        <w:pBdr>
          <w:bottom w:val="single" w:sz="6" w:space="4" w:color="D4875A"/>
        </w:pBdr>
        <w:spacing w:before="200" w:after="90"/>
        <w:rPr>
          <w:rFonts w:ascii="League Spartan" w:hAnsi="League Spartan"/>
          <w:sz w:val="40"/>
          <w:szCs w:val="40"/>
        </w:rPr>
      </w:pPr>
      <w:bookmarkStart w:id="57" w:name="_Toc238821294"/>
      <w:r w:rsidRPr="004C3E51">
        <w:rPr>
          <w:rFonts w:ascii="League Spartan" w:hAnsi="League Spartan"/>
          <w:sz w:val="40"/>
          <w:szCs w:val="40"/>
        </w:rPr>
        <w:t>15. Traction et réalisations</w:t>
      </w:r>
      <w:bookmarkEnd w:id="57"/>
    </w:p>
    <w:p w14:paraId="05232AFD" w14:textId="77777777" w:rsidR="0042033D" w:rsidRPr="004C3E51" w:rsidRDefault="00000000">
      <w:pPr>
        <w:spacing w:after="60"/>
        <w:jc w:val="both"/>
        <w:rPr>
          <w:sz w:val="32"/>
          <w:szCs w:val="32"/>
        </w:rPr>
      </w:pPr>
      <w:r w:rsidRPr="004C3E51">
        <w:rPr>
          <w:sz w:val="24"/>
          <w:szCs w:val="24"/>
        </w:rPr>
        <w:t>La traction de Bio Source Farm sur trente mois d'activité opérationnelle, de juillet 2023 à décembre 2025, constitue un élément central de crédibilité. Elle est attestée par les comptes certifiés des deux exercices clos et, pour la période juillet-décembre 2025, par les données internes en cours de consolidation. Le dossier distingue donc explicitement les chiffres certifiés des chiffres de gestion plus récents. Quatre dimensions sont suivies : traction commerciale, traction opérationnelle, traction institutionnelle et traction financière.</w:t>
      </w:r>
    </w:p>
    <w:p w14:paraId="3134D832" w14:textId="77777777" w:rsidR="0042033D" w:rsidRPr="004C3E51" w:rsidRDefault="00000000">
      <w:pPr>
        <w:pStyle w:val="Heading2"/>
        <w:spacing w:before="150" w:after="60"/>
        <w:rPr>
          <w:rFonts w:ascii="Times New Roman" w:hAnsi="Times New Roman"/>
        </w:rPr>
      </w:pPr>
      <w:bookmarkStart w:id="58" w:name="_Toc100058"/>
      <w:r w:rsidRPr="004C3E51">
        <w:rPr>
          <w:rFonts w:ascii="Times New Roman" w:hAnsi="Times New Roman"/>
        </w:rPr>
        <w:t>15.1 Traction commerciale : chiffre d'affaires et clients</w:t>
      </w:r>
      <w:bookmarkEnd w:id="58"/>
    </w:p>
    <w:p w14:paraId="5356B70D" w14:textId="77777777" w:rsidR="0042033D" w:rsidRPr="004C3E51" w:rsidRDefault="00000000">
      <w:pPr>
        <w:spacing w:after="60"/>
        <w:jc w:val="both"/>
        <w:rPr>
          <w:sz w:val="32"/>
          <w:szCs w:val="32"/>
        </w:rPr>
      </w:pPr>
      <w:r w:rsidRPr="004C3E51">
        <w:rPr>
          <w:sz w:val="24"/>
          <w:szCs w:val="24"/>
        </w:rPr>
        <w:t>Sur la période juillet 2023-décembre 2025, le chiffre d'affaires cumulé atteint environ 116 000 $, dont 80 210 $ certifiés au 30 juin 2025 et environ 36 000 $ issus des données internes du second semestre 2025. Ce total de 116 000 $ ne constitue donc pas une nouvelle certification comptable. Le rythme de développement reste positif : les exercices certifiés ont enregistré 32 430 $ puis 47 780 $ de chiffre d'affaires, tandis que le second semestre 2025 a renforcé le niveau d'activité. La base de 930 occurrences correspond à des bénéficiaires et/ou points de distribution suivis dans les programmes et ne doit pas être assimilée à 930 comptes payants.</w:t>
      </w:r>
    </w:p>
    <w:p w14:paraId="40B9531A" w14:textId="77777777" w:rsidR="0042033D" w:rsidRPr="004C3E51" w:rsidRDefault="00000000">
      <w:pPr>
        <w:pStyle w:val="Heading2"/>
        <w:spacing w:before="150" w:after="60"/>
        <w:rPr>
          <w:rFonts w:ascii="Times New Roman" w:hAnsi="Times New Roman"/>
          <w:lang w:val="fr-FR"/>
        </w:rPr>
      </w:pPr>
      <w:bookmarkStart w:id="59" w:name="_Toc100059"/>
      <w:r w:rsidRPr="004C3E51">
        <w:rPr>
          <w:rFonts w:ascii="Times New Roman" w:hAnsi="Times New Roman"/>
        </w:rPr>
        <w:t>15.2 Traction opérationnelle : production et capacité</w:t>
      </w:r>
      <w:bookmarkEnd w:id="59"/>
      <w:r w:rsidRPr="004C3E51">
        <w:rPr>
          <w:rFonts w:ascii="Times New Roman" w:hAnsi="Times New Roman"/>
          <w:lang w:val="fr-FR"/>
        </w:rPr>
        <w:t xml:space="preserve">( en </w:t>
      </w:r>
      <w:r w:rsidRPr="004C3E51">
        <w:rPr>
          <w:rFonts w:ascii="Times New Roman" w:hAnsi="Times New Roman"/>
          <w:i/>
          <w:iCs/>
          <w:lang w:val="fr-FR"/>
        </w:rPr>
        <w:t xml:space="preserve">Bio Source </w:t>
      </w:r>
      <w:proofErr w:type="spellStart"/>
      <w:r w:rsidRPr="004C3E51">
        <w:rPr>
          <w:rFonts w:ascii="Times New Roman" w:hAnsi="Times New Roman"/>
          <w:i/>
          <w:iCs/>
          <w:lang w:val="fr-FR"/>
        </w:rPr>
        <w:t>Frass</w:t>
      </w:r>
      <w:proofErr w:type="spellEnd"/>
      <w:r w:rsidRPr="004C3E51">
        <w:rPr>
          <w:rFonts w:ascii="Times New Roman" w:hAnsi="Times New Roman"/>
          <w:lang w:val="fr-FR"/>
        </w:rPr>
        <w:t>)</w:t>
      </w:r>
    </w:p>
    <w:p w14:paraId="20B5DD12" w14:textId="77777777" w:rsidR="0042033D" w:rsidRPr="004C3E51" w:rsidRDefault="00000000">
      <w:pPr>
        <w:spacing w:after="60"/>
        <w:jc w:val="both"/>
        <w:rPr>
          <w:sz w:val="32"/>
          <w:szCs w:val="32"/>
          <w:lang w:val="fr-FR"/>
        </w:rPr>
      </w:pPr>
      <w:r w:rsidRPr="004C3E51">
        <w:rPr>
          <w:sz w:val="24"/>
          <w:szCs w:val="24"/>
        </w:rPr>
        <w:t>La production cumulée documentée atteint environ 300 tonnes de frass sur la période structurée d'enregistrement. Sur ce volume, environ 281 tonnes sont considérées comme commercialisables, dont 181 tonnes déjà vendues et environ 100 tonnes en stock au moment de la consolidation. Les écarts entre masse produite, masse commercialisable et masse vendue proviennent du séchage, du criblage et des résidus techniques ; ces catégories sont désormais séparées dans le suivi pour éviter toute double comptabilisation. La capacité de référence reste de 10 tonnes par mois sur le site actuel.</w:t>
      </w:r>
    </w:p>
    <w:p w14:paraId="7BEEC018" w14:textId="77777777" w:rsidR="0042033D" w:rsidRDefault="00000000">
      <w:pPr>
        <w:spacing w:before="80" w:after="30"/>
        <w:jc w:val="center"/>
        <w:rPr>
          <w:sz w:val="24"/>
          <w:szCs w:val="24"/>
        </w:rPr>
      </w:pPr>
      <w:r>
        <w:rPr>
          <w:noProof/>
          <w:sz w:val="24"/>
          <w:szCs w:val="24"/>
        </w:rPr>
        <w:lastRenderedPageBreak/>
        <w:drawing>
          <wp:inline distT="0" distB="0" distL="0" distR="0" wp14:anchorId="6A8A1E85" wp14:editId="4FC1BE0A">
            <wp:extent cx="5486400" cy="3200400"/>
            <wp:effectExtent l="0" t="0" r="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14C60A4" w14:textId="77777777" w:rsidR="0042033D" w:rsidRDefault="00000000">
      <w:pPr>
        <w:spacing w:after="140" w:line="240" w:lineRule="auto"/>
        <w:jc w:val="center"/>
        <w:rPr>
          <w:sz w:val="24"/>
          <w:szCs w:val="24"/>
        </w:rPr>
      </w:pPr>
      <w:r>
        <w:rPr>
          <w:i/>
          <w:iCs/>
          <w:color w:val="5A6472"/>
          <w:sz w:val="24"/>
          <w:szCs w:val="24"/>
        </w:rPr>
        <w:t>Figure 6 — Production et commercialisation cumulées de frass sur 30 mois (tonnes ; source : fiches de production Bilan BSF)</w:t>
      </w:r>
    </w:p>
    <w:p w14:paraId="3A243A3C" w14:textId="77777777" w:rsidR="0042033D" w:rsidRDefault="00000000">
      <w:pPr>
        <w:pStyle w:val="Heading2"/>
        <w:spacing w:before="150" w:after="60"/>
        <w:rPr>
          <w:rFonts w:ascii="Times New Roman" w:hAnsi="Times New Roman"/>
        </w:rPr>
      </w:pPr>
      <w:bookmarkStart w:id="60" w:name="_Toc100060"/>
      <w:r>
        <w:rPr>
          <w:rFonts w:ascii="Times New Roman" w:hAnsi="Times New Roman"/>
        </w:rPr>
        <w:t>15.3 Traction institutionnelle : Prix Pierre Castel 2024</w:t>
      </w:r>
      <w:bookmarkEnd w:id="60"/>
    </w:p>
    <w:p w14:paraId="1ADAF4A7" w14:textId="77777777" w:rsidR="0042033D" w:rsidRDefault="00000000">
      <w:pPr>
        <w:spacing w:after="60"/>
        <w:jc w:val="both"/>
        <w:rPr>
          <w:sz w:val="24"/>
          <w:szCs w:val="24"/>
        </w:rPr>
      </w:pPr>
      <w:r>
        <w:rPr>
          <w:sz w:val="24"/>
          <w:szCs w:val="24"/>
        </w:rPr>
        <w:t>Bio Source Farm a remporté le 2e Prix Pierre Castel 2024, doté de 10 000 € sans contrepartie au capital, une validation indépendante de la qualité du projet par un jury international. Les fonds, intégralement tracés dans les comptes de l'exercice 2024-2025, ont été affectés dans leur totalité : 6 500 $ d'équipements (extension des séchoirs solaires, tables de criblage, outillage de contrôle qualité) et 3 500 $ de renforcement du fonds de roulement consolidant les stocks tampon avant la saison cyclonique.</w:t>
      </w:r>
    </w:p>
    <w:p w14:paraId="5CE870E0" w14:textId="77777777" w:rsidR="0042033D" w:rsidRDefault="00000000">
      <w:pPr>
        <w:pStyle w:val="Heading2"/>
        <w:spacing w:before="150" w:after="60"/>
        <w:rPr>
          <w:rFonts w:ascii="Times New Roman" w:hAnsi="Times New Roman"/>
        </w:rPr>
      </w:pPr>
      <w:bookmarkStart w:id="61" w:name="_Toc100061"/>
      <w:r>
        <w:rPr>
          <w:rFonts w:ascii="Times New Roman" w:hAnsi="Times New Roman"/>
        </w:rPr>
        <w:t>15.4 Traction financière : rentabilité démontrée</w:t>
      </w:r>
      <w:bookmarkEnd w:id="61"/>
    </w:p>
    <w:p w14:paraId="5C3F22C8" w14:textId="77777777" w:rsidR="0042033D" w:rsidRDefault="00000000">
      <w:pPr>
        <w:spacing w:after="60"/>
        <w:jc w:val="both"/>
        <w:rPr>
          <w:sz w:val="24"/>
          <w:szCs w:val="24"/>
          <w:lang w:val="fr-FR"/>
        </w:rPr>
      </w:pPr>
      <w:r>
        <w:rPr>
          <w:sz w:val="24"/>
          <w:szCs w:val="24"/>
        </w:rPr>
        <w:t>La traction financière se caractérise par quatre faits peu communs pour une entreprise en début de trajectoire sur un marché émergent. Premièrement, l'entreprise est rentable dès son premier exercice fiscal, sans endettement bancaire. Deuxièmement, cette rentabilité est récurrente : chacun des deux exercices clos dégage un résultat net positif, avec une progression de 61 % du bénéfice. Troisièmement, la structure financière est saine : aucune dette financière, une trésorerie disponible de 66,1 millions d'Ariary (14 690 $) au 30 juin 2025 et un fonds de roulement positif. Quatrièmement, la rentabilité historique est obtenue avec des fondateurs non rémunérés : la reconstitution pro forma intégrant la rémunération cible de 16 000 $ par an (Tableau 16 bis, section 21.1) place l'exercice 2024-2025 au voisinage de l'équilibre, et le modèle prévisionnel intègre cette charge dès 2027 avec une marge nette de 11 %.</w:t>
      </w:r>
    </w:p>
    <w:p w14:paraId="2CE1CC2C" w14:textId="77777777" w:rsidR="004C3E51" w:rsidRDefault="004C3E51">
      <w:pPr>
        <w:spacing w:after="60"/>
        <w:jc w:val="both"/>
        <w:rPr>
          <w:sz w:val="24"/>
          <w:szCs w:val="24"/>
          <w:lang w:val="fr-FR"/>
        </w:rPr>
      </w:pPr>
    </w:p>
    <w:p w14:paraId="7455D4F6" w14:textId="77777777" w:rsidR="004C3E51" w:rsidRDefault="004C3E51">
      <w:pPr>
        <w:spacing w:after="60"/>
        <w:jc w:val="both"/>
        <w:rPr>
          <w:sz w:val="24"/>
          <w:szCs w:val="24"/>
          <w:lang w:val="fr-FR"/>
        </w:rPr>
      </w:pPr>
    </w:p>
    <w:p w14:paraId="75800E34" w14:textId="77777777" w:rsidR="004C3E51" w:rsidRDefault="004C3E51">
      <w:pPr>
        <w:spacing w:after="60"/>
        <w:jc w:val="both"/>
        <w:rPr>
          <w:sz w:val="24"/>
          <w:szCs w:val="24"/>
          <w:lang w:val="fr-FR"/>
        </w:rPr>
      </w:pPr>
    </w:p>
    <w:p w14:paraId="66CB4F8E" w14:textId="77777777" w:rsidR="004C3E51" w:rsidRPr="004C3E51" w:rsidRDefault="004C3E51">
      <w:pPr>
        <w:spacing w:after="60"/>
        <w:jc w:val="both"/>
        <w:rPr>
          <w:sz w:val="24"/>
          <w:szCs w:val="24"/>
          <w:lang w:val="fr-FR"/>
        </w:rPr>
      </w:pPr>
    </w:p>
    <w:p w14:paraId="7D263196" w14:textId="77777777" w:rsidR="0042033D" w:rsidRDefault="00000000">
      <w:pPr>
        <w:pStyle w:val="Heading2"/>
        <w:spacing w:before="150" w:after="60"/>
        <w:rPr>
          <w:rFonts w:ascii="Times New Roman" w:hAnsi="Times New Roman"/>
        </w:rPr>
      </w:pPr>
      <w:bookmarkStart w:id="62" w:name="_Toc100062"/>
      <w:r>
        <w:rPr>
          <w:rFonts w:ascii="Times New Roman" w:hAnsi="Times New Roman"/>
        </w:rPr>
        <w:lastRenderedPageBreak/>
        <w:t>15.5 Synthèse des indicateurs de traction</w:t>
      </w:r>
      <w:bookmarkEnd w:id="62"/>
    </w:p>
    <w:p w14:paraId="3D494D04" w14:textId="77777777" w:rsidR="0042033D" w:rsidRDefault="00000000">
      <w:pPr>
        <w:keepNext/>
        <w:spacing w:before="140" w:after="50" w:line="260" w:lineRule="auto"/>
        <w:rPr>
          <w:rFonts w:eastAsia="Arial"/>
          <w:b/>
          <w:bCs/>
          <w:color w:val="1A2330"/>
          <w:sz w:val="24"/>
          <w:szCs w:val="24"/>
          <w:lang w:val="fr-FR"/>
        </w:rPr>
      </w:pPr>
      <w:r>
        <w:rPr>
          <w:rFonts w:eastAsia="Arial"/>
          <w:b/>
          <w:bCs/>
          <w:color w:val="1A2330"/>
          <w:sz w:val="24"/>
          <w:szCs w:val="24"/>
        </w:rPr>
        <w:t>Tableau 10 — Indicateurs de traction cumulés sur 30 mois d'activité (juillet 2023 - décembre 2025)</w:t>
      </w:r>
    </w:p>
    <w:p w14:paraId="0F4C594D" w14:textId="77777777" w:rsidR="004C3E51" w:rsidRDefault="004C3E51">
      <w:pPr>
        <w:keepNext/>
        <w:spacing w:before="140" w:after="50" w:line="260" w:lineRule="auto"/>
        <w:rPr>
          <w:rFonts w:eastAsia="Arial"/>
          <w:b/>
          <w:bCs/>
          <w:color w:val="1A2330"/>
          <w:sz w:val="24"/>
          <w:szCs w:val="24"/>
          <w:lang w:val="fr-FR"/>
        </w:rPr>
      </w:pPr>
    </w:p>
    <w:p w14:paraId="25FBA885" w14:textId="77777777" w:rsidR="004C3E51" w:rsidRPr="004C3E51" w:rsidRDefault="004C3E51">
      <w:pPr>
        <w:keepNext/>
        <w:spacing w:before="140" w:after="50" w:line="260" w:lineRule="auto"/>
        <w:rPr>
          <w:sz w:val="24"/>
          <w:szCs w:val="24"/>
          <w:lang w:val="fr-FR"/>
        </w:rPr>
      </w:pPr>
    </w:p>
    <w:tbl>
      <w:tblPr>
        <w:tblpPr w:leftFromText="180" w:rightFromText="180" w:vertAnchor="page" w:horzAnchor="margin" w:tblpY="2713"/>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380"/>
        <w:gridCol w:w="2381"/>
        <w:gridCol w:w="4395"/>
      </w:tblGrid>
      <w:tr w:rsidR="0042033D" w:rsidRPr="004C3E51" w14:paraId="0174D0A0" w14:textId="77777777" w:rsidTr="004C3E51">
        <w:trPr>
          <w:cantSplit/>
          <w:tblHeader/>
        </w:trPr>
        <w:tc>
          <w:tcPr>
            <w:tcW w:w="1300" w:type="pct"/>
            <w:shd w:val="clear" w:color="auto" w:fill="D4875A"/>
            <w:tcMar>
              <w:top w:w="36" w:type="dxa"/>
              <w:left w:w="80" w:type="dxa"/>
              <w:bottom w:w="36" w:type="dxa"/>
              <w:right w:w="80" w:type="dxa"/>
            </w:tcMar>
            <w:vAlign w:val="center"/>
          </w:tcPr>
          <w:p w14:paraId="401C604E" w14:textId="77777777" w:rsidR="0042033D" w:rsidRPr="004C3E51" w:rsidRDefault="00000000" w:rsidP="004C3E51">
            <w:pPr>
              <w:spacing w:line="232" w:lineRule="auto"/>
              <w:jc w:val="center"/>
              <w:rPr>
                <w:rFonts w:ascii="Arial Narrow" w:hAnsi="Arial Narrow"/>
                <w:sz w:val="24"/>
                <w:szCs w:val="24"/>
              </w:rPr>
            </w:pPr>
            <w:r w:rsidRPr="004C3E51">
              <w:rPr>
                <w:rFonts w:ascii="Arial Narrow" w:hAnsi="Arial Narrow"/>
                <w:b/>
                <w:bCs/>
                <w:color w:val="FFFFFF"/>
                <w:sz w:val="24"/>
                <w:szCs w:val="24"/>
              </w:rPr>
              <w:t>Indicateur</w:t>
            </w:r>
          </w:p>
        </w:tc>
        <w:tc>
          <w:tcPr>
            <w:tcW w:w="1300" w:type="pct"/>
            <w:shd w:val="clear" w:color="auto" w:fill="D4875A"/>
            <w:tcMar>
              <w:top w:w="36" w:type="dxa"/>
              <w:left w:w="80" w:type="dxa"/>
              <w:bottom w:w="36" w:type="dxa"/>
              <w:right w:w="80" w:type="dxa"/>
            </w:tcMar>
            <w:vAlign w:val="center"/>
          </w:tcPr>
          <w:p w14:paraId="1BA75F9D" w14:textId="77777777" w:rsidR="0042033D" w:rsidRPr="004C3E51" w:rsidRDefault="00000000" w:rsidP="004C3E51">
            <w:pPr>
              <w:spacing w:line="232" w:lineRule="auto"/>
              <w:jc w:val="center"/>
              <w:rPr>
                <w:rFonts w:ascii="Arial Narrow" w:hAnsi="Arial Narrow"/>
                <w:sz w:val="24"/>
                <w:szCs w:val="24"/>
              </w:rPr>
            </w:pPr>
            <w:r w:rsidRPr="004C3E51">
              <w:rPr>
                <w:rFonts w:ascii="Arial Narrow" w:hAnsi="Arial Narrow"/>
                <w:b/>
                <w:bCs/>
                <w:color w:val="FFFFFF"/>
                <w:sz w:val="24"/>
                <w:szCs w:val="24"/>
              </w:rPr>
              <w:t>Valeur</w:t>
            </w:r>
          </w:p>
        </w:tc>
        <w:tc>
          <w:tcPr>
            <w:tcW w:w="2400" w:type="pct"/>
            <w:shd w:val="clear" w:color="auto" w:fill="D4875A"/>
            <w:tcMar>
              <w:top w:w="36" w:type="dxa"/>
              <w:left w:w="80" w:type="dxa"/>
              <w:bottom w:w="36" w:type="dxa"/>
              <w:right w:w="80" w:type="dxa"/>
            </w:tcMar>
            <w:vAlign w:val="center"/>
          </w:tcPr>
          <w:p w14:paraId="7F0BC440" w14:textId="77777777" w:rsidR="0042033D" w:rsidRPr="004C3E51" w:rsidRDefault="00000000" w:rsidP="004C3E51">
            <w:pPr>
              <w:spacing w:line="232" w:lineRule="auto"/>
              <w:jc w:val="center"/>
              <w:rPr>
                <w:rFonts w:ascii="Arial Narrow" w:hAnsi="Arial Narrow"/>
                <w:sz w:val="24"/>
                <w:szCs w:val="24"/>
              </w:rPr>
            </w:pPr>
            <w:r w:rsidRPr="004C3E51">
              <w:rPr>
                <w:rFonts w:ascii="Arial Narrow" w:hAnsi="Arial Narrow"/>
                <w:b/>
                <w:bCs/>
                <w:color w:val="FFFFFF"/>
                <w:sz w:val="24"/>
                <w:szCs w:val="24"/>
              </w:rPr>
              <w:t>Source / méthode</w:t>
            </w:r>
          </w:p>
        </w:tc>
      </w:tr>
      <w:tr w:rsidR="0042033D" w:rsidRPr="004C3E51" w14:paraId="221ECD06" w14:textId="77777777" w:rsidTr="004C3E51">
        <w:trPr>
          <w:cantSplit/>
        </w:trPr>
        <w:tc>
          <w:tcPr>
            <w:tcW w:w="1300" w:type="pct"/>
            <w:tcMar>
              <w:top w:w="28" w:type="dxa"/>
              <w:left w:w="80" w:type="dxa"/>
              <w:bottom w:w="28" w:type="dxa"/>
              <w:right w:w="80" w:type="dxa"/>
            </w:tcMar>
            <w:vAlign w:val="center"/>
          </w:tcPr>
          <w:p w14:paraId="797449E3"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Chiffre d'affaires cumulé</w:t>
            </w:r>
          </w:p>
        </w:tc>
        <w:tc>
          <w:tcPr>
            <w:tcW w:w="1300" w:type="pct"/>
            <w:tcMar>
              <w:top w:w="28" w:type="dxa"/>
              <w:left w:w="80" w:type="dxa"/>
              <w:bottom w:w="28" w:type="dxa"/>
              <w:right w:w="80" w:type="dxa"/>
            </w:tcMar>
            <w:vAlign w:val="center"/>
          </w:tcPr>
          <w:p w14:paraId="7D437968"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≈116 000 $ cumulés au 31/12/2025</w:t>
            </w:r>
          </w:p>
        </w:tc>
        <w:tc>
          <w:tcPr>
            <w:tcW w:w="2400" w:type="pct"/>
            <w:tcMar>
              <w:top w:w="28" w:type="dxa"/>
              <w:left w:w="80" w:type="dxa"/>
              <w:bottom w:w="28" w:type="dxa"/>
              <w:right w:w="80" w:type="dxa"/>
            </w:tcMar>
            <w:vAlign w:val="center"/>
          </w:tcPr>
          <w:p w14:paraId="20957E66"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80 210 $ certifiés au 30/06/2025 + ≈36 000 $ de données internes S2 2025, en cours de consolidation</w:t>
            </w:r>
          </w:p>
        </w:tc>
      </w:tr>
      <w:tr w:rsidR="0042033D" w:rsidRPr="004C3E51" w14:paraId="50AB9F63" w14:textId="77777777" w:rsidTr="004C3E51">
        <w:trPr>
          <w:cantSplit/>
        </w:trPr>
        <w:tc>
          <w:tcPr>
            <w:tcW w:w="1300" w:type="pct"/>
            <w:tcMar>
              <w:top w:w="28" w:type="dxa"/>
              <w:left w:w="80" w:type="dxa"/>
              <w:bottom w:w="28" w:type="dxa"/>
              <w:right w:w="80" w:type="dxa"/>
            </w:tcMar>
            <w:vAlign w:val="center"/>
          </w:tcPr>
          <w:p w14:paraId="12AC1AFA"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Exercice 2023-2024 (certifié)</w:t>
            </w:r>
          </w:p>
        </w:tc>
        <w:tc>
          <w:tcPr>
            <w:tcW w:w="1300" w:type="pct"/>
            <w:tcMar>
              <w:top w:w="28" w:type="dxa"/>
              <w:left w:w="80" w:type="dxa"/>
              <w:bottom w:w="28" w:type="dxa"/>
              <w:right w:w="80" w:type="dxa"/>
            </w:tcMar>
            <w:vAlign w:val="center"/>
          </w:tcPr>
          <w:p w14:paraId="6F939A58"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CA 32 430 $ / RN 9 180 $</w:t>
            </w:r>
          </w:p>
        </w:tc>
        <w:tc>
          <w:tcPr>
            <w:tcW w:w="2400" w:type="pct"/>
            <w:tcMar>
              <w:top w:w="28" w:type="dxa"/>
              <w:left w:w="80" w:type="dxa"/>
              <w:bottom w:w="28" w:type="dxa"/>
              <w:right w:w="80" w:type="dxa"/>
            </w:tcMar>
            <w:vAlign w:val="center"/>
          </w:tcPr>
          <w:p w14:paraId="0C9524A6"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Rapport du commissaire aux comptes RAKAJY P.</w:t>
            </w:r>
          </w:p>
        </w:tc>
      </w:tr>
      <w:tr w:rsidR="0042033D" w:rsidRPr="004C3E51" w14:paraId="439B87A7" w14:textId="77777777" w:rsidTr="004C3E51">
        <w:trPr>
          <w:cantSplit/>
        </w:trPr>
        <w:tc>
          <w:tcPr>
            <w:tcW w:w="1300" w:type="pct"/>
            <w:tcMar>
              <w:top w:w="28" w:type="dxa"/>
              <w:left w:w="80" w:type="dxa"/>
              <w:bottom w:w="28" w:type="dxa"/>
              <w:right w:w="80" w:type="dxa"/>
            </w:tcMar>
            <w:vAlign w:val="center"/>
          </w:tcPr>
          <w:p w14:paraId="630E83D0"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Exercice 2024-2025 (certifié)</w:t>
            </w:r>
          </w:p>
        </w:tc>
        <w:tc>
          <w:tcPr>
            <w:tcW w:w="1300" w:type="pct"/>
            <w:tcMar>
              <w:top w:w="28" w:type="dxa"/>
              <w:left w:w="80" w:type="dxa"/>
              <w:bottom w:w="28" w:type="dxa"/>
              <w:right w:w="80" w:type="dxa"/>
            </w:tcMar>
            <w:vAlign w:val="center"/>
          </w:tcPr>
          <w:p w14:paraId="3EE39D27"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CA 47 780 $ / RN 14 790 $</w:t>
            </w:r>
          </w:p>
        </w:tc>
        <w:tc>
          <w:tcPr>
            <w:tcW w:w="2400" w:type="pct"/>
            <w:tcMar>
              <w:top w:w="28" w:type="dxa"/>
              <w:left w:w="80" w:type="dxa"/>
              <w:bottom w:w="28" w:type="dxa"/>
              <w:right w:w="80" w:type="dxa"/>
            </w:tcMar>
            <w:vAlign w:val="center"/>
          </w:tcPr>
          <w:p w14:paraId="3D10ABCC"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Rapport du commissaire aux comptes RAKAJY P.</w:t>
            </w:r>
          </w:p>
        </w:tc>
      </w:tr>
      <w:tr w:rsidR="0042033D" w:rsidRPr="004C3E51" w14:paraId="63737FD9" w14:textId="77777777" w:rsidTr="004C3E51">
        <w:trPr>
          <w:cantSplit/>
        </w:trPr>
        <w:tc>
          <w:tcPr>
            <w:tcW w:w="1300" w:type="pct"/>
            <w:tcMar>
              <w:top w:w="28" w:type="dxa"/>
              <w:left w:w="80" w:type="dxa"/>
              <w:bottom w:w="28" w:type="dxa"/>
              <w:right w:w="80" w:type="dxa"/>
            </w:tcMar>
            <w:vAlign w:val="center"/>
          </w:tcPr>
          <w:p w14:paraId="40AFE3A4"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Bénéficiaires / points de distribution suivis</w:t>
            </w:r>
          </w:p>
        </w:tc>
        <w:tc>
          <w:tcPr>
            <w:tcW w:w="1300" w:type="pct"/>
            <w:tcMar>
              <w:top w:w="28" w:type="dxa"/>
              <w:left w:w="80" w:type="dxa"/>
              <w:bottom w:w="28" w:type="dxa"/>
              <w:right w:w="80" w:type="dxa"/>
            </w:tcMar>
            <w:vAlign w:val="center"/>
          </w:tcPr>
          <w:p w14:paraId="36BCD97A"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≈930 occurrences cumulées</w:t>
            </w:r>
          </w:p>
        </w:tc>
        <w:tc>
          <w:tcPr>
            <w:tcW w:w="2400" w:type="pct"/>
            <w:tcMar>
              <w:top w:w="28" w:type="dxa"/>
              <w:left w:w="80" w:type="dxa"/>
              <w:bottom w:w="28" w:type="dxa"/>
              <w:right w:w="80" w:type="dxa"/>
            </w:tcMar>
            <w:vAlign w:val="center"/>
          </w:tcPr>
          <w:p w14:paraId="05F0016E"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Base de couverture ; ≈250 actifs sur les 12 derniers mois. Ne pas assimiler à 930 comptes payants.</w:t>
            </w:r>
          </w:p>
        </w:tc>
      </w:tr>
      <w:tr w:rsidR="0042033D" w:rsidRPr="004C3E51" w14:paraId="3B9DB025" w14:textId="77777777" w:rsidTr="004C3E51">
        <w:trPr>
          <w:cantSplit/>
        </w:trPr>
        <w:tc>
          <w:tcPr>
            <w:tcW w:w="1300" w:type="pct"/>
            <w:tcMar>
              <w:top w:w="28" w:type="dxa"/>
              <w:left w:w="80" w:type="dxa"/>
              <w:bottom w:w="28" w:type="dxa"/>
              <w:right w:w="80" w:type="dxa"/>
            </w:tcMar>
            <w:vAlign w:val="center"/>
          </w:tcPr>
          <w:p w14:paraId="60FC8C16"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Taux de rétention clients</w:t>
            </w:r>
          </w:p>
        </w:tc>
        <w:tc>
          <w:tcPr>
            <w:tcW w:w="1300" w:type="pct"/>
            <w:tcMar>
              <w:top w:w="28" w:type="dxa"/>
              <w:left w:w="80" w:type="dxa"/>
              <w:bottom w:w="28" w:type="dxa"/>
              <w:right w:w="80" w:type="dxa"/>
            </w:tcMar>
            <w:vAlign w:val="center"/>
          </w:tcPr>
          <w:p w14:paraId="5397032E"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60 %</w:t>
            </w:r>
          </w:p>
        </w:tc>
        <w:tc>
          <w:tcPr>
            <w:tcW w:w="2400" w:type="pct"/>
            <w:tcMar>
              <w:top w:w="28" w:type="dxa"/>
              <w:left w:w="80" w:type="dxa"/>
              <w:bottom w:w="28" w:type="dxa"/>
              <w:right w:w="80" w:type="dxa"/>
            </w:tcMar>
            <w:vAlign w:val="center"/>
          </w:tcPr>
          <w:p w14:paraId="6361D7B9"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Calcul interne sur cohortes 2024-2025</w:t>
            </w:r>
          </w:p>
        </w:tc>
      </w:tr>
      <w:tr w:rsidR="0042033D" w:rsidRPr="004C3E51" w14:paraId="5E2DC8D3" w14:textId="77777777" w:rsidTr="004C3E51">
        <w:trPr>
          <w:cantSplit/>
        </w:trPr>
        <w:tc>
          <w:tcPr>
            <w:tcW w:w="1300" w:type="pct"/>
            <w:tcMar>
              <w:top w:w="28" w:type="dxa"/>
              <w:left w:w="80" w:type="dxa"/>
              <w:bottom w:w="28" w:type="dxa"/>
              <w:right w:w="80" w:type="dxa"/>
            </w:tcMar>
            <w:vAlign w:val="center"/>
          </w:tcPr>
          <w:p w14:paraId="2B7B5069"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Effectif opérationnel</w:t>
            </w:r>
          </w:p>
        </w:tc>
        <w:tc>
          <w:tcPr>
            <w:tcW w:w="1300" w:type="pct"/>
            <w:tcMar>
              <w:top w:w="28" w:type="dxa"/>
              <w:left w:w="80" w:type="dxa"/>
              <w:bottom w:w="28" w:type="dxa"/>
              <w:right w:w="80" w:type="dxa"/>
            </w:tcMar>
            <w:vAlign w:val="center"/>
          </w:tcPr>
          <w:p w14:paraId="34C8A53C"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16 ETP salariés (CNAPS)</w:t>
            </w:r>
          </w:p>
        </w:tc>
        <w:tc>
          <w:tcPr>
            <w:tcW w:w="2400" w:type="pct"/>
            <w:tcMar>
              <w:top w:w="28" w:type="dxa"/>
              <w:left w:w="80" w:type="dxa"/>
              <w:bottom w:w="28" w:type="dxa"/>
              <w:right w:w="80" w:type="dxa"/>
            </w:tcMar>
            <w:vAlign w:val="center"/>
          </w:tcPr>
          <w:p w14:paraId="1077C784"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14 ouvriers à 267 000 MGA/mois, 2 chefs ouvriers à 287 000 MGA/mois ; bulletins de paie en salle de données</w:t>
            </w:r>
          </w:p>
        </w:tc>
      </w:tr>
      <w:tr w:rsidR="0042033D" w:rsidRPr="004C3E51" w14:paraId="17647C50" w14:textId="77777777" w:rsidTr="004C3E51">
        <w:trPr>
          <w:cantSplit/>
        </w:trPr>
        <w:tc>
          <w:tcPr>
            <w:tcW w:w="1300" w:type="pct"/>
            <w:tcMar>
              <w:top w:w="28" w:type="dxa"/>
              <w:left w:w="80" w:type="dxa"/>
              <w:bottom w:w="28" w:type="dxa"/>
              <w:right w:w="80" w:type="dxa"/>
            </w:tcMar>
            <w:vAlign w:val="center"/>
          </w:tcPr>
          <w:p w14:paraId="1D7E377F"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Production cumulée de frass</w:t>
            </w:r>
          </w:p>
        </w:tc>
        <w:tc>
          <w:tcPr>
            <w:tcW w:w="1300" w:type="pct"/>
            <w:tcMar>
              <w:top w:w="28" w:type="dxa"/>
              <w:left w:w="80" w:type="dxa"/>
              <w:bottom w:w="28" w:type="dxa"/>
              <w:right w:w="80" w:type="dxa"/>
            </w:tcMar>
            <w:vAlign w:val="center"/>
          </w:tcPr>
          <w:p w14:paraId="0E23CBBF"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300 tonnes produites ; ≈281 T commercialisables (181 T vendues, ≈100 T en stock)</w:t>
            </w:r>
          </w:p>
        </w:tc>
        <w:tc>
          <w:tcPr>
            <w:tcW w:w="2400" w:type="pct"/>
            <w:tcMar>
              <w:top w:w="28" w:type="dxa"/>
              <w:left w:w="80" w:type="dxa"/>
              <w:bottom w:w="28" w:type="dxa"/>
              <w:right w:w="80" w:type="dxa"/>
            </w:tcMar>
            <w:vAlign w:val="center"/>
          </w:tcPr>
          <w:p w14:paraId="0E4C123E"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Fiches de production Bilan BSF Larve</w:t>
            </w:r>
          </w:p>
        </w:tc>
      </w:tr>
      <w:tr w:rsidR="0042033D" w:rsidRPr="004C3E51" w14:paraId="221C1923" w14:textId="77777777" w:rsidTr="004C3E51">
        <w:trPr>
          <w:cantSplit/>
        </w:trPr>
        <w:tc>
          <w:tcPr>
            <w:tcW w:w="1300" w:type="pct"/>
            <w:tcMar>
              <w:top w:w="28" w:type="dxa"/>
              <w:left w:w="80" w:type="dxa"/>
              <w:bottom w:w="28" w:type="dxa"/>
              <w:right w:w="80" w:type="dxa"/>
            </w:tcMar>
            <w:vAlign w:val="center"/>
          </w:tcPr>
          <w:p w14:paraId="0501CDDA"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Capacité installée / utilisation</w:t>
            </w:r>
          </w:p>
        </w:tc>
        <w:tc>
          <w:tcPr>
            <w:tcW w:w="1300" w:type="pct"/>
            <w:tcMar>
              <w:top w:w="28" w:type="dxa"/>
              <w:left w:w="80" w:type="dxa"/>
              <w:bottom w:w="28" w:type="dxa"/>
              <w:right w:w="80" w:type="dxa"/>
            </w:tcMar>
            <w:vAlign w:val="center"/>
          </w:tcPr>
          <w:p w14:paraId="3142CDEE"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10 T/mois / 100 %</w:t>
            </w:r>
          </w:p>
        </w:tc>
        <w:tc>
          <w:tcPr>
            <w:tcW w:w="2400" w:type="pct"/>
            <w:tcMar>
              <w:top w:w="28" w:type="dxa"/>
              <w:left w:w="80" w:type="dxa"/>
              <w:bottom w:w="28" w:type="dxa"/>
              <w:right w:w="80" w:type="dxa"/>
            </w:tcMar>
            <w:vAlign w:val="center"/>
          </w:tcPr>
          <w:p w14:paraId="6AE303F7"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Site opérationnel de Toamasina</w:t>
            </w:r>
          </w:p>
        </w:tc>
      </w:tr>
      <w:tr w:rsidR="0042033D" w:rsidRPr="004C3E51" w14:paraId="69B4942A" w14:textId="77777777" w:rsidTr="004C3E51">
        <w:trPr>
          <w:cantSplit/>
        </w:trPr>
        <w:tc>
          <w:tcPr>
            <w:tcW w:w="1300" w:type="pct"/>
            <w:tcMar>
              <w:top w:w="28" w:type="dxa"/>
              <w:left w:w="80" w:type="dxa"/>
              <w:bottom w:w="28" w:type="dxa"/>
              <w:right w:w="80" w:type="dxa"/>
            </w:tcMar>
            <w:vAlign w:val="center"/>
          </w:tcPr>
          <w:p w14:paraId="2AFD17AD"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Prix Pierre Castel 2024</w:t>
            </w:r>
          </w:p>
        </w:tc>
        <w:tc>
          <w:tcPr>
            <w:tcW w:w="1300" w:type="pct"/>
            <w:tcMar>
              <w:top w:w="28" w:type="dxa"/>
              <w:left w:w="80" w:type="dxa"/>
              <w:bottom w:w="28" w:type="dxa"/>
              <w:right w:w="80" w:type="dxa"/>
            </w:tcMar>
            <w:vAlign w:val="center"/>
          </w:tcPr>
          <w:p w14:paraId="4A821805" w14:textId="77777777" w:rsidR="0042033D" w:rsidRPr="004C3E51" w:rsidRDefault="00000000" w:rsidP="004C3E51">
            <w:pPr>
              <w:rPr>
                <w:rFonts w:ascii="Arial Narrow" w:hAnsi="Arial Narrow"/>
                <w:sz w:val="24"/>
                <w:szCs w:val="24"/>
              </w:rPr>
            </w:pPr>
            <w:r w:rsidRPr="004C3E51">
              <w:rPr>
                <w:rFonts w:ascii="Arial Narrow" w:hAnsi="Arial Narrow"/>
                <w:sz w:val="24"/>
                <w:szCs w:val="24"/>
              </w:rPr>
              <w:t>2e lauréat national — 10 000 €</w:t>
            </w:r>
          </w:p>
        </w:tc>
        <w:tc>
          <w:tcPr>
            <w:tcW w:w="2400" w:type="pct"/>
            <w:tcMar>
              <w:top w:w="28" w:type="dxa"/>
              <w:left w:w="80" w:type="dxa"/>
              <w:bottom w:w="28" w:type="dxa"/>
              <w:right w:w="80" w:type="dxa"/>
            </w:tcMar>
            <w:vAlign w:val="center"/>
          </w:tcPr>
          <w:p w14:paraId="7BE05F4A" w14:textId="77777777" w:rsidR="0042033D" w:rsidRPr="004C3E51" w:rsidRDefault="00000000" w:rsidP="004C3E51">
            <w:pPr>
              <w:rPr>
                <w:rFonts w:ascii="Arial Narrow" w:hAnsi="Arial Narrow"/>
                <w:sz w:val="24"/>
                <w:szCs w:val="24"/>
              </w:rPr>
            </w:pPr>
            <w:r w:rsidRPr="004C3E51">
              <w:rPr>
                <w:rFonts w:ascii="Arial Narrow" w:hAnsi="Arial Narrow"/>
                <w:sz w:val="24"/>
                <w:szCs w:val="24"/>
              </w:rPr>
              <w:t>Fonds Pierre Castel, édition 2024 [S2]</w:t>
            </w:r>
          </w:p>
        </w:tc>
      </w:tr>
      <w:tr w:rsidR="0042033D" w:rsidRPr="004C3E51" w14:paraId="68E27E82" w14:textId="77777777" w:rsidTr="004C3E51">
        <w:trPr>
          <w:cantSplit/>
        </w:trPr>
        <w:tc>
          <w:tcPr>
            <w:tcW w:w="1300" w:type="pct"/>
            <w:tcMar>
              <w:top w:w="28" w:type="dxa"/>
              <w:left w:w="80" w:type="dxa"/>
              <w:bottom w:w="28" w:type="dxa"/>
              <w:right w:w="80" w:type="dxa"/>
            </w:tcMar>
            <w:vAlign w:val="center"/>
          </w:tcPr>
          <w:p w14:paraId="4FA4F9E1"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Déchets organiques valorisés</w:t>
            </w:r>
          </w:p>
        </w:tc>
        <w:tc>
          <w:tcPr>
            <w:tcW w:w="1300" w:type="pct"/>
            <w:tcMar>
              <w:top w:w="28" w:type="dxa"/>
              <w:left w:w="80" w:type="dxa"/>
              <w:bottom w:w="28" w:type="dxa"/>
              <w:right w:w="80" w:type="dxa"/>
            </w:tcMar>
            <w:vAlign w:val="center"/>
          </w:tcPr>
          <w:p w14:paraId="071318CA"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1 000 tonnes cumulées</w:t>
            </w:r>
          </w:p>
        </w:tc>
        <w:tc>
          <w:tcPr>
            <w:tcW w:w="2400" w:type="pct"/>
            <w:tcMar>
              <w:top w:w="28" w:type="dxa"/>
              <w:left w:w="80" w:type="dxa"/>
              <w:bottom w:w="28" w:type="dxa"/>
              <w:right w:w="80" w:type="dxa"/>
            </w:tcMar>
            <w:vAlign w:val="center"/>
          </w:tcPr>
          <w:p w14:paraId="02AAAE04"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Fiches de réception des substrats</w:t>
            </w:r>
          </w:p>
        </w:tc>
      </w:tr>
      <w:tr w:rsidR="0042033D" w:rsidRPr="004C3E51" w14:paraId="400E4EAA" w14:textId="77777777" w:rsidTr="004C3E51">
        <w:trPr>
          <w:cantSplit/>
        </w:trPr>
        <w:tc>
          <w:tcPr>
            <w:tcW w:w="1300" w:type="pct"/>
            <w:tcMar>
              <w:top w:w="28" w:type="dxa"/>
              <w:left w:w="80" w:type="dxa"/>
              <w:bottom w:w="28" w:type="dxa"/>
              <w:right w:w="80" w:type="dxa"/>
            </w:tcMar>
            <w:vAlign w:val="center"/>
          </w:tcPr>
          <w:p w14:paraId="541C1DC4"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CO2e évitées</w:t>
            </w:r>
          </w:p>
        </w:tc>
        <w:tc>
          <w:tcPr>
            <w:tcW w:w="1300" w:type="pct"/>
            <w:tcMar>
              <w:top w:w="28" w:type="dxa"/>
              <w:left w:w="80" w:type="dxa"/>
              <w:bottom w:w="28" w:type="dxa"/>
              <w:right w:w="80" w:type="dxa"/>
            </w:tcMar>
            <w:vAlign w:val="center"/>
          </w:tcPr>
          <w:p w14:paraId="55AEBF32"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 500 tonnes cumulées</w:t>
            </w:r>
          </w:p>
        </w:tc>
        <w:tc>
          <w:tcPr>
            <w:tcW w:w="2400" w:type="pct"/>
            <w:tcMar>
              <w:top w:w="28" w:type="dxa"/>
              <w:left w:w="80" w:type="dxa"/>
              <w:bottom w:w="28" w:type="dxa"/>
              <w:right w:w="80" w:type="dxa"/>
            </w:tcMar>
            <w:vAlign w:val="center"/>
          </w:tcPr>
          <w:p w14:paraId="2BE9B695"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Méthodologie EPA ajustée (0,5 T CO2e/T), enfouissement à ciel ouvert sans capture (§ 17.1)</w:t>
            </w:r>
          </w:p>
        </w:tc>
      </w:tr>
      <w:tr w:rsidR="0042033D" w:rsidRPr="004C3E51" w14:paraId="56324552" w14:textId="77777777" w:rsidTr="004C3E51">
        <w:trPr>
          <w:cantSplit/>
        </w:trPr>
        <w:tc>
          <w:tcPr>
            <w:tcW w:w="1300" w:type="pct"/>
            <w:tcMar>
              <w:top w:w="28" w:type="dxa"/>
              <w:left w:w="80" w:type="dxa"/>
              <w:bottom w:w="28" w:type="dxa"/>
              <w:right w:w="80" w:type="dxa"/>
            </w:tcMar>
            <w:vAlign w:val="center"/>
          </w:tcPr>
          <w:p w14:paraId="7FECB61B"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Agriculteurs soutenus</w:t>
            </w:r>
          </w:p>
        </w:tc>
        <w:tc>
          <w:tcPr>
            <w:tcW w:w="1300" w:type="pct"/>
            <w:tcMar>
              <w:top w:w="28" w:type="dxa"/>
              <w:left w:w="80" w:type="dxa"/>
              <w:bottom w:w="28" w:type="dxa"/>
              <w:right w:w="80" w:type="dxa"/>
            </w:tcMar>
            <w:vAlign w:val="center"/>
          </w:tcPr>
          <w:p w14:paraId="37132EA8"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430 (cumul)</w:t>
            </w:r>
          </w:p>
        </w:tc>
        <w:tc>
          <w:tcPr>
            <w:tcW w:w="2400" w:type="pct"/>
            <w:tcMar>
              <w:top w:w="28" w:type="dxa"/>
              <w:left w:w="80" w:type="dxa"/>
              <w:bottom w:w="28" w:type="dxa"/>
              <w:right w:w="80" w:type="dxa"/>
            </w:tcMar>
            <w:vAlign w:val="center"/>
          </w:tcPr>
          <w:p w14:paraId="75F1BED1"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Bénéficiaires directs (B2C) ou indirects (FDA-PURPA), sur listes de distribution FDA et registres de ventes directes</w:t>
            </w:r>
          </w:p>
        </w:tc>
      </w:tr>
      <w:tr w:rsidR="0042033D" w:rsidRPr="004C3E51" w14:paraId="6DD05F18" w14:textId="77777777" w:rsidTr="004C3E51">
        <w:trPr>
          <w:cantSplit/>
        </w:trPr>
        <w:tc>
          <w:tcPr>
            <w:tcW w:w="1300" w:type="pct"/>
            <w:tcMar>
              <w:top w:w="28" w:type="dxa"/>
              <w:left w:w="80" w:type="dxa"/>
              <w:bottom w:w="28" w:type="dxa"/>
              <w:right w:w="80" w:type="dxa"/>
            </w:tcMar>
            <w:vAlign w:val="center"/>
          </w:tcPr>
          <w:p w14:paraId="619A3C1F"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Marge brute moyenne</w:t>
            </w:r>
          </w:p>
        </w:tc>
        <w:tc>
          <w:tcPr>
            <w:tcW w:w="1300" w:type="pct"/>
            <w:tcMar>
              <w:top w:w="28" w:type="dxa"/>
              <w:left w:w="80" w:type="dxa"/>
              <w:bottom w:w="28" w:type="dxa"/>
              <w:right w:w="80" w:type="dxa"/>
            </w:tcMar>
            <w:vAlign w:val="center"/>
          </w:tcPr>
          <w:p w14:paraId="7501493A"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48,5 %</w:t>
            </w:r>
          </w:p>
        </w:tc>
        <w:tc>
          <w:tcPr>
            <w:tcW w:w="2400" w:type="pct"/>
            <w:tcMar>
              <w:top w:w="28" w:type="dxa"/>
              <w:left w:w="80" w:type="dxa"/>
              <w:bottom w:w="28" w:type="dxa"/>
              <w:right w:w="80" w:type="dxa"/>
            </w:tcMar>
            <w:vAlign w:val="center"/>
          </w:tcPr>
          <w:p w14:paraId="4D63195A"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Marge brute comptable consolidée selon le périmètre de gestion retenu ; distincte des coûts variables du Tableau 23</w:t>
            </w:r>
          </w:p>
        </w:tc>
      </w:tr>
      <w:tr w:rsidR="0042033D" w:rsidRPr="004C3E51" w14:paraId="64177129" w14:textId="77777777" w:rsidTr="004C3E51">
        <w:trPr>
          <w:cantSplit/>
        </w:trPr>
        <w:tc>
          <w:tcPr>
            <w:tcW w:w="1300" w:type="pct"/>
            <w:tcMar>
              <w:top w:w="28" w:type="dxa"/>
              <w:left w:w="80" w:type="dxa"/>
              <w:bottom w:w="28" w:type="dxa"/>
              <w:right w:w="80" w:type="dxa"/>
            </w:tcMar>
            <w:vAlign w:val="center"/>
          </w:tcPr>
          <w:p w14:paraId="6DDD0DE8"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Panier moyen par commande</w:t>
            </w:r>
          </w:p>
        </w:tc>
        <w:tc>
          <w:tcPr>
            <w:tcW w:w="1300" w:type="pct"/>
            <w:tcMar>
              <w:top w:w="28" w:type="dxa"/>
              <w:left w:w="80" w:type="dxa"/>
              <w:bottom w:w="28" w:type="dxa"/>
              <w:right w:w="80" w:type="dxa"/>
            </w:tcMar>
            <w:vAlign w:val="center"/>
          </w:tcPr>
          <w:p w14:paraId="546B7697"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FDA ≈ 1 200 $ ; B2B ≈ 450 $ ; B2C ≈ 14 $</w:t>
            </w:r>
          </w:p>
        </w:tc>
        <w:tc>
          <w:tcPr>
            <w:tcW w:w="2400" w:type="pct"/>
            <w:tcMar>
              <w:top w:w="28" w:type="dxa"/>
              <w:left w:w="80" w:type="dxa"/>
              <w:bottom w:w="28" w:type="dxa"/>
              <w:right w:w="80" w:type="dxa"/>
            </w:tcMar>
            <w:vAlign w:val="center"/>
          </w:tcPr>
          <w:p w14:paraId="39B15BB1"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sz w:val="24"/>
                <w:szCs w:val="24"/>
              </w:rPr>
              <w:t>Décomposition par segment (cf. Tableau 4 bis) ; moyenne globale indicative : 101 $</w:t>
            </w:r>
          </w:p>
        </w:tc>
      </w:tr>
      <w:tr w:rsidR="0042033D" w:rsidRPr="004C3E51" w14:paraId="4EA43E20" w14:textId="77777777" w:rsidTr="004C3E51">
        <w:trPr>
          <w:cantSplit/>
        </w:trPr>
        <w:tc>
          <w:tcPr>
            <w:tcW w:w="1300" w:type="pct"/>
            <w:tcMar>
              <w:top w:w="28" w:type="dxa"/>
              <w:left w:w="80" w:type="dxa"/>
              <w:bottom w:w="28" w:type="dxa"/>
              <w:right w:w="80" w:type="dxa"/>
            </w:tcMar>
            <w:vAlign w:val="center"/>
          </w:tcPr>
          <w:p w14:paraId="725D2641"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Emplois indirects générés</w:t>
            </w:r>
          </w:p>
        </w:tc>
        <w:tc>
          <w:tcPr>
            <w:tcW w:w="1300" w:type="pct"/>
            <w:tcMar>
              <w:top w:w="28" w:type="dxa"/>
              <w:left w:w="80" w:type="dxa"/>
              <w:bottom w:w="28" w:type="dxa"/>
              <w:right w:w="80" w:type="dxa"/>
            </w:tcMar>
            <w:vAlign w:val="center"/>
          </w:tcPr>
          <w:p w14:paraId="7A918F2F" w14:textId="77777777" w:rsidR="0042033D" w:rsidRPr="004C3E51" w:rsidRDefault="00000000" w:rsidP="004C3E51">
            <w:pPr>
              <w:spacing w:line="232" w:lineRule="auto"/>
              <w:rPr>
                <w:rFonts w:ascii="Arial Narrow" w:hAnsi="Arial Narrow"/>
                <w:sz w:val="24"/>
                <w:szCs w:val="24"/>
              </w:rPr>
            </w:pPr>
            <w:r w:rsidRPr="004C3E51">
              <w:rPr>
                <w:rFonts w:ascii="Arial Narrow" w:hAnsi="Arial Narrow"/>
                <w:b/>
                <w:bCs/>
                <w:sz w:val="24"/>
                <w:szCs w:val="24"/>
              </w:rPr>
              <w:t>24</w:t>
            </w:r>
          </w:p>
        </w:tc>
        <w:tc>
          <w:tcPr>
            <w:tcW w:w="2400" w:type="pct"/>
            <w:tcMar>
              <w:top w:w="28" w:type="dxa"/>
              <w:left w:w="80" w:type="dxa"/>
              <w:bottom w:w="28" w:type="dxa"/>
              <w:right w:w="80" w:type="dxa"/>
            </w:tcMar>
            <w:vAlign w:val="center"/>
          </w:tcPr>
          <w:p w14:paraId="3D2EFCC7" w14:textId="77777777" w:rsidR="0042033D" w:rsidRPr="004C3E51" w:rsidRDefault="00000000" w:rsidP="004C3E51">
            <w:pPr>
              <w:rPr>
                <w:rFonts w:ascii="Arial Narrow" w:hAnsi="Arial Narrow"/>
                <w:sz w:val="24"/>
                <w:szCs w:val="24"/>
              </w:rPr>
            </w:pPr>
            <w:r w:rsidRPr="004C3E51">
              <w:rPr>
                <w:rFonts w:ascii="Arial Narrow" w:hAnsi="Arial Narrow"/>
                <w:sz w:val="24"/>
                <w:szCs w:val="24"/>
              </w:rPr>
              <w:t>Estimation interne sur hypothèse multiplicateur 1,5 ; à valider.</w:t>
            </w:r>
          </w:p>
        </w:tc>
      </w:tr>
    </w:tbl>
    <w:p w14:paraId="0DF037AE"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63" w:name="_Toc238821295"/>
      <w:r w:rsidRPr="005C594B">
        <w:rPr>
          <w:rFonts w:ascii="League Spartan" w:hAnsi="League Spartan"/>
          <w:sz w:val="40"/>
          <w:szCs w:val="40"/>
        </w:rPr>
        <w:lastRenderedPageBreak/>
        <w:t>16. Stratégie de croissance</w:t>
      </w:r>
      <w:bookmarkEnd w:id="63"/>
    </w:p>
    <w:p w14:paraId="5394D0D2" w14:textId="77777777" w:rsidR="0042033D" w:rsidRDefault="00000000">
      <w:pPr>
        <w:spacing w:after="60"/>
        <w:jc w:val="both"/>
        <w:rPr>
          <w:sz w:val="24"/>
          <w:szCs w:val="24"/>
        </w:rPr>
      </w:pPr>
      <w:r>
        <w:rPr>
          <w:sz w:val="24"/>
          <w:szCs w:val="24"/>
        </w:rPr>
        <w:t>La stratégie de croissance s'articule autour de quatre axes complémentaires : expansion de la capacité de production, diversification du mix de revenus, enrichissement de la gamme produit et élargissement géographique. Cette stratégie formalise une trajectoire partiellement validée par trente mois d'exploitation, qui sera accélérée par le financement catalytique de 50 000 $ et qui prépare l'éligibilité aux financements de scale-up à l'horizon 2027-2028.</w:t>
      </w:r>
    </w:p>
    <w:p w14:paraId="0F1BF47D" w14:textId="77777777" w:rsidR="0042033D" w:rsidRDefault="00000000">
      <w:pPr>
        <w:pStyle w:val="Heading2"/>
        <w:spacing w:before="150" w:after="60"/>
        <w:rPr>
          <w:rFonts w:ascii="Times New Roman" w:hAnsi="Times New Roman"/>
        </w:rPr>
      </w:pPr>
      <w:bookmarkStart w:id="64" w:name="_Toc100064"/>
      <w:r>
        <w:rPr>
          <w:rFonts w:ascii="Times New Roman" w:hAnsi="Times New Roman"/>
        </w:rPr>
        <w:t>16.1 Axe 1 — Expansion progressive de la capacité de production</w:t>
      </w:r>
      <w:bookmarkEnd w:id="64"/>
    </w:p>
    <w:p w14:paraId="3E7F1DFA" w14:textId="77777777" w:rsidR="0042033D" w:rsidRPr="004C3E51" w:rsidRDefault="00000000">
      <w:pPr>
        <w:spacing w:after="60"/>
        <w:jc w:val="both"/>
        <w:rPr>
          <w:sz w:val="32"/>
          <w:szCs w:val="32"/>
        </w:rPr>
      </w:pPr>
      <w:r w:rsidRPr="004C3E51">
        <w:rPr>
          <w:sz w:val="24"/>
          <w:szCs w:val="24"/>
        </w:rPr>
        <w:t>Le premier axe est l'expansion progressive de la capacité de production, calibrée sur la demande effectivement accessible. La trajectoire passe de 10 tonnes de frass par mois en capacité actuelle à 18-22 tonnes en fin 2026, 26 tonnes en 2027, 36 tonnes en 2028, 46 tonnes en 2029 et 56 tonnes en 2030. Cette progression suppose des investissements successifs, un second hangar à l'horizon 2027-2028 et une digitalisation progressive du suivi. La configuration future de 3 tonnes par jour est conservée comme option industrielle à plus long terme ; elle n'est pas nécessaire aux projections centrales 2026-2030.</w:t>
      </w:r>
    </w:p>
    <w:p w14:paraId="2DADCCFF" w14:textId="77777777" w:rsidR="0042033D" w:rsidRDefault="00000000">
      <w:pPr>
        <w:pStyle w:val="Heading2"/>
        <w:spacing w:before="150" w:after="60"/>
        <w:rPr>
          <w:rFonts w:ascii="Times New Roman" w:hAnsi="Times New Roman"/>
        </w:rPr>
      </w:pPr>
      <w:bookmarkStart w:id="65" w:name="_Toc100065"/>
      <w:r>
        <w:rPr>
          <w:rFonts w:ascii="Times New Roman" w:hAnsi="Times New Roman"/>
        </w:rPr>
        <w:t>16.2 Axe 2 — Diversification accélérée du mix de revenus</w:t>
      </w:r>
      <w:bookmarkEnd w:id="65"/>
    </w:p>
    <w:p w14:paraId="7F9E2FEB" w14:textId="77777777" w:rsidR="0042033D" w:rsidRDefault="00000000">
      <w:pPr>
        <w:spacing w:after="60"/>
        <w:jc w:val="both"/>
        <w:rPr>
          <w:sz w:val="24"/>
          <w:szCs w:val="24"/>
        </w:rPr>
      </w:pPr>
      <w:r>
        <w:rPr>
          <w:sz w:val="24"/>
          <w:szCs w:val="24"/>
        </w:rPr>
        <w:t xml:space="preserve">Le deuxième axe vise à réduire la dépendance au canal FDA (87 % du chiffre d'affaires actuel) au profit d'un mix plus diversifié et plus rémunérateur. L'objectif est porté à </w:t>
      </w:r>
      <w:r>
        <w:rPr>
          <w:b/>
          <w:bCs/>
          <w:sz w:val="24"/>
          <w:szCs w:val="24"/>
        </w:rPr>
        <w:t>40 à 45 % de revenus hors FDA dès 2027</w:t>
      </w:r>
      <w:r>
        <w:rPr>
          <w:sz w:val="24"/>
          <w:szCs w:val="24"/>
        </w:rPr>
        <w:t xml:space="preserve"> — contre 35 % dans la trajectoire initiale, jugée insuffisante au regard du risque de concentration — et à 54 % en 2030. Cette accélération repose sur trois leviers : le développement prioritaire du canal B2B direct selon le plan de recrutement daté et le pipeline qualifié décrits en section 10.2 (trois comptes validés en douze mois, cinq à l'issue du deuxième exercice), la structuration du canal B2C via un réseau de revendeurs locaux (10 à 15 points de vente à l'horizon 2027) et la montée en charge maîtrisée de la ligne protéines larvaires à partir de 2027. Le pilotage du mix fait l'objet d'un suivi mensuel dans le tableau de bord des KPI (section 24.1).</w:t>
      </w:r>
    </w:p>
    <w:p w14:paraId="72A1500A" w14:textId="77777777" w:rsidR="0042033D" w:rsidRDefault="00000000">
      <w:pPr>
        <w:pStyle w:val="Heading2"/>
        <w:spacing w:before="150" w:after="60"/>
        <w:rPr>
          <w:rFonts w:ascii="Times New Roman" w:hAnsi="Times New Roman"/>
        </w:rPr>
      </w:pPr>
      <w:bookmarkStart w:id="66" w:name="_Toc100066"/>
      <w:r>
        <w:rPr>
          <w:rFonts w:ascii="Times New Roman" w:hAnsi="Times New Roman"/>
        </w:rPr>
        <w:t>16.3 Axe 3 — Enrichissement de la gamme produit</w:t>
      </w:r>
      <w:bookmarkEnd w:id="66"/>
    </w:p>
    <w:p w14:paraId="318891A2" w14:textId="77777777" w:rsidR="0042033D" w:rsidRPr="004C3E51" w:rsidRDefault="00000000">
      <w:pPr>
        <w:spacing w:after="60"/>
        <w:jc w:val="both"/>
        <w:rPr>
          <w:sz w:val="32"/>
          <w:szCs w:val="32"/>
        </w:rPr>
      </w:pPr>
      <w:r w:rsidRPr="004C3E51">
        <w:rPr>
          <w:sz w:val="24"/>
          <w:szCs w:val="24"/>
        </w:rPr>
        <w:t>Le troisième axe porte d'abord sur la ligne protéines animales, qui devient un relais de croissance à partir de 2027 sous réserve des validations techniques, réglementaires et commerciales. Le modèle financier ne suppose pas que toute la biomasse larvaire théorique sera vendue : la commercialisation est limitée à une fraction compatible avec la capacité de séchage, la demande qualifiée et les spécifications de marché. Les bioactivateurs restent en pré-commercialisation et ne contribuent pas au scénario central avant qualification commerciale.</w:t>
      </w:r>
    </w:p>
    <w:p w14:paraId="5F47D362" w14:textId="77777777" w:rsidR="0042033D" w:rsidRDefault="00000000">
      <w:pPr>
        <w:pStyle w:val="Heading2"/>
        <w:spacing w:before="150" w:after="60"/>
        <w:rPr>
          <w:rFonts w:ascii="Times New Roman" w:hAnsi="Times New Roman"/>
        </w:rPr>
      </w:pPr>
      <w:bookmarkStart w:id="67" w:name="_Toc100067"/>
      <w:r>
        <w:rPr>
          <w:rFonts w:ascii="Times New Roman" w:hAnsi="Times New Roman"/>
        </w:rPr>
        <w:t>16.4 Axe 4 — Élargissement géographique</w:t>
      </w:r>
      <w:bookmarkEnd w:id="67"/>
    </w:p>
    <w:p w14:paraId="61854724" w14:textId="4780236E" w:rsidR="0042033D" w:rsidRDefault="00000000">
      <w:pPr>
        <w:spacing w:after="60"/>
        <w:jc w:val="both"/>
        <w:rPr>
          <w:sz w:val="24"/>
          <w:szCs w:val="24"/>
        </w:rPr>
      </w:pPr>
      <w:r>
        <w:rPr>
          <w:sz w:val="24"/>
          <w:szCs w:val="24"/>
        </w:rPr>
        <w:t>Le quatrième axe vise à élargir progressivement la zone de commercialisation. À court terme (2026-2027), structuration de la distribution vers Antananarivo et l'Analamanga via le réseau de revendeurs et des contrats B2B directs ; à moyen terme (2028-2029), couverture de l'Alaotra-</w:t>
      </w:r>
      <w:r>
        <w:rPr>
          <w:sz w:val="24"/>
          <w:szCs w:val="24"/>
        </w:rPr>
        <w:lastRenderedPageBreak/>
        <w:t>Mangoro (première région rizicole) et des régions du Nord (Diana, Sava) pour les cultures de rente ; à l'horizon 2029-2030, préparation du déploiement régional (Maurice, La Réunion, Comores) selon la discipline de phase définie en section 24 — ce relais n'est activé qu'une fois obtenues la certification ISO 22000 et la labellisation biologique et ne pèse pas dans le scénario central des projections.</w:t>
      </w:r>
    </w:p>
    <w:p w14:paraId="51072989" w14:textId="0F1B0D5A" w:rsidR="0042033D" w:rsidRDefault="005C594B">
      <w:pPr>
        <w:pStyle w:val="Heading2"/>
        <w:spacing w:before="150" w:after="60"/>
        <w:rPr>
          <w:rFonts w:ascii="Times New Roman" w:hAnsi="Times New Roman"/>
          <w:lang w:val="fr-FR"/>
        </w:rPr>
      </w:pPr>
      <w:bookmarkStart w:id="68" w:name="_Toc100068"/>
      <w:r>
        <w:rPr>
          <w:noProof/>
        </w:rPr>
        <w:drawing>
          <wp:anchor distT="0" distB="0" distL="114300" distR="114300" simplePos="0" relativeHeight="251672576" behindDoc="0" locked="0" layoutInCell="1" allowOverlap="1" wp14:anchorId="0039AAE3" wp14:editId="39364FA1">
            <wp:simplePos x="0" y="0"/>
            <wp:positionH relativeFrom="column">
              <wp:posOffset>38100</wp:posOffset>
            </wp:positionH>
            <wp:positionV relativeFrom="paragraph">
              <wp:posOffset>306082</wp:posOffset>
            </wp:positionV>
            <wp:extent cx="5871237" cy="25908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71237" cy="2590800"/>
                    </a:xfrm>
                    <a:prstGeom prst="rect">
                      <a:avLst/>
                    </a:prstGeom>
                  </pic:spPr>
                </pic:pic>
              </a:graphicData>
            </a:graphic>
          </wp:anchor>
        </w:drawing>
      </w:r>
      <w:r w:rsidR="00000000">
        <w:rPr>
          <w:rFonts w:ascii="Times New Roman" w:hAnsi="Times New Roman"/>
        </w:rPr>
        <w:t>16.5 Synthèse de la trajectoire de croissance</w:t>
      </w:r>
      <w:bookmarkEnd w:id="68"/>
    </w:p>
    <w:p w14:paraId="4A5448A3" w14:textId="77777777" w:rsidR="005C594B" w:rsidRDefault="005C594B" w:rsidP="005C594B">
      <w:pPr>
        <w:spacing w:after="140" w:line="240" w:lineRule="auto"/>
        <w:jc w:val="center"/>
        <w:rPr>
          <w:i/>
          <w:iCs/>
          <w:color w:val="5A6472"/>
          <w:sz w:val="16"/>
          <w:szCs w:val="16"/>
          <w:lang w:val="fr-FR"/>
        </w:rPr>
      </w:pPr>
    </w:p>
    <w:p w14:paraId="551AFA28" w14:textId="1E737FC4" w:rsidR="005C594B" w:rsidRDefault="005C594B" w:rsidP="005C594B">
      <w:pPr>
        <w:spacing w:after="140" w:line="240" w:lineRule="auto"/>
        <w:jc w:val="center"/>
        <w:rPr>
          <w:i/>
          <w:iCs/>
          <w:color w:val="5A6472"/>
          <w:sz w:val="16"/>
          <w:szCs w:val="16"/>
          <w:lang w:val="fr-FR"/>
        </w:rPr>
      </w:pPr>
      <w:r>
        <w:rPr>
          <w:i/>
          <w:iCs/>
          <w:color w:val="5A6472"/>
          <w:sz w:val="16"/>
          <w:szCs w:val="16"/>
        </w:rPr>
        <w:t>Figure 7 — Trajectoire des instruments de financement 2026-2030 (financement catalytique, prêt à impact et subvention scale-up, dette mezzanine verte, autonomie financière)</w:t>
      </w:r>
    </w:p>
    <w:p w14:paraId="283C527C" w14:textId="77777777" w:rsidR="005C594B" w:rsidRDefault="005C594B" w:rsidP="005C594B">
      <w:pPr>
        <w:spacing w:after="140" w:line="240" w:lineRule="auto"/>
        <w:jc w:val="center"/>
        <w:rPr>
          <w:i/>
          <w:iCs/>
          <w:color w:val="5A6472"/>
          <w:sz w:val="16"/>
          <w:szCs w:val="16"/>
          <w:lang w:val="fr-FR"/>
        </w:rPr>
      </w:pPr>
    </w:p>
    <w:p w14:paraId="6F6AE2E8" w14:textId="77777777" w:rsidR="005C594B" w:rsidRDefault="005C594B" w:rsidP="005C594B">
      <w:pPr>
        <w:spacing w:after="140" w:line="240" w:lineRule="auto"/>
        <w:jc w:val="center"/>
        <w:rPr>
          <w:i/>
          <w:iCs/>
          <w:color w:val="5A6472"/>
          <w:sz w:val="16"/>
          <w:szCs w:val="16"/>
          <w:lang w:val="fr-FR"/>
        </w:rPr>
      </w:pPr>
    </w:p>
    <w:p w14:paraId="1E374AF7" w14:textId="77777777" w:rsidR="005C594B" w:rsidRDefault="005C594B" w:rsidP="005C594B">
      <w:pPr>
        <w:spacing w:after="140" w:line="240" w:lineRule="auto"/>
        <w:jc w:val="center"/>
        <w:rPr>
          <w:i/>
          <w:iCs/>
          <w:color w:val="5A6472"/>
          <w:sz w:val="16"/>
          <w:szCs w:val="16"/>
          <w:lang w:val="fr-FR"/>
        </w:rPr>
      </w:pPr>
    </w:p>
    <w:p w14:paraId="3DECCAE6" w14:textId="77777777" w:rsidR="005C594B" w:rsidRDefault="005C594B" w:rsidP="005C594B">
      <w:pPr>
        <w:spacing w:after="140" w:line="240" w:lineRule="auto"/>
        <w:jc w:val="center"/>
        <w:rPr>
          <w:i/>
          <w:iCs/>
          <w:color w:val="5A6472"/>
          <w:sz w:val="16"/>
          <w:szCs w:val="16"/>
          <w:lang w:val="fr-FR"/>
        </w:rPr>
      </w:pPr>
    </w:p>
    <w:p w14:paraId="5BEB0231" w14:textId="77777777" w:rsidR="005C594B" w:rsidRDefault="005C594B" w:rsidP="005C594B">
      <w:pPr>
        <w:spacing w:after="140" w:line="240" w:lineRule="auto"/>
        <w:jc w:val="center"/>
        <w:rPr>
          <w:i/>
          <w:iCs/>
          <w:color w:val="5A6472"/>
          <w:sz w:val="16"/>
          <w:szCs w:val="16"/>
          <w:lang w:val="fr-FR"/>
        </w:rPr>
      </w:pPr>
    </w:p>
    <w:p w14:paraId="17E0B123" w14:textId="77777777" w:rsidR="005C594B" w:rsidRDefault="005C594B" w:rsidP="005C594B">
      <w:pPr>
        <w:spacing w:after="140" w:line="240" w:lineRule="auto"/>
        <w:jc w:val="center"/>
        <w:rPr>
          <w:i/>
          <w:iCs/>
          <w:color w:val="5A6472"/>
          <w:sz w:val="16"/>
          <w:szCs w:val="16"/>
          <w:lang w:val="fr-FR"/>
        </w:rPr>
      </w:pPr>
    </w:p>
    <w:p w14:paraId="4D6BC568" w14:textId="77777777" w:rsidR="005C594B" w:rsidRDefault="005C594B" w:rsidP="005C594B">
      <w:pPr>
        <w:spacing w:after="140" w:line="240" w:lineRule="auto"/>
        <w:jc w:val="center"/>
        <w:rPr>
          <w:i/>
          <w:iCs/>
          <w:color w:val="5A6472"/>
          <w:sz w:val="16"/>
          <w:szCs w:val="16"/>
          <w:lang w:val="fr-FR"/>
        </w:rPr>
      </w:pPr>
    </w:p>
    <w:p w14:paraId="533FBE08" w14:textId="77777777" w:rsidR="005C594B" w:rsidRDefault="005C594B" w:rsidP="005C594B">
      <w:pPr>
        <w:spacing w:after="140" w:line="240" w:lineRule="auto"/>
        <w:jc w:val="center"/>
        <w:rPr>
          <w:i/>
          <w:iCs/>
          <w:color w:val="5A6472"/>
          <w:sz w:val="16"/>
          <w:szCs w:val="16"/>
          <w:lang w:val="fr-FR"/>
        </w:rPr>
      </w:pPr>
    </w:p>
    <w:p w14:paraId="5EAE3550" w14:textId="77777777" w:rsidR="005C594B" w:rsidRDefault="005C594B" w:rsidP="005C594B">
      <w:pPr>
        <w:spacing w:after="140" w:line="240" w:lineRule="auto"/>
        <w:jc w:val="center"/>
        <w:rPr>
          <w:i/>
          <w:iCs/>
          <w:color w:val="5A6472"/>
          <w:sz w:val="16"/>
          <w:szCs w:val="16"/>
          <w:lang w:val="fr-FR"/>
        </w:rPr>
      </w:pPr>
    </w:p>
    <w:p w14:paraId="49F4E7EE" w14:textId="77777777" w:rsidR="005C594B" w:rsidRDefault="005C594B" w:rsidP="005C594B">
      <w:pPr>
        <w:spacing w:after="140" w:line="240" w:lineRule="auto"/>
        <w:jc w:val="center"/>
        <w:rPr>
          <w:i/>
          <w:iCs/>
          <w:color w:val="5A6472"/>
          <w:sz w:val="16"/>
          <w:szCs w:val="16"/>
          <w:lang w:val="fr-FR"/>
        </w:rPr>
      </w:pPr>
    </w:p>
    <w:p w14:paraId="36DD6065" w14:textId="77777777" w:rsidR="005C594B" w:rsidRDefault="005C594B" w:rsidP="005C594B">
      <w:pPr>
        <w:spacing w:after="140" w:line="240" w:lineRule="auto"/>
        <w:jc w:val="center"/>
        <w:rPr>
          <w:i/>
          <w:iCs/>
          <w:color w:val="5A6472"/>
          <w:sz w:val="16"/>
          <w:szCs w:val="16"/>
          <w:lang w:val="fr-FR"/>
        </w:rPr>
      </w:pPr>
    </w:p>
    <w:p w14:paraId="501E369E" w14:textId="77777777" w:rsidR="005C594B" w:rsidRDefault="005C594B" w:rsidP="005C594B">
      <w:pPr>
        <w:spacing w:after="140" w:line="240" w:lineRule="auto"/>
        <w:jc w:val="center"/>
        <w:rPr>
          <w:i/>
          <w:iCs/>
          <w:color w:val="5A6472"/>
          <w:sz w:val="16"/>
          <w:szCs w:val="16"/>
          <w:lang w:val="fr-FR"/>
        </w:rPr>
      </w:pPr>
    </w:p>
    <w:p w14:paraId="0C097598" w14:textId="77777777" w:rsidR="005C594B" w:rsidRDefault="005C594B" w:rsidP="005C594B">
      <w:pPr>
        <w:spacing w:after="140" w:line="240" w:lineRule="auto"/>
        <w:jc w:val="center"/>
        <w:rPr>
          <w:i/>
          <w:iCs/>
          <w:color w:val="5A6472"/>
          <w:sz w:val="16"/>
          <w:szCs w:val="16"/>
          <w:lang w:val="fr-FR"/>
        </w:rPr>
      </w:pPr>
    </w:p>
    <w:p w14:paraId="184BC308" w14:textId="77777777" w:rsidR="005C594B" w:rsidRDefault="005C594B" w:rsidP="005C594B">
      <w:pPr>
        <w:spacing w:after="140" w:line="240" w:lineRule="auto"/>
        <w:jc w:val="center"/>
        <w:rPr>
          <w:i/>
          <w:iCs/>
          <w:color w:val="5A6472"/>
          <w:sz w:val="16"/>
          <w:szCs w:val="16"/>
          <w:lang w:val="fr-FR"/>
        </w:rPr>
      </w:pPr>
    </w:p>
    <w:p w14:paraId="30F9A2BC" w14:textId="77777777" w:rsidR="005C594B" w:rsidRDefault="005C594B" w:rsidP="005C594B">
      <w:pPr>
        <w:spacing w:after="140" w:line="240" w:lineRule="auto"/>
        <w:jc w:val="center"/>
        <w:rPr>
          <w:i/>
          <w:iCs/>
          <w:color w:val="5A6472"/>
          <w:sz w:val="16"/>
          <w:szCs w:val="16"/>
          <w:lang w:val="fr-FR"/>
        </w:rPr>
      </w:pPr>
    </w:p>
    <w:p w14:paraId="4B2F684F" w14:textId="77777777" w:rsidR="005C594B" w:rsidRDefault="005C594B" w:rsidP="005C594B">
      <w:pPr>
        <w:spacing w:after="140" w:line="240" w:lineRule="auto"/>
        <w:jc w:val="center"/>
        <w:rPr>
          <w:i/>
          <w:iCs/>
          <w:color w:val="5A6472"/>
          <w:sz w:val="16"/>
          <w:szCs w:val="16"/>
          <w:lang w:val="fr-FR"/>
        </w:rPr>
      </w:pPr>
    </w:p>
    <w:p w14:paraId="74D42119" w14:textId="77777777" w:rsidR="005C594B" w:rsidRDefault="005C594B" w:rsidP="005C594B">
      <w:pPr>
        <w:spacing w:after="140" w:line="240" w:lineRule="auto"/>
        <w:jc w:val="center"/>
        <w:rPr>
          <w:i/>
          <w:iCs/>
          <w:color w:val="5A6472"/>
          <w:sz w:val="16"/>
          <w:szCs w:val="16"/>
          <w:lang w:val="fr-FR"/>
        </w:rPr>
      </w:pPr>
    </w:p>
    <w:p w14:paraId="5074C5C6" w14:textId="77777777" w:rsidR="005C594B" w:rsidRDefault="005C594B" w:rsidP="005C594B">
      <w:pPr>
        <w:spacing w:after="140" w:line="240" w:lineRule="auto"/>
        <w:jc w:val="center"/>
        <w:rPr>
          <w:i/>
          <w:iCs/>
          <w:color w:val="5A6472"/>
          <w:sz w:val="16"/>
          <w:szCs w:val="16"/>
          <w:lang w:val="fr-FR"/>
        </w:rPr>
      </w:pPr>
    </w:p>
    <w:p w14:paraId="3ED85963" w14:textId="77777777" w:rsidR="005C594B" w:rsidRDefault="005C594B" w:rsidP="005C594B">
      <w:pPr>
        <w:spacing w:after="140" w:line="240" w:lineRule="auto"/>
        <w:jc w:val="center"/>
        <w:rPr>
          <w:i/>
          <w:iCs/>
          <w:color w:val="5A6472"/>
          <w:sz w:val="16"/>
          <w:szCs w:val="16"/>
          <w:lang w:val="fr-FR"/>
        </w:rPr>
      </w:pPr>
    </w:p>
    <w:p w14:paraId="4D049647" w14:textId="77777777" w:rsidR="005C594B" w:rsidRPr="005C594B" w:rsidRDefault="005C594B" w:rsidP="005C594B">
      <w:pPr>
        <w:spacing w:after="140" w:line="240" w:lineRule="auto"/>
        <w:jc w:val="center"/>
        <w:rPr>
          <w:lang w:val="fr-FR"/>
        </w:rPr>
      </w:pPr>
    </w:p>
    <w:p w14:paraId="1AD15778" w14:textId="77777777" w:rsidR="0042033D" w:rsidRPr="005C594B" w:rsidRDefault="00000000">
      <w:pPr>
        <w:pStyle w:val="Heading1"/>
        <w:pBdr>
          <w:bottom w:val="single" w:sz="6" w:space="4" w:color="D4875A"/>
        </w:pBdr>
        <w:spacing w:before="200" w:after="90"/>
        <w:rPr>
          <w:rFonts w:ascii="League Spartan" w:hAnsi="League Spartan"/>
          <w:sz w:val="40"/>
          <w:szCs w:val="40"/>
        </w:rPr>
      </w:pPr>
      <w:bookmarkStart w:id="69" w:name="_Toc238821296"/>
      <w:r w:rsidRPr="005C594B">
        <w:rPr>
          <w:rFonts w:ascii="League Spartan" w:hAnsi="League Spartan"/>
          <w:sz w:val="40"/>
          <w:szCs w:val="40"/>
        </w:rPr>
        <w:lastRenderedPageBreak/>
        <w:t>17. ESG et impact</w:t>
      </w:r>
      <w:bookmarkEnd w:id="69"/>
    </w:p>
    <w:p w14:paraId="6C15633E" w14:textId="77777777" w:rsidR="0042033D" w:rsidRDefault="00000000">
      <w:pPr>
        <w:spacing w:after="60"/>
        <w:jc w:val="both"/>
        <w:rPr>
          <w:sz w:val="24"/>
          <w:szCs w:val="24"/>
        </w:rPr>
      </w:pPr>
      <w:r>
        <w:rPr>
          <w:sz w:val="24"/>
          <w:szCs w:val="24"/>
        </w:rPr>
        <w:t>Bio Source Farm génère un impact environnemental, social et de gouvernance (ESG) mesurable, documenté par des données opérationnelles accumulées depuis trente mois et calibré sur des trajectoires réalistes, qui n'inflent pas les projections pour maximiser l'attractivité du projet.</w:t>
      </w:r>
    </w:p>
    <w:p w14:paraId="0B8D3AC3" w14:textId="77777777" w:rsidR="0042033D" w:rsidRDefault="00000000">
      <w:pPr>
        <w:keepNext/>
        <w:spacing w:before="140" w:after="50" w:line="260" w:lineRule="auto"/>
        <w:rPr>
          <w:sz w:val="24"/>
          <w:szCs w:val="24"/>
        </w:rPr>
      </w:pPr>
      <w:r>
        <w:rPr>
          <w:rFonts w:eastAsia="Arial"/>
          <w:b/>
          <w:bCs/>
          <w:color w:val="1A2330"/>
          <w:sz w:val="24"/>
          <w:szCs w:val="24"/>
        </w:rPr>
        <w:t>Tableau 11 — Matrice ESG de Bio Source Farm (situation mesurée au 31 décembre 2025 et cibles 2030)</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1374"/>
        <w:gridCol w:w="2197"/>
        <w:gridCol w:w="1831"/>
        <w:gridCol w:w="1465"/>
        <w:gridCol w:w="2289"/>
      </w:tblGrid>
      <w:tr w:rsidR="0042033D" w:rsidRPr="004C3E51" w14:paraId="49EA4ADC" w14:textId="77777777">
        <w:trPr>
          <w:cantSplit/>
          <w:tblHeader/>
        </w:trPr>
        <w:tc>
          <w:tcPr>
            <w:tcW w:w="750" w:type="pct"/>
            <w:shd w:val="clear" w:color="auto" w:fill="D4875A"/>
            <w:tcMar>
              <w:top w:w="36" w:type="dxa"/>
              <w:left w:w="80" w:type="dxa"/>
              <w:bottom w:w="36" w:type="dxa"/>
              <w:right w:w="80" w:type="dxa"/>
            </w:tcMar>
            <w:vAlign w:val="center"/>
          </w:tcPr>
          <w:p w14:paraId="4413FA6B"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Dimension</w:t>
            </w:r>
          </w:p>
        </w:tc>
        <w:tc>
          <w:tcPr>
            <w:tcW w:w="1200" w:type="pct"/>
            <w:shd w:val="clear" w:color="auto" w:fill="D4875A"/>
            <w:tcMar>
              <w:top w:w="36" w:type="dxa"/>
              <w:left w:w="80" w:type="dxa"/>
              <w:bottom w:w="36" w:type="dxa"/>
              <w:right w:w="80" w:type="dxa"/>
            </w:tcMar>
            <w:vAlign w:val="center"/>
          </w:tcPr>
          <w:p w14:paraId="4D7AC1D2"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KPI</w:t>
            </w:r>
          </w:p>
        </w:tc>
        <w:tc>
          <w:tcPr>
            <w:tcW w:w="1000" w:type="pct"/>
            <w:shd w:val="clear" w:color="auto" w:fill="D4875A"/>
            <w:tcMar>
              <w:top w:w="36" w:type="dxa"/>
              <w:left w:w="80" w:type="dxa"/>
              <w:bottom w:w="36" w:type="dxa"/>
              <w:right w:w="80" w:type="dxa"/>
            </w:tcMar>
            <w:vAlign w:val="center"/>
          </w:tcPr>
          <w:p w14:paraId="796A8527"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Situation actuelle</w:t>
            </w:r>
          </w:p>
        </w:tc>
        <w:tc>
          <w:tcPr>
            <w:tcW w:w="800" w:type="pct"/>
            <w:shd w:val="clear" w:color="auto" w:fill="D4875A"/>
            <w:tcMar>
              <w:top w:w="36" w:type="dxa"/>
              <w:left w:w="80" w:type="dxa"/>
              <w:bottom w:w="36" w:type="dxa"/>
              <w:right w:w="80" w:type="dxa"/>
            </w:tcMar>
            <w:vAlign w:val="center"/>
          </w:tcPr>
          <w:p w14:paraId="068330A4"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Cible 2030</w:t>
            </w:r>
          </w:p>
        </w:tc>
        <w:tc>
          <w:tcPr>
            <w:tcW w:w="1250" w:type="pct"/>
            <w:shd w:val="clear" w:color="auto" w:fill="D4875A"/>
            <w:tcMar>
              <w:top w:w="36" w:type="dxa"/>
              <w:left w:w="80" w:type="dxa"/>
              <w:bottom w:w="36" w:type="dxa"/>
              <w:right w:w="80" w:type="dxa"/>
            </w:tcMar>
            <w:vAlign w:val="center"/>
          </w:tcPr>
          <w:p w14:paraId="71EDC6A3"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Méthode de mesure</w:t>
            </w:r>
          </w:p>
        </w:tc>
      </w:tr>
      <w:tr w:rsidR="0042033D" w:rsidRPr="004C3E51" w14:paraId="4EBCF343" w14:textId="77777777">
        <w:trPr>
          <w:cantSplit/>
        </w:trPr>
        <w:tc>
          <w:tcPr>
            <w:tcW w:w="750" w:type="pct"/>
            <w:tcMar>
              <w:top w:w="28" w:type="dxa"/>
              <w:left w:w="80" w:type="dxa"/>
              <w:bottom w:w="28" w:type="dxa"/>
              <w:right w:w="80" w:type="dxa"/>
            </w:tcMar>
            <w:vAlign w:val="center"/>
          </w:tcPr>
          <w:p w14:paraId="3C46A646"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Environnement</w:t>
            </w:r>
          </w:p>
        </w:tc>
        <w:tc>
          <w:tcPr>
            <w:tcW w:w="1200" w:type="pct"/>
            <w:tcMar>
              <w:top w:w="28" w:type="dxa"/>
              <w:left w:w="80" w:type="dxa"/>
              <w:bottom w:w="28" w:type="dxa"/>
              <w:right w:w="80" w:type="dxa"/>
            </w:tcMar>
            <w:vAlign w:val="center"/>
          </w:tcPr>
          <w:p w14:paraId="7D65A8C9"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Déchets organiques valorisés</w:t>
            </w:r>
          </w:p>
        </w:tc>
        <w:tc>
          <w:tcPr>
            <w:tcW w:w="1000" w:type="pct"/>
            <w:tcMar>
              <w:top w:w="28" w:type="dxa"/>
              <w:left w:w="80" w:type="dxa"/>
              <w:bottom w:w="28" w:type="dxa"/>
              <w:right w:w="80" w:type="dxa"/>
            </w:tcMar>
            <w:vAlign w:val="center"/>
          </w:tcPr>
          <w:p w14:paraId="400933A9"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1 000 T cumulées</w:t>
            </w:r>
          </w:p>
        </w:tc>
        <w:tc>
          <w:tcPr>
            <w:tcW w:w="800" w:type="pct"/>
            <w:tcMar>
              <w:top w:w="28" w:type="dxa"/>
              <w:left w:w="80" w:type="dxa"/>
              <w:bottom w:w="28" w:type="dxa"/>
              <w:right w:w="80" w:type="dxa"/>
            </w:tcMar>
            <w:vAlign w:val="center"/>
          </w:tcPr>
          <w:p w14:paraId="3C0FB1FC" w14:textId="77777777" w:rsidR="0042033D" w:rsidRPr="004C3E51" w:rsidRDefault="00000000">
            <w:pPr>
              <w:rPr>
                <w:rFonts w:ascii="Arial Narrow" w:hAnsi="Arial Narrow"/>
                <w:sz w:val="24"/>
                <w:szCs w:val="24"/>
              </w:rPr>
            </w:pPr>
            <w:r w:rsidRPr="004C3E51">
              <w:rPr>
                <w:rFonts w:ascii="Arial Narrow" w:hAnsi="Arial Narrow"/>
                <w:sz w:val="24"/>
                <w:szCs w:val="24"/>
              </w:rPr>
              <w:t>≈ 2 240 T/an en 2030 (sur 56 T/mois de frass et 30 % de conversion interne)</w:t>
            </w:r>
          </w:p>
        </w:tc>
        <w:tc>
          <w:tcPr>
            <w:tcW w:w="1250" w:type="pct"/>
            <w:tcMar>
              <w:top w:w="28" w:type="dxa"/>
              <w:left w:w="80" w:type="dxa"/>
              <w:bottom w:w="28" w:type="dxa"/>
              <w:right w:w="80" w:type="dxa"/>
            </w:tcMar>
            <w:vAlign w:val="center"/>
          </w:tcPr>
          <w:p w14:paraId="412BF759"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Comptage matière entrante (fiches de réception)</w:t>
            </w:r>
          </w:p>
        </w:tc>
      </w:tr>
      <w:tr w:rsidR="0042033D" w:rsidRPr="004C3E51" w14:paraId="05F6D03A" w14:textId="77777777">
        <w:trPr>
          <w:cantSplit/>
        </w:trPr>
        <w:tc>
          <w:tcPr>
            <w:tcW w:w="750" w:type="pct"/>
            <w:tcMar>
              <w:top w:w="28" w:type="dxa"/>
              <w:left w:w="80" w:type="dxa"/>
              <w:bottom w:w="28" w:type="dxa"/>
              <w:right w:w="80" w:type="dxa"/>
            </w:tcMar>
            <w:vAlign w:val="center"/>
          </w:tcPr>
          <w:p w14:paraId="41CD3AB0"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Environnement</w:t>
            </w:r>
          </w:p>
        </w:tc>
        <w:tc>
          <w:tcPr>
            <w:tcW w:w="1200" w:type="pct"/>
            <w:tcMar>
              <w:top w:w="28" w:type="dxa"/>
              <w:left w:w="80" w:type="dxa"/>
              <w:bottom w:w="28" w:type="dxa"/>
              <w:right w:w="80" w:type="dxa"/>
            </w:tcMar>
            <w:vAlign w:val="center"/>
          </w:tcPr>
          <w:p w14:paraId="79515A9C" w14:textId="77777777" w:rsidR="0042033D" w:rsidRPr="004C3E51" w:rsidRDefault="00000000">
            <w:pPr>
              <w:rPr>
                <w:rFonts w:ascii="Arial Narrow" w:hAnsi="Arial Narrow"/>
                <w:sz w:val="24"/>
                <w:szCs w:val="24"/>
              </w:rPr>
            </w:pPr>
            <w:r w:rsidRPr="004C3E51">
              <w:rPr>
                <w:rFonts w:ascii="Arial Narrow" w:hAnsi="Arial Narrow"/>
                <w:sz w:val="24"/>
                <w:szCs w:val="24"/>
              </w:rPr>
              <w:t>CO2e évitées — proxy de scénario</w:t>
            </w:r>
          </w:p>
        </w:tc>
        <w:tc>
          <w:tcPr>
            <w:tcW w:w="1000" w:type="pct"/>
            <w:tcMar>
              <w:top w:w="28" w:type="dxa"/>
              <w:left w:w="80" w:type="dxa"/>
              <w:bottom w:w="28" w:type="dxa"/>
              <w:right w:w="80" w:type="dxa"/>
            </w:tcMar>
            <w:vAlign w:val="center"/>
          </w:tcPr>
          <w:p w14:paraId="410E095C" w14:textId="77777777" w:rsidR="0042033D" w:rsidRPr="004C3E51" w:rsidRDefault="00000000">
            <w:pPr>
              <w:rPr>
                <w:rFonts w:ascii="Arial Narrow" w:hAnsi="Arial Narrow"/>
                <w:sz w:val="24"/>
                <w:szCs w:val="24"/>
              </w:rPr>
            </w:pPr>
            <w:r w:rsidRPr="004C3E51">
              <w:rPr>
                <w:rFonts w:ascii="Arial Narrow" w:hAnsi="Arial Narrow"/>
                <w:sz w:val="24"/>
                <w:szCs w:val="24"/>
              </w:rPr>
              <w:t>≈ 500 T cumulées (proxy, non certifié)</w:t>
            </w:r>
          </w:p>
        </w:tc>
        <w:tc>
          <w:tcPr>
            <w:tcW w:w="800" w:type="pct"/>
            <w:tcMar>
              <w:top w:w="28" w:type="dxa"/>
              <w:left w:w="80" w:type="dxa"/>
              <w:bottom w:w="28" w:type="dxa"/>
              <w:right w:w="80" w:type="dxa"/>
            </w:tcMar>
            <w:vAlign w:val="center"/>
          </w:tcPr>
          <w:p w14:paraId="5289DD78" w14:textId="77777777" w:rsidR="0042033D" w:rsidRPr="004C3E51" w:rsidRDefault="00000000">
            <w:pPr>
              <w:rPr>
                <w:rFonts w:ascii="Arial Narrow" w:hAnsi="Arial Narrow"/>
                <w:sz w:val="24"/>
                <w:szCs w:val="24"/>
                <w:lang w:val="fr-FR"/>
              </w:rPr>
            </w:pPr>
            <w:r w:rsidRPr="004C3E51">
              <w:rPr>
                <w:rFonts w:ascii="Arial Narrow" w:hAnsi="Arial Narrow"/>
                <w:sz w:val="24"/>
                <w:szCs w:val="24"/>
              </w:rPr>
              <w:t>≈ 975 T/an selon le même proxy si la méthodologie est validée ; aucune revendication carbone ni crédit carbone n'est comptabilisé dans le modèle</w:t>
            </w:r>
          </w:p>
        </w:tc>
        <w:tc>
          <w:tcPr>
            <w:tcW w:w="1250" w:type="pct"/>
            <w:tcMar>
              <w:top w:w="28" w:type="dxa"/>
              <w:left w:w="80" w:type="dxa"/>
              <w:bottom w:w="28" w:type="dxa"/>
              <w:right w:w="80" w:type="dxa"/>
            </w:tcMar>
            <w:vAlign w:val="center"/>
          </w:tcPr>
          <w:p w14:paraId="0E0236A3" w14:textId="77777777" w:rsidR="0042033D" w:rsidRPr="004C3E51" w:rsidRDefault="00000000">
            <w:pPr>
              <w:rPr>
                <w:rFonts w:ascii="Arial Narrow" w:hAnsi="Arial Narrow"/>
                <w:sz w:val="24"/>
                <w:szCs w:val="24"/>
              </w:rPr>
            </w:pPr>
            <w:r w:rsidRPr="004C3E51">
              <w:rPr>
                <w:rFonts w:ascii="Arial Narrow" w:hAnsi="Arial Narrow"/>
                <w:sz w:val="24"/>
                <w:szCs w:val="24"/>
              </w:rPr>
              <w:t>EPA WARM ; calcul à documenter par composition de substrat ; pas de revendication carbone certifiée [S5]</w:t>
            </w:r>
          </w:p>
        </w:tc>
      </w:tr>
      <w:tr w:rsidR="0042033D" w:rsidRPr="004C3E51" w14:paraId="5AC81BAC" w14:textId="77777777">
        <w:trPr>
          <w:cantSplit/>
        </w:trPr>
        <w:tc>
          <w:tcPr>
            <w:tcW w:w="750" w:type="pct"/>
            <w:tcMar>
              <w:top w:w="28" w:type="dxa"/>
              <w:left w:w="80" w:type="dxa"/>
              <w:bottom w:w="28" w:type="dxa"/>
              <w:right w:w="80" w:type="dxa"/>
            </w:tcMar>
            <w:vAlign w:val="center"/>
          </w:tcPr>
          <w:p w14:paraId="689EFFB5"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Environnement</w:t>
            </w:r>
          </w:p>
        </w:tc>
        <w:tc>
          <w:tcPr>
            <w:tcW w:w="1200" w:type="pct"/>
            <w:tcMar>
              <w:top w:w="28" w:type="dxa"/>
              <w:left w:w="80" w:type="dxa"/>
              <w:bottom w:w="28" w:type="dxa"/>
              <w:right w:w="80" w:type="dxa"/>
            </w:tcMar>
            <w:vAlign w:val="center"/>
          </w:tcPr>
          <w:p w14:paraId="36C4BD43"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Frass produit</w:t>
            </w:r>
          </w:p>
        </w:tc>
        <w:tc>
          <w:tcPr>
            <w:tcW w:w="1000" w:type="pct"/>
            <w:tcMar>
              <w:top w:w="28" w:type="dxa"/>
              <w:left w:w="80" w:type="dxa"/>
              <w:bottom w:w="28" w:type="dxa"/>
              <w:right w:w="80" w:type="dxa"/>
            </w:tcMar>
            <w:vAlign w:val="center"/>
          </w:tcPr>
          <w:p w14:paraId="349D8C81"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10 T/mois</w:t>
            </w:r>
          </w:p>
        </w:tc>
        <w:tc>
          <w:tcPr>
            <w:tcW w:w="800" w:type="pct"/>
            <w:tcMar>
              <w:top w:w="28" w:type="dxa"/>
              <w:left w:w="80" w:type="dxa"/>
              <w:bottom w:w="28" w:type="dxa"/>
              <w:right w:w="80" w:type="dxa"/>
            </w:tcMar>
            <w:vAlign w:val="center"/>
          </w:tcPr>
          <w:p w14:paraId="1B24108D"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56 T/mois</w:t>
            </w:r>
          </w:p>
        </w:tc>
        <w:tc>
          <w:tcPr>
            <w:tcW w:w="1250" w:type="pct"/>
            <w:tcMar>
              <w:top w:w="28" w:type="dxa"/>
              <w:left w:w="80" w:type="dxa"/>
              <w:bottom w:w="28" w:type="dxa"/>
              <w:right w:w="80" w:type="dxa"/>
            </w:tcMar>
            <w:vAlign w:val="center"/>
          </w:tcPr>
          <w:p w14:paraId="519BA2F9"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Pesée journalière des bacs de production</w:t>
            </w:r>
          </w:p>
        </w:tc>
      </w:tr>
      <w:tr w:rsidR="0042033D" w:rsidRPr="004C3E51" w14:paraId="59A243BA" w14:textId="77777777">
        <w:trPr>
          <w:cantSplit/>
        </w:trPr>
        <w:tc>
          <w:tcPr>
            <w:tcW w:w="750" w:type="pct"/>
            <w:tcMar>
              <w:top w:w="28" w:type="dxa"/>
              <w:left w:w="80" w:type="dxa"/>
              <w:bottom w:w="28" w:type="dxa"/>
              <w:right w:w="80" w:type="dxa"/>
            </w:tcMar>
            <w:vAlign w:val="center"/>
          </w:tcPr>
          <w:p w14:paraId="49DA80EE"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Social</w:t>
            </w:r>
          </w:p>
        </w:tc>
        <w:tc>
          <w:tcPr>
            <w:tcW w:w="1200" w:type="pct"/>
            <w:tcMar>
              <w:top w:w="28" w:type="dxa"/>
              <w:left w:w="80" w:type="dxa"/>
              <w:bottom w:w="28" w:type="dxa"/>
              <w:right w:w="80" w:type="dxa"/>
            </w:tcMar>
            <w:vAlign w:val="center"/>
          </w:tcPr>
          <w:p w14:paraId="5E91166E"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Emplois directs créés</w:t>
            </w:r>
          </w:p>
        </w:tc>
        <w:tc>
          <w:tcPr>
            <w:tcW w:w="1000" w:type="pct"/>
            <w:tcMar>
              <w:top w:w="28" w:type="dxa"/>
              <w:left w:w="80" w:type="dxa"/>
              <w:bottom w:w="28" w:type="dxa"/>
              <w:right w:w="80" w:type="dxa"/>
            </w:tcMar>
            <w:vAlign w:val="center"/>
          </w:tcPr>
          <w:p w14:paraId="7F167058"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16 ETP salariés (CNAPS)</w:t>
            </w:r>
          </w:p>
        </w:tc>
        <w:tc>
          <w:tcPr>
            <w:tcW w:w="800" w:type="pct"/>
            <w:tcMar>
              <w:top w:w="28" w:type="dxa"/>
              <w:left w:w="80" w:type="dxa"/>
              <w:bottom w:w="28" w:type="dxa"/>
              <w:right w:w="80" w:type="dxa"/>
            </w:tcMar>
            <w:vAlign w:val="center"/>
          </w:tcPr>
          <w:p w14:paraId="1AE0DFE0"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52 ETP</w:t>
            </w:r>
          </w:p>
        </w:tc>
        <w:tc>
          <w:tcPr>
            <w:tcW w:w="1250" w:type="pct"/>
            <w:tcMar>
              <w:top w:w="28" w:type="dxa"/>
              <w:left w:w="80" w:type="dxa"/>
              <w:bottom w:w="28" w:type="dxa"/>
              <w:right w:w="80" w:type="dxa"/>
            </w:tcMar>
            <w:vAlign w:val="center"/>
          </w:tcPr>
          <w:p w14:paraId="3FF94A40"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Effectifs salariés déclarés (CNAPS)</w:t>
            </w:r>
          </w:p>
        </w:tc>
      </w:tr>
      <w:tr w:rsidR="0042033D" w:rsidRPr="004C3E51" w14:paraId="3F84F5D4" w14:textId="77777777">
        <w:trPr>
          <w:cantSplit/>
        </w:trPr>
        <w:tc>
          <w:tcPr>
            <w:tcW w:w="750" w:type="pct"/>
            <w:tcMar>
              <w:top w:w="28" w:type="dxa"/>
              <w:left w:w="80" w:type="dxa"/>
              <w:bottom w:w="28" w:type="dxa"/>
              <w:right w:w="80" w:type="dxa"/>
            </w:tcMar>
            <w:vAlign w:val="center"/>
          </w:tcPr>
          <w:p w14:paraId="410D258A"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Social</w:t>
            </w:r>
          </w:p>
        </w:tc>
        <w:tc>
          <w:tcPr>
            <w:tcW w:w="1200" w:type="pct"/>
            <w:tcMar>
              <w:top w:w="28" w:type="dxa"/>
              <w:left w:w="80" w:type="dxa"/>
              <w:bottom w:w="28" w:type="dxa"/>
              <w:right w:w="80" w:type="dxa"/>
            </w:tcMar>
            <w:vAlign w:val="center"/>
          </w:tcPr>
          <w:p w14:paraId="3065F959"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Emplois indirects</w:t>
            </w:r>
          </w:p>
        </w:tc>
        <w:tc>
          <w:tcPr>
            <w:tcW w:w="1000" w:type="pct"/>
            <w:tcMar>
              <w:top w:w="28" w:type="dxa"/>
              <w:left w:w="80" w:type="dxa"/>
              <w:bottom w:w="28" w:type="dxa"/>
              <w:right w:w="80" w:type="dxa"/>
            </w:tcMar>
            <w:vAlign w:val="center"/>
          </w:tcPr>
          <w:p w14:paraId="531B997B" w14:textId="77777777" w:rsidR="0042033D" w:rsidRPr="004C3E51" w:rsidRDefault="00000000">
            <w:pPr>
              <w:spacing w:line="232" w:lineRule="auto"/>
              <w:rPr>
                <w:rFonts w:ascii="Arial Narrow" w:hAnsi="Arial Narrow"/>
                <w:sz w:val="24"/>
                <w:szCs w:val="24"/>
              </w:rPr>
            </w:pPr>
            <w:r w:rsidRPr="004C3E51">
              <w:rPr>
                <w:rFonts w:ascii="Arial Narrow" w:hAnsi="Arial Narrow"/>
                <w:b/>
                <w:bCs/>
                <w:i/>
                <w:iCs/>
                <w:sz w:val="24"/>
                <w:szCs w:val="24"/>
              </w:rPr>
              <w:t>Non mesuré à ce stade</w:t>
            </w:r>
          </w:p>
        </w:tc>
        <w:tc>
          <w:tcPr>
            <w:tcW w:w="800" w:type="pct"/>
            <w:tcMar>
              <w:top w:w="28" w:type="dxa"/>
              <w:left w:w="80" w:type="dxa"/>
              <w:bottom w:w="28" w:type="dxa"/>
              <w:right w:w="80" w:type="dxa"/>
            </w:tcMar>
            <w:vAlign w:val="center"/>
          </w:tcPr>
          <w:p w14:paraId="64DBEED4" w14:textId="77777777" w:rsidR="0042033D" w:rsidRPr="004C3E51" w:rsidRDefault="00000000">
            <w:pPr>
              <w:spacing w:line="232" w:lineRule="auto"/>
              <w:rPr>
                <w:rFonts w:ascii="Arial Narrow" w:hAnsi="Arial Narrow"/>
                <w:sz w:val="24"/>
                <w:szCs w:val="24"/>
              </w:rPr>
            </w:pPr>
            <w:r w:rsidRPr="004C3E51">
              <w:rPr>
                <w:rFonts w:ascii="Arial Narrow" w:hAnsi="Arial Narrow"/>
                <w:i/>
                <w:iCs/>
                <w:sz w:val="24"/>
                <w:szCs w:val="24"/>
              </w:rPr>
              <w:t>15-25</w:t>
            </w:r>
          </w:p>
        </w:tc>
        <w:tc>
          <w:tcPr>
            <w:tcW w:w="1250" w:type="pct"/>
            <w:tcMar>
              <w:top w:w="28" w:type="dxa"/>
              <w:left w:w="80" w:type="dxa"/>
              <w:bottom w:w="28" w:type="dxa"/>
              <w:right w:w="80" w:type="dxa"/>
            </w:tcMar>
            <w:vAlign w:val="center"/>
          </w:tcPr>
          <w:p w14:paraId="6466317A" w14:textId="77777777" w:rsidR="0042033D" w:rsidRPr="004C3E51" w:rsidRDefault="00000000">
            <w:pPr>
              <w:rPr>
                <w:rFonts w:ascii="Arial Narrow" w:hAnsi="Arial Narrow"/>
                <w:sz w:val="24"/>
                <w:szCs w:val="24"/>
              </w:rPr>
            </w:pPr>
            <w:r w:rsidRPr="004C3E51">
              <w:rPr>
                <w:rFonts w:ascii="Arial Narrow" w:hAnsi="Arial Narrow"/>
                <w:sz w:val="24"/>
                <w:szCs w:val="24"/>
              </w:rPr>
              <w:t>méthode multiplicateur 1,5, à valider par enquête terrain T2 2027</w:t>
            </w:r>
          </w:p>
        </w:tc>
      </w:tr>
      <w:tr w:rsidR="0042033D" w:rsidRPr="004C3E51" w14:paraId="0D828B4C" w14:textId="77777777">
        <w:trPr>
          <w:cantSplit/>
        </w:trPr>
        <w:tc>
          <w:tcPr>
            <w:tcW w:w="750" w:type="pct"/>
            <w:tcMar>
              <w:top w:w="28" w:type="dxa"/>
              <w:left w:w="80" w:type="dxa"/>
              <w:bottom w:w="28" w:type="dxa"/>
              <w:right w:w="80" w:type="dxa"/>
            </w:tcMar>
            <w:vAlign w:val="center"/>
          </w:tcPr>
          <w:p w14:paraId="6AD79E0E"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Social</w:t>
            </w:r>
          </w:p>
        </w:tc>
        <w:tc>
          <w:tcPr>
            <w:tcW w:w="1200" w:type="pct"/>
            <w:tcMar>
              <w:top w:w="28" w:type="dxa"/>
              <w:left w:w="80" w:type="dxa"/>
              <w:bottom w:w="28" w:type="dxa"/>
              <w:right w:w="80" w:type="dxa"/>
            </w:tcMar>
            <w:vAlign w:val="center"/>
          </w:tcPr>
          <w:p w14:paraId="6CD76955"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Agriculteurs soutenus</w:t>
            </w:r>
          </w:p>
        </w:tc>
        <w:tc>
          <w:tcPr>
            <w:tcW w:w="1000" w:type="pct"/>
            <w:tcMar>
              <w:top w:w="28" w:type="dxa"/>
              <w:left w:w="80" w:type="dxa"/>
              <w:bottom w:w="28" w:type="dxa"/>
              <w:right w:w="80" w:type="dxa"/>
            </w:tcMar>
            <w:vAlign w:val="center"/>
          </w:tcPr>
          <w:p w14:paraId="1EF0D199"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430 (cumul)</w:t>
            </w:r>
          </w:p>
        </w:tc>
        <w:tc>
          <w:tcPr>
            <w:tcW w:w="800" w:type="pct"/>
            <w:tcMar>
              <w:top w:w="28" w:type="dxa"/>
              <w:left w:w="80" w:type="dxa"/>
              <w:bottom w:w="28" w:type="dxa"/>
              <w:right w:w="80" w:type="dxa"/>
            </w:tcMar>
            <w:vAlign w:val="center"/>
          </w:tcPr>
          <w:p w14:paraId="17A5ADD5"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2 400 cumulés</w:t>
            </w:r>
          </w:p>
        </w:tc>
        <w:tc>
          <w:tcPr>
            <w:tcW w:w="1250" w:type="pct"/>
            <w:tcMar>
              <w:top w:w="28" w:type="dxa"/>
              <w:left w:w="80" w:type="dxa"/>
              <w:bottom w:w="28" w:type="dxa"/>
              <w:right w:w="80" w:type="dxa"/>
            </w:tcMar>
            <w:vAlign w:val="center"/>
          </w:tcPr>
          <w:p w14:paraId="4A0A7049"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Bénéficiaires directs (B2C) ou indirects (FDA-PURPA), sur listes FDA et registres de ventes directes</w:t>
            </w:r>
          </w:p>
        </w:tc>
      </w:tr>
      <w:tr w:rsidR="0042033D" w:rsidRPr="004C3E51" w14:paraId="0B195E24" w14:textId="77777777">
        <w:trPr>
          <w:cantSplit/>
        </w:trPr>
        <w:tc>
          <w:tcPr>
            <w:tcW w:w="750" w:type="pct"/>
            <w:tcMar>
              <w:top w:w="28" w:type="dxa"/>
              <w:left w:w="80" w:type="dxa"/>
              <w:bottom w:w="28" w:type="dxa"/>
              <w:right w:w="80" w:type="dxa"/>
            </w:tcMar>
            <w:vAlign w:val="center"/>
          </w:tcPr>
          <w:p w14:paraId="64268FDD"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lastRenderedPageBreak/>
              <w:t>Économique</w:t>
            </w:r>
          </w:p>
        </w:tc>
        <w:tc>
          <w:tcPr>
            <w:tcW w:w="1200" w:type="pct"/>
            <w:tcMar>
              <w:top w:w="28" w:type="dxa"/>
              <w:left w:w="80" w:type="dxa"/>
              <w:bottom w:w="28" w:type="dxa"/>
              <w:right w:w="80" w:type="dxa"/>
            </w:tcMar>
            <w:vAlign w:val="center"/>
          </w:tcPr>
          <w:p w14:paraId="366A0666"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Chiffre d'affaires</w:t>
            </w:r>
          </w:p>
        </w:tc>
        <w:tc>
          <w:tcPr>
            <w:tcW w:w="1000" w:type="pct"/>
            <w:tcMar>
              <w:top w:w="28" w:type="dxa"/>
              <w:left w:w="80" w:type="dxa"/>
              <w:bottom w:w="28" w:type="dxa"/>
              <w:right w:w="80" w:type="dxa"/>
            </w:tcMar>
            <w:vAlign w:val="center"/>
          </w:tcPr>
          <w:p w14:paraId="1C844D3A"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116 K $ cumulés</w:t>
            </w:r>
          </w:p>
        </w:tc>
        <w:tc>
          <w:tcPr>
            <w:tcW w:w="800" w:type="pct"/>
            <w:tcMar>
              <w:top w:w="28" w:type="dxa"/>
              <w:left w:w="80" w:type="dxa"/>
              <w:bottom w:w="28" w:type="dxa"/>
              <w:right w:w="80" w:type="dxa"/>
            </w:tcMar>
            <w:vAlign w:val="center"/>
          </w:tcPr>
          <w:p w14:paraId="1A935934"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420 K $ par an (scénario central)</w:t>
            </w:r>
          </w:p>
        </w:tc>
        <w:tc>
          <w:tcPr>
            <w:tcW w:w="1250" w:type="pct"/>
            <w:tcMar>
              <w:top w:w="28" w:type="dxa"/>
              <w:left w:w="80" w:type="dxa"/>
              <w:bottom w:w="28" w:type="dxa"/>
              <w:right w:w="80" w:type="dxa"/>
            </w:tcMar>
            <w:vAlign w:val="center"/>
          </w:tcPr>
          <w:p w14:paraId="21D1DD09"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Comptabilité certifiée (auditeur RAKAJY P.)</w:t>
            </w:r>
          </w:p>
        </w:tc>
      </w:tr>
      <w:tr w:rsidR="0042033D" w:rsidRPr="004C3E51" w14:paraId="7046A932" w14:textId="77777777">
        <w:trPr>
          <w:cantSplit/>
        </w:trPr>
        <w:tc>
          <w:tcPr>
            <w:tcW w:w="750" w:type="pct"/>
            <w:tcMar>
              <w:top w:w="28" w:type="dxa"/>
              <w:left w:w="80" w:type="dxa"/>
              <w:bottom w:w="28" w:type="dxa"/>
              <w:right w:w="80" w:type="dxa"/>
            </w:tcMar>
            <w:vAlign w:val="center"/>
          </w:tcPr>
          <w:p w14:paraId="673D4392"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Économique</w:t>
            </w:r>
          </w:p>
        </w:tc>
        <w:tc>
          <w:tcPr>
            <w:tcW w:w="1200" w:type="pct"/>
            <w:tcMar>
              <w:top w:w="28" w:type="dxa"/>
              <w:left w:w="80" w:type="dxa"/>
              <w:bottom w:w="28" w:type="dxa"/>
              <w:right w:w="80" w:type="dxa"/>
            </w:tcMar>
            <w:vAlign w:val="center"/>
          </w:tcPr>
          <w:p w14:paraId="34563698"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Marge brute</w:t>
            </w:r>
          </w:p>
        </w:tc>
        <w:tc>
          <w:tcPr>
            <w:tcW w:w="1000" w:type="pct"/>
            <w:tcMar>
              <w:top w:w="28" w:type="dxa"/>
              <w:left w:w="80" w:type="dxa"/>
              <w:bottom w:w="28" w:type="dxa"/>
              <w:right w:w="80" w:type="dxa"/>
            </w:tcMar>
            <w:vAlign w:val="center"/>
          </w:tcPr>
          <w:p w14:paraId="6A79370A"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48,5 % (historique)</w:t>
            </w:r>
          </w:p>
        </w:tc>
        <w:tc>
          <w:tcPr>
            <w:tcW w:w="800" w:type="pct"/>
            <w:tcMar>
              <w:top w:w="28" w:type="dxa"/>
              <w:left w:w="80" w:type="dxa"/>
              <w:bottom w:w="28" w:type="dxa"/>
              <w:right w:w="80" w:type="dxa"/>
            </w:tcMar>
            <w:vAlign w:val="center"/>
          </w:tcPr>
          <w:p w14:paraId="474161F5"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53 %</w:t>
            </w:r>
          </w:p>
        </w:tc>
        <w:tc>
          <w:tcPr>
            <w:tcW w:w="1250" w:type="pct"/>
            <w:tcMar>
              <w:top w:w="28" w:type="dxa"/>
              <w:left w:w="80" w:type="dxa"/>
              <w:bottom w:w="28" w:type="dxa"/>
              <w:right w:w="80" w:type="dxa"/>
            </w:tcMar>
            <w:vAlign w:val="center"/>
          </w:tcPr>
          <w:p w14:paraId="3257E05A"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Ratio marge brute / CA par exercice</w:t>
            </w:r>
          </w:p>
        </w:tc>
      </w:tr>
      <w:tr w:rsidR="0042033D" w:rsidRPr="004C3E51" w14:paraId="03C99023" w14:textId="77777777">
        <w:trPr>
          <w:cantSplit/>
        </w:trPr>
        <w:tc>
          <w:tcPr>
            <w:tcW w:w="750" w:type="pct"/>
            <w:tcMar>
              <w:top w:w="28" w:type="dxa"/>
              <w:left w:w="80" w:type="dxa"/>
              <w:bottom w:w="28" w:type="dxa"/>
              <w:right w:w="80" w:type="dxa"/>
            </w:tcMar>
            <w:vAlign w:val="center"/>
          </w:tcPr>
          <w:p w14:paraId="61D5CE76"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Agriculture</w:t>
            </w:r>
          </w:p>
        </w:tc>
        <w:tc>
          <w:tcPr>
            <w:tcW w:w="1200" w:type="pct"/>
            <w:tcMar>
              <w:top w:w="28" w:type="dxa"/>
              <w:left w:w="80" w:type="dxa"/>
              <w:bottom w:w="28" w:type="dxa"/>
              <w:right w:w="80" w:type="dxa"/>
            </w:tcMar>
            <w:vAlign w:val="center"/>
          </w:tcPr>
          <w:p w14:paraId="625E62E7"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Comptes B2B actifs</w:t>
            </w:r>
          </w:p>
        </w:tc>
        <w:tc>
          <w:tcPr>
            <w:tcW w:w="1000" w:type="pct"/>
            <w:tcMar>
              <w:top w:w="28" w:type="dxa"/>
              <w:left w:w="80" w:type="dxa"/>
              <w:bottom w:w="28" w:type="dxa"/>
              <w:right w:w="80" w:type="dxa"/>
            </w:tcMar>
            <w:vAlign w:val="center"/>
          </w:tcPr>
          <w:p w14:paraId="5A05102F" w14:textId="77777777" w:rsidR="0042033D" w:rsidRPr="004C3E51" w:rsidRDefault="00000000">
            <w:pPr>
              <w:spacing w:line="232" w:lineRule="auto"/>
              <w:rPr>
                <w:rFonts w:ascii="Arial Narrow" w:hAnsi="Arial Narrow"/>
                <w:sz w:val="24"/>
                <w:szCs w:val="24"/>
              </w:rPr>
            </w:pPr>
            <w:r w:rsidRPr="004C3E51">
              <w:rPr>
                <w:rFonts w:ascii="Arial Narrow" w:hAnsi="Arial Narrow"/>
                <w:b/>
                <w:bCs/>
                <w:sz w:val="24"/>
                <w:szCs w:val="24"/>
              </w:rPr>
              <w:t>5 grands comptes</w:t>
            </w:r>
          </w:p>
        </w:tc>
        <w:tc>
          <w:tcPr>
            <w:tcW w:w="800" w:type="pct"/>
            <w:tcMar>
              <w:top w:w="28" w:type="dxa"/>
              <w:left w:w="80" w:type="dxa"/>
              <w:bottom w:w="28" w:type="dxa"/>
              <w:right w:w="80" w:type="dxa"/>
            </w:tcMar>
            <w:vAlign w:val="center"/>
          </w:tcPr>
          <w:p w14:paraId="0F4AB3DE"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20 comptes</w:t>
            </w:r>
          </w:p>
        </w:tc>
        <w:tc>
          <w:tcPr>
            <w:tcW w:w="1250" w:type="pct"/>
            <w:tcMar>
              <w:top w:w="28" w:type="dxa"/>
              <w:left w:w="80" w:type="dxa"/>
              <w:bottom w:w="28" w:type="dxa"/>
              <w:right w:w="80" w:type="dxa"/>
            </w:tcMar>
            <w:vAlign w:val="center"/>
          </w:tcPr>
          <w:p w14:paraId="3FE3087E"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Pipeline commercial qualifié</w:t>
            </w:r>
          </w:p>
        </w:tc>
      </w:tr>
    </w:tbl>
    <w:p w14:paraId="66AB3154" w14:textId="77777777" w:rsidR="0042033D" w:rsidRDefault="00000000">
      <w:pPr>
        <w:pStyle w:val="Heading2"/>
        <w:spacing w:before="150" w:after="60"/>
        <w:rPr>
          <w:rFonts w:ascii="Times New Roman" w:hAnsi="Times New Roman"/>
        </w:rPr>
      </w:pPr>
      <w:bookmarkStart w:id="70" w:name="_Toc100070"/>
      <w:r>
        <w:rPr>
          <w:rFonts w:ascii="Times New Roman" w:hAnsi="Times New Roman"/>
        </w:rPr>
        <w:t>17.1 Dimension environnementale : une méthodologie CO2e unique et assumée</w:t>
      </w:r>
      <w:bookmarkEnd w:id="70"/>
    </w:p>
    <w:p w14:paraId="50906092" w14:textId="1B7B6072" w:rsidR="0042033D" w:rsidRPr="004C3E51" w:rsidRDefault="008E425A">
      <w:pPr>
        <w:spacing w:after="60"/>
        <w:jc w:val="both"/>
        <w:rPr>
          <w:sz w:val="32"/>
          <w:szCs w:val="32"/>
        </w:rPr>
      </w:pPr>
      <w:r>
        <w:rPr>
          <w:noProof/>
        </w:rPr>
        <w:drawing>
          <wp:anchor distT="0" distB="0" distL="114300" distR="114300" simplePos="0" relativeHeight="251673600" behindDoc="0" locked="0" layoutInCell="1" allowOverlap="1" wp14:anchorId="0DCC79C9" wp14:editId="682CAE0A">
            <wp:simplePos x="0" y="0"/>
            <wp:positionH relativeFrom="column">
              <wp:posOffset>259080</wp:posOffset>
            </wp:positionH>
            <wp:positionV relativeFrom="paragraph">
              <wp:posOffset>3649345</wp:posOffset>
            </wp:positionV>
            <wp:extent cx="5303520" cy="3571201"/>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03520" cy="3571201"/>
                    </a:xfrm>
                    <a:prstGeom prst="rect">
                      <a:avLst/>
                    </a:prstGeom>
                  </pic:spPr>
                </pic:pic>
              </a:graphicData>
            </a:graphic>
            <wp14:sizeRelH relativeFrom="margin">
              <wp14:pctWidth>0</wp14:pctWidth>
            </wp14:sizeRelH>
            <wp14:sizeRelV relativeFrom="margin">
              <wp14:pctHeight>0</wp14:pctHeight>
            </wp14:sizeRelV>
          </wp:anchor>
        </w:drawing>
      </w:r>
      <w:r w:rsidR="00000000" w:rsidRPr="004C3E51">
        <w:rPr>
          <w:sz w:val="24"/>
          <w:szCs w:val="24"/>
        </w:rPr>
        <w:t>Depuis juillet 2023, Bio Source Farm a valorisé environ 1 000 tonnes de déchets organiques qui auraient sinon été enfouis, brûlés ou abandonnés. La quantification des émissions évitées retient une seule méthodologie, appliquée de manière cohérente sur l'ensemble du document : le facteur d'émission de l'EPA ajusté au contexte malgache, calibré sur un scénario alternatif d'enfouissement à ciel ouvert sans capture de biogaz — la réalité des décharges malgaches —, soit 0,5 tonne de CO2e évitée par tonne de déchet détourné. Ce proxy est appliqué uniformément par prudence méthodologique. Une décomposition par flux de substrat (fientes : facteur plus élevé ; déchets verts : facteur plus faible) sera réalisée dans le cadre du reporting ESG annuel à partir de 2027. Le projet représente ainsi environ 500 tonnes de CO2e évitées (méthodologie EPA ajustée, hypothèse de scénario alternatif : enfouissement à ciel ouvert sans capture) ; ce chiffre unique est publié dans l'ensemble du document, une éventuelle fourchette basse n'étant conservée que comme note méthodologique interne. La décomposition par périmètre suit les scopes du Protocole GES : scope 1 négligeable (procédé aérobie sans chaleur externe), scope 2 limité et décroissant avec la part solaire des séchoirs, scope 3 couvrant les transports amont et aval via les fiches logistiques. À l'horizon 2030, l'objectif de valorisation d'environ 2 240 tonnes par an correspond à environ 975 tonnes de CO2e évitées par an selon la même méthodologie.</w:t>
      </w:r>
    </w:p>
    <w:p w14:paraId="052763CC" w14:textId="34F7A157" w:rsidR="008E425A" w:rsidRDefault="008E425A" w:rsidP="008E425A">
      <w:pPr>
        <w:spacing w:after="140" w:line="240" w:lineRule="auto"/>
        <w:jc w:val="center"/>
      </w:pPr>
      <w:r>
        <w:rPr>
          <w:i/>
          <w:iCs/>
          <w:color w:val="5A6472"/>
          <w:sz w:val="16"/>
          <w:szCs w:val="16"/>
        </w:rPr>
        <w:lastRenderedPageBreak/>
        <w:t>Figure 8 — Tableau de bord ESG : déchets valorisés, CO2e évitées (méthodologie EPA ajustée), agriculteurs soutenus et emplois directs (réalisé 2025 et trajectoire 2030)</w:t>
      </w:r>
    </w:p>
    <w:p w14:paraId="7D09C5AD" w14:textId="76AA0AB1" w:rsidR="0042033D" w:rsidRPr="001166A1" w:rsidRDefault="0042033D" w:rsidP="001166A1">
      <w:pPr>
        <w:spacing w:after="140" w:line="240" w:lineRule="auto"/>
        <w:rPr>
          <w:sz w:val="24"/>
          <w:szCs w:val="24"/>
          <w:lang w:val="fr-FR"/>
        </w:rPr>
      </w:pPr>
    </w:p>
    <w:p w14:paraId="7AF16A6A" w14:textId="77777777" w:rsidR="0042033D" w:rsidRDefault="00000000">
      <w:pPr>
        <w:pStyle w:val="Heading2"/>
        <w:spacing w:before="150" w:after="60"/>
        <w:rPr>
          <w:rFonts w:ascii="Times New Roman" w:hAnsi="Times New Roman"/>
        </w:rPr>
      </w:pPr>
      <w:bookmarkStart w:id="71" w:name="_Toc100071"/>
      <w:r>
        <w:rPr>
          <w:rFonts w:ascii="Times New Roman" w:hAnsi="Times New Roman"/>
        </w:rPr>
        <w:t>17.2 Dimension sociale : emplois et inclusion rurale</w:t>
      </w:r>
      <w:bookmarkEnd w:id="71"/>
    </w:p>
    <w:p w14:paraId="1A8C6C5B" w14:textId="77777777" w:rsidR="0042033D" w:rsidRDefault="00000000">
      <w:pPr>
        <w:spacing w:after="60"/>
        <w:jc w:val="both"/>
        <w:rPr>
          <w:sz w:val="24"/>
          <w:szCs w:val="24"/>
        </w:rPr>
      </w:pPr>
      <w:r>
        <w:rPr>
          <w:sz w:val="24"/>
          <w:szCs w:val="24"/>
        </w:rPr>
        <w:t>L'impact social est mesurable à travers la création d'emplois directs qualifiés — seize ETP salariés déclarés au CNAPS depuis 2024, cible de 52 ETP en 2030</w:t>
      </w:r>
      <w:r>
        <w:rPr>
          <w:sz w:val="24"/>
          <w:szCs w:val="24"/>
          <w:lang w:val="fr-FR"/>
        </w:rPr>
        <w:t>.</w:t>
      </w:r>
      <w:r>
        <w:rPr>
          <w:sz w:val="24"/>
          <w:szCs w:val="24"/>
        </w:rPr>
        <w:t xml:space="preserve"> L'entreprise estime générer entre 15 et 25 emplois induits (collecte, transport, distribution), un chiffre qui sera consolidé par une enquête de filière au T2 2027. L'entreprise soutient par ailleurs </w:t>
      </w:r>
      <w:r>
        <w:rPr>
          <w:b/>
          <w:bCs/>
          <w:sz w:val="24"/>
          <w:szCs w:val="24"/>
        </w:rPr>
        <w:t>430 agriculteurs identifiés comme bénéficiaires directs (acheteurs B2C) ou indirects (via programmes FDA-PURPA), sur la base des listes de distribution fournies par la FDA et des registres de ventes directes</w:t>
      </w:r>
      <w:r>
        <w:rPr>
          <w:sz w:val="24"/>
          <w:szCs w:val="24"/>
        </w:rPr>
        <w:t xml:space="preserve"> — cible de 2 400 agriculteurs cumulés en 2030 —, qui bénéficient d'un engrais organique abordable et adapté aux contraintes tropicales ainsi que d'un accompagnement technique. La stratégie d'inclusion rurale vise à structurer le réseau de revendeurs locaux comme vecteur d'autonomisation économique des communautés agricoles.</w:t>
      </w:r>
    </w:p>
    <w:p w14:paraId="18259EAD" w14:textId="77777777" w:rsidR="0042033D" w:rsidRDefault="00000000">
      <w:pPr>
        <w:pStyle w:val="Heading2"/>
        <w:spacing w:before="150" w:after="60"/>
        <w:rPr>
          <w:rFonts w:ascii="Times New Roman" w:hAnsi="Times New Roman"/>
        </w:rPr>
      </w:pPr>
      <w:bookmarkStart w:id="72" w:name="_Toc100072"/>
      <w:r>
        <w:rPr>
          <w:rFonts w:ascii="Times New Roman" w:hAnsi="Times New Roman"/>
        </w:rPr>
        <w:t>17.3 Dimension économique : souveraineté et résilience agricole</w:t>
      </w:r>
      <w:bookmarkEnd w:id="72"/>
    </w:p>
    <w:p w14:paraId="76450E7D" w14:textId="77777777" w:rsidR="0042033D" w:rsidRDefault="00000000">
      <w:pPr>
        <w:spacing w:after="60"/>
        <w:jc w:val="both"/>
        <w:rPr>
          <w:sz w:val="24"/>
          <w:szCs w:val="24"/>
        </w:rPr>
      </w:pPr>
      <w:r>
        <w:rPr>
          <w:sz w:val="24"/>
          <w:szCs w:val="24"/>
        </w:rPr>
        <w:t>L'impact économique s'exerce sur trois leviers structurels. Premièrement, la substitution aux engrais chimiques importés réduit la dépendance extérieure : chaque tonne de frass vendue substitue environ 0,5 tonne d'engrais chimique importé, soit une économie de devises de l'ordre de 200 à 300 $ par tonne. Deuxièmement, la régénération des sols améliore la productivité à long terme et la résilience des exploitations face aux chocs climatiques. Troisièmement, la création d'une filière protéique locale alternative à la farine de poisson contribue à la souveraineté protéique nationale et réduit l'exposition aux prix mondiaux volatils.</w:t>
      </w:r>
    </w:p>
    <w:p w14:paraId="5249C1BA" w14:textId="77777777" w:rsidR="0042033D" w:rsidRDefault="00000000">
      <w:pPr>
        <w:pStyle w:val="Heading2"/>
        <w:spacing w:before="150" w:after="60"/>
        <w:rPr>
          <w:rFonts w:ascii="Times New Roman" w:hAnsi="Times New Roman"/>
        </w:rPr>
      </w:pPr>
      <w:bookmarkStart w:id="73" w:name="_Toc100073"/>
      <w:r>
        <w:rPr>
          <w:rFonts w:ascii="Times New Roman" w:hAnsi="Times New Roman"/>
        </w:rPr>
        <w:t>17.4 Dimension gouvernance : transparence et certifications</w:t>
      </w:r>
      <w:bookmarkEnd w:id="73"/>
    </w:p>
    <w:p w14:paraId="7299E132" w14:textId="77777777" w:rsidR="0042033D" w:rsidRDefault="00000000">
      <w:pPr>
        <w:spacing w:after="60"/>
        <w:jc w:val="both"/>
        <w:rPr>
          <w:sz w:val="24"/>
          <w:szCs w:val="24"/>
        </w:rPr>
      </w:pPr>
      <w:r>
        <w:rPr>
          <w:sz w:val="24"/>
          <w:szCs w:val="24"/>
        </w:rPr>
        <w:t>La gouvernance repose sur trois piliers : des comptes certifiés par un commissaire aux comptes indépendant (RAKAJY Paul Philibert, Antananarivo) pour chacun des deux exercices clos, une structure juridique formelle de droit malgache (Entreprise Individuelle en cours de conversion en SARL, avec NIF et numéro statistique) et un système de documentation opérationnelle standardisé (SOP version 1.0, protégé par droit d'auteur, dépôt OMAPI prévu au T1 2027). À l'horizon 2027-2028, l'objectif est d'obtenir la certification ISO 22000 pour les produits destinés à l'export et la labellisation biologique pour le frass et les larves séchées, selon le calendrier détaillé au Tableau 24 bis. Ces certifications constitueront un gage de transparence pour les financeurs et un levier de différenciation commerciale.</w:t>
      </w:r>
    </w:p>
    <w:p w14:paraId="730EB3E9" w14:textId="1618DD8B" w:rsidR="005C594B" w:rsidRDefault="00000000" w:rsidP="005C594B">
      <w:pPr>
        <w:pBdr>
          <w:left w:val="single" w:sz="10" w:space="12" w:color="D4875A"/>
        </w:pBdr>
        <w:spacing w:before="80" w:after="140" w:line="300" w:lineRule="auto"/>
        <w:ind w:left="360" w:right="240"/>
        <w:jc w:val="both"/>
        <w:rPr>
          <w:i/>
          <w:iCs/>
          <w:color w:val="3A4450"/>
          <w:sz w:val="24"/>
          <w:szCs w:val="24"/>
          <w:lang w:val="fr-FR"/>
        </w:rPr>
      </w:pPr>
      <w:r>
        <w:rPr>
          <w:i/>
          <w:iCs/>
          <w:color w:val="3A4450"/>
          <w:sz w:val="24"/>
          <w:szCs w:val="24"/>
        </w:rPr>
        <w:t>Le principe ESG de Bio Source Farm est la prudence méthodologique : chaque indicateur d'impact présenté comme mesuré l'est effectivement (comptabilité certifiée, fiches de production, base de données clients) ; chaque projection d'impact est explicitement identifiée comme objectif ou cible à horizon temporel précis.</w:t>
      </w:r>
      <w:bookmarkStart w:id="74" w:name="_Toc238821297"/>
    </w:p>
    <w:p w14:paraId="0B548CE3" w14:textId="77777777" w:rsidR="005C594B" w:rsidRDefault="005C594B" w:rsidP="005C594B">
      <w:pPr>
        <w:rPr>
          <w:lang w:val="fr-FR"/>
        </w:rPr>
      </w:pPr>
    </w:p>
    <w:p w14:paraId="1485ED33" w14:textId="77777777" w:rsidR="005C594B" w:rsidRDefault="005C594B" w:rsidP="005C594B">
      <w:pPr>
        <w:rPr>
          <w:lang w:val="fr-FR"/>
        </w:rPr>
      </w:pPr>
    </w:p>
    <w:p w14:paraId="46D7A294" w14:textId="77777777" w:rsidR="005C594B" w:rsidRDefault="005C594B" w:rsidP="005C594B">
      <w:pPr>
        <w:rPr>
          <w:lang w:val="fr-FR"/>
        </w:rPr>
      </w:pPr>
    </w:p>
    <w:p w14:paraId="70DBFAB8" w14:textId="6630A3F4" w:rsidR="0042033D" w:rsidRPr="005C594B" w:rsidRDefault="00000000">
      <w:pPr>
        <w:pStyle w:val="Heading1"/>
        <w:pBdr>
          <w:bottom w:val="single" w:sz="6" w:space="4" w:color="D4875A"/>
        </w:pBdr>
        <w:spacing w:before="200" w:after="90"/>
        <w:rPr>
          <w:rFonts w:ascii="League Spartan" w:hAnsi="League Spartan"/>
          <w:sz w:val="40"/>
          <w:szCs w:val="40"/>
        </w:rPr>
      </w:pPr>
      <w:r w:rsidRPr="005C594B">
        <w:rPr>
          <w:rFonts w:ascii="League Spartan" w:hAnsi="League Spartan"/>
          <w:sz w:val="40"/>
          <w:szCs w:val="40"/>
        </w:rPr>
        <w:lastRenderedPageBreak/>
        <w:t>18. Risques et mesures d'atténuation</w:t>
      </w:r>
      <w:bookmarkEnd w:id="74"/>
    </w:p>
    <w:p w14:paraId="422E5097" w14:textId="77777777" w:rsidR="0042033D" w:rsidRDefault="00000000">
      <w:pPr>
        <w:spacing w:after="60"/>
        <w:jc w:val="both"/>
        <w:rPr>
          <w:sz w:val="24"/>
          <w:szCs w:val="24"/>
        </w:rPr>
      </w:pPr>
      <w:r>
        <w:rPr>
          <w:sz w:val="24"/>
          <w:szCs w:val="24"/>
        </w:rPr>
        <w:t>L'identification transparente des risques et la définition de mesures d'atténuation opérationnelles constituent un outil de pilotage pour la direction et une donnée d'instruction pour les financeurs. Neuf catégories de risques sont cartographiées — opérationnelles, commerciales, financières, d'approvisionnement, réglementaires, concurrentielles, climatiques et d'assurance —, chacune évaluée en probabilité et en impact et assortie de mesures concrètes.</w:t>
      </w:r>
    </w:p>
    <w:p w14:paraId="05D6927E" w14:textId="77777777" w:rsidR="0042033D" w:rsidRDefault="00000000">
      <w:pPr>
        <w:keepNext/>
        <w:spacing w:before="140" w:after="50" w:line="260" w:lineRule="auto"/>
        <w:rPr>
          <w:sz w:val="24"/>
          <w:szCs w:val="24"/>
        </w:rPr>
      </w:pPr>
      <w:r>
        <w:rPr>
          <w:rFonts w:eastAsia="Arial"/>
          <w:b/>
          <w:bCs/>
          <w:color w:val="1A2330"/>
          <w:sz w:val="24"/>
          <w:szCs w:val="24"/>
        </w:rPr>
        <w:t>Tableau 12 — Matrice des risques et mesures d'atténuation</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1531"/>
        <w:gridCol w:w="2430"/>
        <w:gridCol w:w="1531"/>
        <w:gridCol w:w="3664"/>
      </w:tblGrid>
      <w:tr w:rsidR="0042033D" w14:paraId="335C4211" w14:textId="77777777" w:rsidTr="001166A1">
        <w:trPr>
          <w:cantSplit/>
          <w:tblHeader/>
        </w:trPr>
        <w:tc>
          <w:tcPr>
            <w:tcW w:w="836" w:type="pct"/>
            <w:shd w:val="clear" w:color="auto" w:fill="D4875A"/>
            <w:tcMar>
              <w:top w:w="36" w:type="dxa"/>
              <w:left w:w="80" w:type="dxa"/>
              <w:bottom w:w="36" w:type="dxa"/>
              <w:right w:w="80" w:type="dxa"/>
            </w:tcMar>
            <w:vAlign w:val="center"/>
          </w:tcPr>
          <w:p w14:paraId="13BE92E4" w14:textId="77777777" w:rsidR="0042033D" w:rsidRDefault="00000000">
            <w:pPr>
              <w:spacing w:line="232" w:lineRule="auto"/>
              <w:jc w:val="center"/>
              <w:rPr>
                <w:sz w:val="24"/>
                <w:szCs w:val="24"/>
              </w:rPr>
            </w:pPr>
            <w:r>
              <w:rPr>
                <w:b/>
                <w:bCs/>
                <w:color w:val="FFFFFF"/>
                <w:sz w:val="24"/>
                <w:szCs w:val="24"/>
              </w:rPr>
              <w:t>Catégorie</w:t>
            </w:r>
          </w:p>
        </w:tc>
        <w:tc>
          <w:tcPr>
            <w:tcW w:w="1327" w:type="pct"/>
            <w:shd w:val="clear" w:color="auto" w:fill="D4875A"/>
            <w:tcMar>
              <w:top w:w="36" w:type="dxa"/>
              <w:left w:w="80" w:type="dxa"/>
              <w:bottom w:w="36" w:type="dxa"/>
              <w:right w:w="80" w:type="dxa"/>
            </w:tcMar>
            <w:vAlign w:val="center"/>
          </w:tcPr>
          <w:p w14:paraId="1115E144" w14:textId="77777777" w:rsidR="0042033D" w:rsidRDefault="00000000">
            <w:pPr>
              <w:spacing w:line="232" w:lineRule="auto"/>
              <w:jc w:val="center"/>
              <w:rPr>
                <w:sz w:val="24"/>
                <w:szCs w:val="24"/>
              </w:rPr>
            </w:pPr>
            <w:r>
              <w:rPr>
                <w:b/>
                <w:bCs/>
                <w:color w:val="FFFFFF"/>
                <w:sz w:val="24"/>
                <w:szCs w:val="24"/>
              </w:rPr>
              <w:t>Risque</w:t>
            </w:r>
          </w:p>
        </w:tc>
        <w:tc>
          <w:tcPr>
            <w:tcW w:w="836" w:type="pct"/>
            <w:shd w:val="clear" w:color="auto" w:fill="D4875A"/>
            <w:tcMar>
              <w:top w:w="36" w:type="dxa"/>
              <w:left w:w="80" w:type="dxa"/>
              <w:bottom w:w="36" w:type="dxa"/>
              <w:right w:w="80" w:type="dxa"/>
            </w:tcMar>
            <w:vAlign w:val="center"/>
          </w:tcPr>
          <w:p w14:paraId="0F6F962B" w14:textId="77777777" w:rsidR="0042033D" w:rsidRDefault="00000000">
            <w:pPr>
              <w:spacing w:line="232" w:lineRule="auto"/>
              <w:jc w:val="center"/>
              <w:rPr>
                <w:sz w:val="24"/>
                <w:szCs w:val="24"/>
              </w:rPr>
            </w:pPr>
            <w:r>
              <w:rPr>
                <w:b/>
                <w:bCs/>
                <w:color w:val="FFFFFF"/>
                <w:sz w:val="24"/>
                <w:szCs w:val="24"/>
              </w:rPr>
              <w:t>Probabilité / Impact</w:t>
            </w:r>
          </w:p>
        </w:tc>
        <w:tc>
          <w:tcPr>
            <w:tcW w:w="2002" w:type="pct"/>
            <w:shd w:val="clear" w:color="auto" w:fill="D4875A"/>
            <w:tcMar>
              <w:top w:w="36" w:type="dxa"/>
              <w:left w:w="80" w:type="dxa"/>
              <w:bottom w:w="36" w:type="dxa"/>
              <w:right w:w="80" w:type="dxa"/>
            </w:tcMar>
            <w:vAlign w:val="center"/>
          </w:tcPr>
          <w:p w14:paraId="46E0A665" w14:textId="77777777" w:rsidR="0042033D" w:rsidRDefault="00000000">
            <w:pPr>
              <w:spacing w:line="232" w:lineRule="auto"/>
              <w:jc w:val="center"/>
              <w:rPr>
                <w:sz w:val="24"/>
                <w:szCs w:val="24"/>
              </w:rPr>
            </w:pPr>
            <w:r>
              <w:rPr>
                <w:b/>
                <w:bCs/>
                <w:color w:val="FFFFFF"/>
                <w:sz w:val="24"/>
                <w:szCs w:val="24"/>
              </w:rPr>
              <w:t>Mesure d'atténuation</w:t>
            </w:r>
          </w:p>
        </w:tc>
      </w:tr>
      <w:tr w:rsidR="0042033D" w14:paraId="6BD54C7B" w14:textId="77777777" w:rsidTr="001166A1">
        <w:trPr>
          <w:cantSplit/>
        </w:trPr>
        <w:tc>
          <w:tcPr>
            <w:tcW w:w="836" w:type="pct"/>
            <w:tcMar>
              <w:top w:w="28" w:type="dxa"/>
              <w:left w:w="80" w:type="dxa"/>
              <w:bottom w:w="28" w:type="dxa"/>
              <w:right w:w="80" w:type="dxa"/>
            </w:tcMar>
            <w:vAlign w:val="center"/>
          </w:tcPr>
          <w:p w14:paraId="755F43B0" w14:textId="77777777" w:rsidR="0042033D" w:rsidRDefault="00000000">
            <w:pPr>
              <w:spacing w:line="232" w:lineRule="auto"/>
              <w:rPr>
                <w:sz w:val="24"/>
                <w:szCs w:val="24"/>
              </w:rPr>
            </w:pPr>
            <w:r>
              <w:rPr>
                <w:b/>
                <w:bCs/>
                <w:sz w:val="24"/>
                <w:szCs w:val="24"/>
              </w:rPr>
              <w:t>Opérationnel</w:t>
            </w:r>
          </w:p>
        </w:tc>
        <w:tc>
          <w:tcPr>
            <w:tcW w:w="1327" w:type="pct"/>
            <w:tcMar>
              <w:top w:w="28" w:type="dxa"/>
              <w:left w:w="80" w:type="dxa"/>
              <w:bottom w:w="28" w:type="dxa"/>
              <w:right w:w="80" w:type="dxa"/>
            </w:tcMar>
            <w:vAlign w:val="center"/>
          </w:tcPr>
          <w:p w14:paraId="62B4BC02" w14:textId="77777777" w:rsidR="0042033D" w:rsidRDefault="00000000">
            <w:pPr>
              <w:spacing w:line="232" w:lineRule="auto"/>
              <w:rPr>
                <w:sz w:val="24"/>
                <w:szCs w:val="24"/>
              </w:rPr>
            </w:pPr>
            <w:r>
              <w:rPr>
                <w:b/>
                <w:bCs/>
                <w:sz w:val="24"/>
                <w:szCs w:val="24"/>
              </w:rPr>
              <w:t>Variabilité des rendements biologiques (larves, frass) liée au climat et aux substrats</w:t>
            </w:r>
          </w:p>
        </w:tc>
        <w:tc>
          <w:tcPr>
            <w:tcW w:w="836" w:type="pct"/>
            <w:tcMar>
              <w:top w:w="28" w:type="dxa"/>
              <w:left w:w="80" w:type="dxa"/>
              <w:bottom w:w="28" w:type="dxa"/>
              <w:right w:w="80" w:type="dxa"/>
            </w:tcMar>
            <w:vAlign w:val="center"/>
          </w:tcPr>
          <w:p w14:paraId="4A9D8958" w14:textId="77777777" w:rsidR="0042033D" w:rsidRDefault="00000000">
            <w:pPr>
              <w:spacing w:line="232" w:lineRule="auto"/>
              <w:rPr>
                <w:sz w:val="24"/>
                <w:szCs w:val="24"/>
              </w:rPr>
            </w:pPr>
            <w:r>
              <w:rPr>
                <w:b/>
                <w:bCs/>
                <w:sz w:val="24"/>
                <w:szCs w:val="24"/>
              </w:rPr>
              <w:t>Moyenne / Élevé</w:t>
            </w:r>
          </w:p>
        </w:tc>
        <w:tc>
          <w:tcPr>
            <w:tcW w:w="2002" w:type="pct"/>
            <w:tcMar>
              <w:top w:w="28" w:type="dxa"/>
              <w:left w:w="80" w:type="dxa"/>
              <w:bottom w:w="28" w:type="dxa"/>
              <w:right w:w="80" w:type="dxa"/>
            </w:tcMar>
            <w:vAlign w:val="center"/>
          </w:tcPr>
          <w:p w14:paraId="18AACF09" w14:textId="77777777" w:rsidR="0042033D" w:rsidRDefault="00000000">
            <w:pPr>
              <w:spacing w:line="232" w:lineRule="auto"/>
              <w:rPr>
                <w:sz w:val="24"/>
                <w:szCs w:val="24"/>
              </w:rPr>
            </w:pPr>
            <w:r>
              <w:rPr>
                <w:sz w:val="24"/>
                <w:szCs w:val="24"/>
              </w:rPr>
              <w:t>Standardisation des SOP, diversification des substrats, instrumentation du suivi, formation des opérateurs</w:t>
            </w:r>
          </w:p>
        </w:tc>
      </w:tr>
      <w:tr w:rsidR="0042033D" w14:paraId="219BF4B0" w14:textId="77777777" w:rsidTr="001166A1">
        <w:trPr>
          <w:cantSplit/>
        </w:trPr>
        <w:tc>
          <w:tcPr>
            <w:tcW w:w="836" w:type="pct"/>
            <w:tcMar>
              <w:top w:w="28" w:type="dxa"/>
              <w:left w:w="80" w:type="dxa"/>
              <w:bottom w:w="28" w:type="dxa"/>
              <w:right w:w="80" w:type="dxa"/>
            </w:tcMar>
            <w:vAlign w:val="center"/>
          </w:tcPr>
          <w:p w14:paraId="70E3FE12" w14:textId="77777777" w:rsidR="0042033D" w:rsidRDefault="00000000">
            <w:pPr>
              <w:spacing w:line="232" w:lineRule="auto"/>
              <w:rPr>
                <w:sz w:val="24"/>
                <w:szCs w:val="24"/>
              </w:rPr>
            </w:pPr>
            <w:r>
              <w:rPr>
                <w:b/>
                <w:bCs/>
                <w:sz w:val="24"/>
                <w:szCs w:val="24"/>
              </w:rPr>
              <w:t>Commercial</w:t>
            </w:r>
          </w:p>
        </w:tc>
        <w:tc>
          <w:tcPr>
            <w:tcW w:w="1327" w:type="pct"/>
            <w:tcMar>
              <w:top w:w="28" w:type="dxa"/>
              <w:left w:w="80" w:type="dxa"/>
              <w:bottom w:w="28" w:type="dxa"/>
              <w:right w:w="80" w:type="dxa"/>
            </w:tcMar>
            <w:vAlign w:val="center"/>
          </w:tcPr>
          <w:p w14:paraId="7596EE40" w14:textId="77777777" w:rsidR="0042033D" w:rsidRDefault="00000000">
            <w:pPr>
              <w:spacing w:line="232" w:lineRule="auto"/>
              <w:rPr>
                <w:sz w:val="24"/>
                <w:szCs w:val="24"/>
              </w:rPr>
            </w:pPr>
            <w:r>
              <w:rPr>
                <w:b/>
                <w:bCs/>
                <w:sz w:val="24"/>
                <w:szCs w:val="24"/>
              </w:rPr>
              <w:t>Dépendance à un canal dominant (FDA : 87 % du CA actuel)</w:t>
            </w:r>
          </w:p>
        </w:tc>
        <w:tc>
          <w:tcPr>
            <w:tcW w:w="836" w:type="pct"/>
            <w:tcMar>
              <w:top w:w="28" w:type="dxa"/>
              <w:left w:w="80" w:type="dxa"/>
              <w:bottom w:w="28" w:type="dxa"/>
              <w:right w:w="80" w:type="dxa"/>
            </w:tcMar>
            <w:vAlign w:val="center"/>
          </w:tcPr>
          <w:p w14:paraId="3A3EF4E0" w14:textId="77777777" w:rsidR="0042033D" w:rsidRDefault="00000000">
            <w:pPr>
              <w:spacing w:line="232" w:lineRule="auto"/>
              <w:rPr>
                <w:sz w:val="24"/>
                <w:szCs w:val="24"/>
              </w:rPr>
            </w:pPr>
            <w:r>
              <w:rPr>
                <w:b/>
                <w:bCs/>
                <w:sz w:val="24"/>
                <w:szCs w:val="24"/>
              </w:rPr>
              <w:t>Élevée / Élevé</w:t>
            </w:r>
          </w:p>
        </w:tc>
        <w:tc>
          <w:tcPr>
            <w:tcW w:w="2002" w:type="pct"/>
            <w:tcMar>
              <w:top w:w="28" w:type="dxa"/>
              <w:left w:w="80" w:type="dxa"/>
              <w:bottom w:w="28" w:type="dxa"/>
              <w:right w:w="80" w:type="dxa"/>
            </w:tcMar>
            <w:vAlign w:val="center"/>
          </w:tcPr>
          <w:p w14:paraId="1C45174F" w14:textId="77777777" w:rsidR="0042033D" w:rsidRDefault="00000000">
            <w:pPr>
              <w:rPr>
                <w:sz w:val="24"/>
                <w:szCs w:val="24"/>
              </w:rPr>
            </w:pPr>
            <w:r>
              <w:rPr>
                <w:sz w:val="24"/>
                <w:szCs w:val="24"/>
              </w:rPr>
              <w:t>Diversification contractualisée : ≥2 LOI B2B avant T2 ; scénario arrêt FDA ; objectif hors FDA ≥40 % en 2027 ; suivi mensuel des créances.</w:t>
            </w:r>
          </w:p>
        </w:tc>
      </w:tr>
      <w:tr w:rsidR="0042033D" w14:paraId="33424573" w14:textId="77777777" w:rsidTr="001166A1">
        <w:trPr>
          <w:cantSplit/>
        </w:trPr>
        <w:tc>
          <w:tcPr>
            <w:tcW w:w="836" w:type="pct"/>
            <w:tcMar>
              <w:top w:w="28" w:type="dxa"/>
              <w:left w:w="80" w:type="dxa"/>
              <w:bottom w:w="28" w:type="dxa"/>
              <w:right w:w="80" w:type="dxa"/>
            </w:tcMar>
            <w:vAlign w:val="center"/>
          </w:tcPr>
          <w:p w14:paraId="7706C63F" w14:textId="77777777" w:rsidR="0042033D" w:rsidRDefault="00000000">
            <w:pPr>
              <w:spacing w:line="232" w:lineRule="auto"/>
              <w:rPr>
                <w:sz w:val="24"/>
                <w:szCs w:val="24"/>
              </w:rPr>
            </w:pPr>
            <w:r>
              <w:rPr>
                <w:b/>
                <w:bCs/>
                <w:sz w:val="24"/>
                <w:szCs w:val="24"/>
              </w:rPr>
              <w:t>Financier</w:t>
            </w:r>
          </w:p>
        </w:tc>
        <w:tc>
          <w:tcPr>
            <w:tcW w:w="1327" w:type="pct"/>
            <w:tcMar>
              <w:top w:w="28" w:type="dxa"/>
              <w:left w:w="80" w:type="dxa"/>
              <w:bottom w:w="28" w:type="dxa"/>
              <w:right w:w="80" w:type="dxa"/>
            </w:tcMar>
            <w:vAlign w:val="center"/>
          </w:tcPr>
          <w:p w14:paraId="59F05592" w14:textId="77777777" w:rsidR="0042033D" w:rsidRDefault="00000000">
            <w:pPr>
              <w:spacing w:line="232" w:lineRule="auto"/>
              <w:rPr>
                <w:sz w:val="24"/>
                <w:szCs w:val="24"/>
              </w:rPr>
            </w:pPr>
            <w:r>
              <w:rPr>
                <w:b/>
                <w:bCs/>
                <w:sz w:val="24"/>
                <w:szCs w:val="24"/>
              </w:rPr>
              <w:t>Délais de paiement longs (FDA : 90 jours, retard possible à 120 jours et au-delà)</w:t>
            </w:r>
          </w:p>
        </w:tc>
        <w:tc>
          <w:tcPr>
            <w:tcW w:w="836" w:type="pct"/>
            <w:tcMar>
              <w:top w:w="28" w:type="dxa"/>
              <w:left w:w="80" w:type="dxa"/>
              <w:bottom w:w="28" w:type="dxa"/>
              <w:right w:w="80" w:type="dxa"/>
            </w:tcMar>
            <w:vAlign w:val="center"/>
          </w:tcPr>
          <w:p w14:paraId="740FB773" w14:textId="77777777" w:rsidR="0042033D" w:rsidRDefault="00000000">
            <w:pPr>
              <w:spacing w:line="232" w:lineRule="auto"/>
              <w:rPr>
                <w:sz w:val="24"/>
                <w:szCs w:val="24"/>
              </w:rPr>
            </w:pPr>
            <w:r>
              <w:rPr>
                <w:b/>
                <w:bCs/>
                <w:sz w:val="24"/>
                <w:szCs w:val="24"/>
              </w:rPr>
              <w:t>Élevée / Élevé</w:t>
            </w:r>
          </w:p>
        </w:tc>
        <w:tc>
          <w:tcPr>
            <w:tcW w:w="2002" w:type="pct"/>
            <w:tcMar>
              <w:top w:w="28" w:type="dxa"/>
              <w:left w:w="80" w:type="dxa"/>
              <w:bottom w:w="28" w:type="dxa"/>
              <w:right w:w="80" w:type="dxa"/>
            </w:tcMar>
            <w:vAlign w:val="center"/>
          </w:tcPr>
          <w:p w14:paraId="19FDA8D2" w14:textId="77C788C8" w:rsidR="0042033D" w:rsidRDefault="00000000">
            <w:pPr>
              <w:spacing w:line="232" w:lineRule="auto"/>
              <w:rPr>
                <w:sz w:val="24"/>
                <w:szCs w:val="24"/>
              </w:rPr>
            </w:pPr>
            <w:r>
              <w:rPr>
                <w:sz w:val="24"/>
                <w:szCs w:val="24"/>
              </w:rPr>
              <w:t xml:space="preserve">BFR de 18 000 $ dimensionné sur 120 jours, ligne </w:t>
            </w:r>
            <w:r w:rsidR="00ED4AD3">
              <w:rPr>
                <w:sz w:val="24"/>
                <w:szCs w:val="24"/>
              </w:rPr>
              <w:t>BNI</w:t>
            </w:r>
            <w:r>
              <w:rPr>
                <w:sz w:val="24"/>
                <w:szCs w:val="24"/>
              </w:rPr>
              <w:t xml:space="preserve"> de 15 000 $ (§ 18.1), plan de trésorerie mensuel (Tableau 15 bis)</w:t>
            </w:r>
          </w:p>
        </w:tc>
      </w:tr>
      <w:tr w:rsidR="0042033D" w14:paraId="21277F74" w14:textId="77777777" w:rsidTr="001166A1">
        <w:trPr>
          <w:cantSplit/>
        </w:trPr>
        <w:tc>
          <w:tcPr>
            <w:tcW w:w="836" w:type="pct"/>
            <w:tcMar>
              <w:top w:w="28" w:type="dxa"/>
              <w:left w:w="80" w:type="dxa"/>
              <w:bottom w:w="28" w:type="dxa"/>
              <w:right w:w="80" w:type="dxa"/>
            </w:tcMar>
            <w:vAlign w:val="center"/>
          </w:tcPr>
          <w:p w14:paraId="106F195B" w14:textId="77777777" w:rsidR="0042033D" w:rsidRDefault="00000000">
            <w:pPr>
              <w:spacing w:line="232" w:lineRule="auto"/>
              <w:rPr>
                <w:sz w:val="24"/>
                <w:szCs w:val="24"/>
              </w:rPr>
            </w:pPr>
            <w:r>
              <w:rPr>
                <w:b/>
                <w:bCs/>
                <w:sz w:val="24"/>
                <w:szCs w:val="24"/>
              </w:rPr>
              <w:t>Approvisionnement</w:t>
            </w:r>
          </w:p>
        </w:tc>
        <w:tc>
          <w:tcPr>
            <w:tcW w:w="1327" w:type="pct"/>
            <w:tcMar>
              <w:top w:w="28" w:type="dxa"/>
              <w:left w:w="80" w:type="dxa"/>
              <w:bottom w:w="28" w:type="dxa"/>
              <w:right w:w="80" w:type="dxa"/>
            </w:tcMar>
            <w:vAlign w:val="center"/>
          </w:tcPr>
          <w:p w14:paraId="112C83F7" w14:textId="77777777" w:rsidR="0042033D" w:rsidRDefault="00000000">
            <w:pPr>
              <w:spacing w:line="232" w:lineRule="auto"/>
              <w:rPr>
                <w:sz w:val="24"/>
                <w:szCs w:val="24"/>
              </w:rPr>
            </w:pPr>
            <w:r>
              <w:rPr>
                <w:b/>
                <w:bCs/>
                <w:sz w:val="24"/>
                <w:szCs w:val="24"/>
              </w:rPr>
              <w:t>Saisonnalité et disponibilité des déchets organiques (cyclones, périodes creuses)</w:t>
            </w:r>
          </w:p>
        </w:tc>
        <w:tc>
          <w:tcPr>
            <w:tcW w:w="836" w:type="pct"/>
            <w:tcMar>
              <w:top w:w="28" w:type="dxa"/>
              <w:left w:w="80" w:type="dxa"/>
              <w:bottom w:w="28" w:type="dxa"/>
              <w:right w:w="80" w:type="dxa"/>
            </w:tcMar>
            <w:vAlign w:val="center"/>
          </w:tcPr>
          <w:p w14:paraId="73CF4E47" w14:textId="77777777" w:rsidR="0042033D" w:rsidRDefault="00000000">
            <w:pPr>
              <w:spacing w:line="232" w:lineRule="auto"/>
              <w:rPr>
                <w:sz w:val="24"/>
                <w:szCs w:val="24"/>
              </w:rPr>
            </w:pPr>
            <w:r>
              <w:rPr>
                <w:b/>
                <w:bCs/>
                <w:sz w:val="24"/>
                <w:szCs w:val="24"/>
              </w:rPr>
              <w:t>Moyenne / Moyen</w:t>
            </w:r>
          </w:p>
        </w:tc>
        <w:tc>
          <w:tcPr>
            <w:tcW w:w="2002" w:type="pct"/>
            <w:tcMar>
              <w:top w:w="28" w:type="dxa"/>
              <w:left w:w="80" w:type="dxa"/>
              <w:bottom w:w="28" w:type="dxa"/>
              <w:right w:w="80" w:type="dxa"/>
            </w:tcMar>
            <w:vAlign w:val="center"/>
          </w:tcPr>
          <w:p w14:paraId="72FAF8CB" w14:textId="77777777" w:rsidR="0042033D" w:rsidRDefault="00000000">
            <w:pPr>
              <w:spacing w:line="232" w:lineRule="auto"/>
              <w:rPr>
                <w:sz w:val="24"/>
                <w:szCs w:val="24"/>
              </w:rPr>
            </w:pPr>
            <w:r>
              <w:rPr>
                <w:sz w:val="24"/>
                <w:szCs w:val="24"/>
              </w:rPr>
              <w:t>Réseau multi-sources (SCRIMAD, Bazary, MAFI), stockage tampon de 4 à 6 semaines, contrats pluri-annuels</w:t>
            </w:r>
          </w:p>
        </w:tc>
      </w:tr>
      <w:tr w:rsidR="0042033D" w14:paraId="081D3241" w14:textId="77777777" w:rsidTr="001166A1">
        <w:trPr>
          <w:cantSplit/>
        </w:trPr>
        <w:tc>
          <w:tcPr>
            <w:tcW w:w="836" w:type="pct"/>
            <w:tcMar>
              <w:top w:w="28" w:type="dxa"/>
              <w:left w:w="80" w:type="dxa"/>
              <w:bottom w:w="28" w:type="dxa"/>
              <w:right w:w="80" w:type="dxa"/>
            </w:tcMar>
            <w:vAlign w:val="center"/>
          </w:tcPr>
          <w:p w14:paraId="03515ACA" w14:textId="77777777" w:rsidR="0042033D" w:rsidRDefault="00000000">
            <w:pPr>
              <w:spacing w:line="232" w:lineRule="auto"/>
              <w:rPr>
                <w:sz w:val="24"/>
                <w:szCs w:val="24"/>
              </w:rPr>
            </w:pPr>
            <w:r>
              <w:rPr>
                <w:b/>
                <w:bCs/>
                <w:sz w:val="24"/>
                <w:szCs w:val="24"/>
              </w:rPr>
              <w:t>Approvisionnement</w:t>
            </w:r>
          </w:p>
        </w:tc>
        <w:tc>
          <w:tcPr>
            <w:tcW w:w="1327" w:type="pct"/>
            <w:tcMar>
              <w:top w:w="28" w:type="dxa"/>
              <w:left w:w="80" w:type="dxa"/>
              <w:bottom w:w="28" w:type="dxa"/>
              <w:right w:w="80" w:type="dxa"/>
            </w:tcMar>
            <w:vAlign w:val="center"/>
          </w:tcPr>
          <w:p w14:paraId="63149C19" w14:textId="77777777" w:rsidR="0042033D" w:rsidRDefault="00000000">
            <w:pPr>
              <w:spacing w:line="232" w:lineRule="auto"/>
              <w:rPr>
                <w:sz w:val="24"/>
                <w:szCs w:val="24"/>
              </w:rPr>
            </w:pPr>
            <w:r>
              <w:rPr>
                <w:b/>
                <w:bCs/>
                <w:sz w:val="24"/>
                <w:szCs w:val="24"/>
              </w:rPr>
              <w:t>Conflit d'usage des substrats : méthaniseurs (parfois subventionnés par des bailleurs extérieurs), plateformes de compostage, éleveurs auto-consommateurs</w:t>
            </w:r>
          </w:p>
        </w:tc>
        <w:tc>
          <w:tcPr>
            <w:tcW w:w="836" w:type="pct"/>
            <w:tcMar>
              <w:top w:w="28" w:type="dxa"/>
              <w:left w:w="80" w:type="dxa"/>
              <w:bottom w:w="28" w:type="dxa"/>
              <w:right w:w="80" w:type="dxa"/>
            </w:tcMar>
            <w:vAlign w:val="center"/>
          </w:tcPr>
          <w:p w14:paraId="28B54513" w14:textId="77777777" w:rsidR="0042033D" w:rsidRDefault="00000000">
            <w:pPr>
              <w:spacing w:line="232" w:lineRule="auto"/>
              <w:rPr>
                <w:sz w:val="24"/>
                <w:szCs w:val="24"/>
              </w:rPr>
            </w:pPr>
            <w:r>
              <w:rPr>
                <w:b/>
                <w:bCs/>
                <w:sz w:val="24"/>
                <w:szCs w:val="24"/>
              </w:rPr>
              <w:t>Élevée / Moyen à élevé</w:t>
            </w:r>
          </w:p>
        </w:tc>
        <w:tc>
          <w:tcPr>
            <w:tcW w:w="2002" w:type="pct"/>
            <w:tcMar>
              <w:top w:w="28" w:type="dxa"/>
              <w:left w:w="80" w:type="dxa"/>
              <w:bottom w:w="28" w:type="dxa"/>
              <w:right w:w="80" w:type="dxa"/>
            </w:tcMar>
            <w:vAlign w:val="center"/>
          </w:tcPr>
          <w:p w14:paraId="4D27BA26" w14:textId="77777777" w:rsidR="0042033D" w:rsidRDefault="00000000">
            <w:pPr>
              <w:spacing w:line="232" w:lineRule="auto"/>
              <w:rPr>
                <w:sz w:val="24"/>
                <w:szCs w:val="24"/>
              </w:rPr>
            </w:pPr>
            <w:r>
              <w:rPr>
                <w:sz w:val="24"/>
                <w:szCs w:val="24"/>
              </w:rPr>
              <w:t>Contrats exclusifs de collecte sur trois ans avec volumes garantis et pénalités plafonnées (Annexe G), plan B géographique au-delà de 50 km (+18 $/T max), indexation tarifaire, diversification des substrats</w:t>
            </w:r>
          </w:p>
        </w:tc>
      </w:tr>
      <w:tr w:rsidR="0042033D" w14:paraId="1315806B" w14:textId="77777777" w:rsidTr="001166A1">
        <w:trPr>
          <w:cantSplit/>
        </w:trPr>
        <w:tc>
          <w:tcPr>
            <w:tcW w:w="836" w:type="pct"/>
            <w:tcMar>
              <w:top w:w="28" w:type="dxa"/>
              <w:left w:w="80" w:type="dxa"/>
              <w:bottom w:w="28" w:type="dxa"/>
              <w:right w:w="80" w:type="dxa"/>
            </w:tcMar>
            <w:vAlign w:val="center"/>
          </w:tcPr>
          <w:p w14:paraId="631D910C" w14:textId="77777777" w:rsidR="0042033D" w:rsidRDefault="00000000">
            <w:pPr>
              <w:spacing w:line="232" w:lineRule="auto"/>
              <w:rPr>
                <w:sz w:val="24"/>
                <w:szCs w:val="24"/>
              </w:rPr>
            </w:pPr>
            <w:r>
              <w:rPr>
                <w:b/>
                <w:bCs/>
                <w:sz w:val="24"/>
                <w:szCs w:val="24"/>
              </w:rPr>
              <w:t>Réglementaire</w:t>
            </w:r>
          </w:p>
        </w:tc>
        <w:tc>
          <w:tcPr>
            <w:tcW w:w="1327" w:type="pct"/>
            <w:tcMar>
              <w:top w:w="28" w:type="dxa"/>
              <w:left w:w="80" w:type="dxa"/>
              <w:bottom w:w="28" w:type="dxa"/>
              <w:right w:w="80" w:type="dxa"/>
            </w:tcMar>
            <w:vAlign w:val="center"/>
          </w:tcPr>
          <w:p w14:paraId="0052645C" w14:textId="77777777" w:rsidR="0042033D" w:rsidRDefault="00000000">
            <w:pPr>
              <w:spacing w:line="232" w:lineRule="auto"/>
              <w:rPr>
                <w:sz w:val="24"/>
                <w:szCs w:val="24"/>
              </w:rPr>
            </w:pPr>
            <w:r>
              <w:rPr>
                <w:b/>
                <w:bCs/>
                <w:sz w:val="24"/>
                <w:szCs w:val="24"/>
              </w:rPr>
              <w:t>Évolution du cadre fiscal ou sanitaire applicable aux intrants biologiques et aux insectes</w:t>
            </w:r>
          </w:p>
        </w:tc>
        <w:tc>
          <w:tcPr>
            <w:tcW w:w="836" w:type="pct"/>
            <w:tcMar>
              <w:top w:w="28" w:type="dxa"/>
              <w:left w:w="80" w:type="dxa"/>
              <w:bottom w:w="28" w:type="dxa"/>
              <w:right w:w="80" w:type="dxa"/>
            </w:tcMar>
            <w:vAlign w:val="center"/>
          </w:tcPr>
          <w:p w14:paraId="73E0DF95" w14:textId="77777777" w:rsidR="0042033D" w:rsidRDefault="00000000">
            <w:pPr>
              <w:spacing w:line="232" w:lineRule="auto"/>
              <w:rPr>
                <w:sz w:val="24"/>
                <w:szCs w:val="24"/>
              </w:rPr>
            </w:pPr>
            <w:r>
              <w:rPr>
                <w:b/>
                <w:bCs/>
                <w:sz w:val="24"/>
                <w:szCs w:val="24"/>
              </w:rPr>
              <w:t>Faible / Moyen</w:t>
            </w:r>
          </w:p>
        </w:tc>
        <w:tc>
          <w:tcPr>
            <w:tcW w:w="2002" w:type="pct"/>
            <w:tcMar>
              <w:top w:w="28" w:type="dxa"/>
              <w:left w:w="80" w:type="dxa"/>
              <w:bottom w:w="28" w:type="dxa"/>
              <w:right w:w="80" w:type="dxa"/>
            </w:tcMar>
            <w:vAlign w:val="center"/>
          </w:tcPr>
          <w:p w14:paraId="14EE3FE2" w14:textId="77777777" w:rsidR="0042033D" w:rsidRDefault="00000000">
            <w:pPr>
              <w:spacing w:line="232" w:lineRule="auto"/>
              <w:rPr>
                <w:sz w:val="24"/>
                <w:szCs w:val="24"/>
              </w:rPr>
            </w:pPr>
            <w:r>
              <w:rPr>
                <w:sz w:val="24"/>
                <w:szCs w:val="24"/>
              </w:rPr>
              <w:t>Veille réglementaire, relations institutionnelles avec le Ministère de l'Agriculture, conformité HACCP anticipée</w:t>
            </w:r>
          </w:p>
        </w:tc>
      </w:tr>
      <w:tr w:rsidR="0042033D" w14:paraId="498ADD3D" w14:textId="77777777" w:rsidTr="001166A1">
        <w:trPr>
          <w:cantSplit/>
        </w:trPr>
        <w:tc>
          <w:tcPr>
            <w:tcW w:w="836" w:type="pct"/>
            <w:tcMar>
              <w:top w:w="28" w:type="dxa"/>
              <w:left w:w="80" w:type="dxa"/>
              <w:bottom w:w="28" w:type="dxa"/>
              <w:right w:w="80" w:type="dxa"/>
            </w:tcMar>
            <w:vAlign w:val="center"/>
          </w:tcPr>
          <w:p w14:paraId="3AEC4F01" w14:textId="77777777" w:rsidR="0042033D" w:rsidRDefault="00000000">
            <w:pPr>
              <w:spacing w:line="232" w:lineRule="auto"/>
              <w:rPr>
                <w:sz w:val="24"/>
                <w:szCs w:val="24"/>
              </w:rPr>
            </w:pPr>
            <w:r>
              <w:rPr>
                <w:b/>
                <w:bCs/>
                <w:sz w:val="24"/>
                <w:szCs w:val="24"/>
              </w:rPr>
              <w:lastRenderedPageBreak/>
              <w:t>Concurrentiel</w:t>
            </w:r>
          </w:p>
        </w:tc>
        <w:tc>
          <w:tcPr>
            <w:tcW w:w="1327" w:type="pct"/>
            <w:tcMar>
              <w:top w:w="28" w:type="dxa"/>
              <w:left w:w="80" w:type="dxa"/>
              <w:bottom w:w="28" w:type="dxa"/>
              <w:right w:w="80" w:type="dxa"/>
            </w:tcMar>
            <w:vAlign w:val="center"/>
          </w:tcPr>
          <w:p w14:paraId="169FB3CE" w14:textId="77777777" w:rsidR="0042033D" w:rsidRDefault="00000000">
            <w:pPr>
              <w:spacing w:line="232" w:lineRule="auto"/>
              <w:rPr>
                <w:sz w:val="24"/>
                <w:szCs w:val="24"/>
              </w:rPr>
            </w:pPr>
            <w:r>
              <w:rPr>
                <w:b/>
                <w:bCs/>
                <w:sz w:val="24"/>
                <w:szCs w:val="24"/>
              </w:rPr>
              <w:t>Entrée d'acteurs BSF sur le marché malgache (BSF Tamatave et EXA Feeds/Foods identifiés) ou subventions croisées sur les engrais</w:t>
            </w:r>
          </w:p>
        </w:tc>
        <w:tc>
          <w:tcPr>
            <w:tcW w:w="836" w:type="pct"/>
            <w:tcMar>
              <w:top w:w="28" w:type="dxa"/>
              <w:left w:w="80" w:type="dxa"/>
              <w:bottom w:w="28" w:type="dxa"/>
              <w:right w:w="80" w:type="dxa"/>
            </w:tcMar>
            <w:vAlign w:val="center"/>
          </w:tcPr>
          <w:p w14:paraId="07C1A288" w14:textId="77777777" w:rsidR="0042033D" w:rsidRDefault="00000000">
            <w:pPr>
              <w:spacing w:line="232" w:lineRule="auto"/>
              <w:rPr>
                <w:sz w:val="24"/>
                <w:szCs w:val="24"/>
              </w:rPr>
            </w:pPr>
            <w:r>
              <w:rPr>
                <w:b/>
                <w:bCs/>
                <w:sz w:val="24"/>
                <w:szCs w:val="24"/>
              </w:rPr>
              <w:t>Moyenne / Moyen</w:t>
            </w:r>
          </w:p>
        </w:tc>
        <w:tc>
          <w:tcPr>
            <w:tcW w:w="2002" w:type="pct"/>
            <w:tcMar>
              <w:top w:w="28" w:type="dxa"/>
              <w:left w:w="80" w:type="dxa"/>
              <w:bottom w:w="28" w:type="dxa"/>
              <w:right w:w="80" w:type="dxa"/>
            </w:tcMar>
            <w:vAlign w:val="center"/>
          </w:tcPr>
          <w:p w14:paraId="2A84F3D4" w14:textId="77777777" w:rsidR="0042033D" w:rsidRDefault="00000000">
            <w:pPr>
              <w:spacing w:line="232" w:lineRule="auto"/>
              <w:rPr>
                <w:sz w:val="24"/>
                <w:szCs w:val="24"/>
              </w:rPr>
            </w:pPr>
            <w:r w:rsidRPr="001166A1">
              <w:rPr>
                <w:sz w:val="24"/>
                <w:szCs w:val="24"/>
              </w:rPr>
              <w:t>Infrastructure renforcée, stock tampon, plan de continuité testé en 2026, assurance en préparation ; la capacité de reprise est suivie mensuellement.</w:t>
            </w:r>
          </w:p>
        </w:tc>
      </w:tr>
      <w:tr w:rsidR="0042033D" w14:paraId="20365A4B" w14:textId="77777777" w:rsidTr="001166A1">
        <w:trPr>
          <w:cantSplit/>
        </w:trPr>
        <w:tc>
          <w:tcPr>
            <w:tcW w:w="836" w:type="pct"/>
            <w:tcMar>
              <w:top w:w="28" w:type="dxa"/>
              <w:left w:w="80" w:type="dxa"/>
              <w:bottom w:w="28" w:type="dxa"/>
              <w:right w:w="80" w:type="dxa"/>
            </w:tcMar>
            <w:vAlign w:val="center"/>
          </w:tcPr>
          <w:p w14:paraId="6F56431A" w14:textId="77777777" w:rsidR="0042033D" w:rsidRDefault="00000000">
            <w:pPr>
              <w:spacing w:line="232" w:lineRule="auto"/>
              <w:rPr>
                <w:sz w:val="24"/>
                <w:szCs w:val="24"/>
              </w:rPr>
            </w:pPr>
            <w:r>
              <w:rPr>
                <w:b/>
                <w:bCs/>
                <w:sz w:val="24"/>
                <w:szCs w:val="24"/>
              </w:rPr>
              <w:t>Climatique</w:t>
            </w:r>
          </w:p>
        </w:tc>
        <w:tc>
          <w:tcPr>
            <w:tcW w:w="1327" w:type="pct"/>
            <w:tcMar>
              <w:top w:w="28" w:type="dxa"/>
              <w:left w:w="80" w:type="dxa"/>
              <w:bottom w:w="28" w:type="dxa"/>
              <w:right w:w="80" w:type="dxa"/>
            </w:tcMar>
            <w:vAlign w:val="center"/>
          </w:tcPr>
          <w:p w14:paraId="5B592365" w14:textId="77777777" w:rsidR="0042033D" w:rsidRDefault="00000000">
            <w:pPr>
              <w:spacing w:line="232" w:lineRule="auto"/>
              <w:rPr>
                <w:sz w:val="24"/>
                <w:szCs w:val="24"/>
              </w:rPr>
            </w:pPr>
            <w:r>
              <w:rPr>
                <w:b/>
                <w:bCs/>
                <w:sz w:val="24"/>
                <w:szCs w:val="24"/>
              </w:rPr>
              <w:t>Cyclones tropicaux touchant la côte Est (cyclone Gezani, février 2026 : deux semaines d'interruption)</w:t>
            </w:r>
          </w:p>
        </w:tc>
        <w:tc>
          <w:tcPr>
            <w:tcW w:w="836" w:type="pct"/>
            <w:tcMar>
              <w:top w:w="28" w:type="dxa"/>
              <w:left w:w="80" w:type="dxa"/>
              <w:bottom w:w="28" w:type="dxa"/>
              <w:right w:w="80" w:type="dxa"/>
            </w:tcMar>
            <w:vAlign w:val="center"/>
          </w:tcPr>
          <w:p w14:paraId="05AFC9B7" w14:textId="77777777" w:rsidR="0042033D" w:rsidRDefault="00000000">
            <w:pPr>
              <w:spacing w:line="232" w:lineRule="auto"/>
              <w:rPr>
                <w:sz w:val="24"/>
                <w:szCs w:val="24"/>
              </w:rPr>
            </w:pPr>
            <w:r>
              <w:rPr>
                <w:b/>
                <w:bCs/>
                <w:sz w:val="24"/>
                <w:szCs w:val="24"/>
              </w:rPr>
              <w:t>Élevée / Moyen à élevé</w:t>
            </w:r>
          </w:p>
        </w:tc>
        <w:tc>
          <w:tcPr>
            <w:tcW w:w="2002" w:type="pct"/>
            <w:tcMar>
              <w:top w:w="28" w:type="dxa"/>
              <w:left w:w="80" w:type="dxa"/>
              <w:bottom w:w="28" w:type="dxa"/>
              <w:right w:w="80" w:type="dxa"/>
            </w:tcMar>
            <w:vAlign w:val="center"/>
          </w:tcPr>
          <w:p w14:paraId="43DA13CC" w14:textId="77777777" w:rsidR="0042033D" w:rsidRDefault="00000000">
            <w:pPr>
              <w:spacing w:line="232" w:lineRule="auto"/>
              <w:rPr>
                <w:sz w:val="24"/>
                <w:szCs w:val="24"/>
              </w:rPr>
            </w:pPr>
            <w:r>
              <w:rPr>
                <w:sz w:val="24"/>
                <w:szCs w:val="24"/>
              </w:rPr>
              <w:t>Infrastructure renforcée, stock tampon, plan de continuité éprouvé au T1 2026, chiffrage au § 18.1</w:t>
            </w:r>
          </w:p>
        </w:tc>
      </w:tr>
      <w:tr w:rsidR="0042033D" w14:paraId="5FE0D0E0" w14:textId="77777777" w:rsidTr="001166A1">
        <w:trPr>
          <w:cantSplit/>
        </w:trPr>
        <w:tc>
          <w:tcPr>
            <w:tcW w:w="836" w:type="pct"/>
            <w:tcMar>
              <w:top w:w="28" w:type="dxa"/>
              <w:left w:w="80" w:type="dxa"/>
              <w:bottom w:w="28" w:type="dxa"/>
              <w:right w:w="80" w:type="dxa"/>
            </w:tcMar>
            <w:vAlign w:val="center"/>
          </w:tcPr>
          <w:p w14:paraId="6032B946" w14:textId="77777777" w:rsidR="0042033D" w:rsidRDefault="00000000">
            <w:pPr>
              <w:spacing w:line="232" w:lineRule="auto"/>
              <w:rPr>
                <w:sz w:val="24"/>
                <w:szCs w:val="24"/>
              </w:rPr>
            </w:pPr>
            <w:r>
              <w:rPr>
                <w:b/>
                <w:bCs/>
                <w:sz w:val="24"/>
                <w:szCs w:val="24"/>
              </w:rPr>
              <w:t>Assurance</w:t>
            </w:r>
          </w:p>
        </w:tc>
        <w:tc>
          <w:tcPr>
            <w:tcW w:w="1327" w:type="pct"/>
            <w:tcMar>
              <w:top w:w="28" w:type="dxa"/>
              <w:left w:w="80" w:type="dxa"/>
              <w:bottom w:w="28" w:type="dxa"/>
              <w:right w:w="80" w:type="dxa"/>
            </w:tcMar>
            <w:vAlign w:val="center"/>
          </w:tcPr>
          <w:p w14:paraId="14FA9DF4" w14:textId="77777777" w:rsidR="0042033D" w:rsidRDefault="00000000">
            <w:pPr>
              <w:spacing w:line="232" w:lineRule="auto"/>
              <w:rPr>
                <w:sz w:val="24"/>
                <w:szCs w:val="24"/>
              </w:rPr>
            </w:pPr>
            <w:r>
              <w:rPr>
                <w:b/>
                <w:bCs/>
                <w:sz w:val="24"/>
                <w:szCs w:val="24"/>
              </w:rPr>
              <w:t>Perte d'exploitation liée aux aléas (cyclone, incendie)</w:t>
            </w:r>
          </w:p>
        </w:tc>
        <w:tc>
          <w:tcPr>
            <w:tcW w:w="836" w:type="pct"/>
            <w:tcMar>
              <w:top w:w="28" w:type="dxa"/>
              <w:left w:w="80" w:type="dxa"/>
              <w:bottom w:w="28" w:type="dxa"/>
              <w:right w:w="80" w:type="dxa"/>
            </w:tcMar>
            <w:vAlign w:val="center"/>
          </w:tcPr>
          <w:p w14:paraId="6D8A6637" w14:textId="77777777" w:rsidR="0042033D" w:rsidRDefault="00000000">
            <w:pPr>
              <w:spacing w:line="232" w:lineRule="auto"/>
              <w:rPr>
                <w:sz w:val="24"/>
                <w:szCs w:val="24"/>
              </w:rPr>
            </w:pPr>
            <w:r>
              <w:rPr>
                <w:b/>
                <w:bCs/>
                <w:sz w:val="24"/>
                <w:szCs w:val="24"/>
              </w:rPr>
              <w:t>Moyenne / Élevé</w:t>
            </w:r>
          </w:p>
        </w:tc>
        <w:tc>
          <w:tcPr>
            <w:tcW w:w="2002" w:type="pct"/>
            <w:tcMar>
              <w:top w:w="28" w:type="dxa"/>
              <w:left w:w="80" w:type="dxa"/>
              <w:bottom w:w="28" w:type="dxa"/>
              <w:right w:w="80" w:type="dxa"/>
            </w:tcMar>
            <w:vAlign w:val="center"/>
          </w:tcPr>
          <w:p w14:paraId="71803E3E" w14:textId="05C826C9" w:rsidR="0042033D" w:rsidRPr="001166A1" w:rsidRDefault="00000000">
            <w:pPr>
              <w:spacing w:line="232" w:lineRule="auto"/>
              <w:rPr>
                <w:sz w:val="24"/>
                <w:szCs w:val="24"/>
                <w:lang w:val="fr-FR"/>
              </w:rPr>
            </w:pPr>
            <w:r w:rsidRPr="001166A1">
              <w:rPr>
                <w:sz w:val="24"/>
                <w:szCs w:val="24"/>
              </w:rPr>
              <w:t>Assurance perte d'exploitation en négociation avec deux assureurs malgaches : ≈ 1 500 $/an, couverture 12 semaines ; finalisation T1 2027, en complément de la contingence (6 000 $) et de la ligne B</w:t>
            </w:r>
            <w:r w:rsidR="001166A1" w:rsidRPr="001166A1">
              <w:rPr>
                <w:sz w:val="24"/>
                <w:szCs w:val="24"/>
              </w:rPr>
              <w:t>N</w:t>
            </w:r>
            <w:r w:rsidR="001166A1" w:rsidRPr="001166A1">
              <w:rPr>
                <w:sz w:val="24"/>
                <w:szCs w:val="24"/>
                <w:lang w:val="fr-FR"/>
              </w:rPr>
              <w:t>I</w:t>
            </w:r>
          </w:p>
        </w:tc>
      </w:tr>
    </w:tbl>
    <w:p w14:paraId="4EBA010F" w14:textId="77777777" w:rsidR="0042033D" w:rsidRDefault="00000000">
      <w:pPr>
        <w:pStyle w:val="Heading2"/>
        <w:spacing w:before="150" w:after="60"/>
        <w:rPr>
          <w:rFonts w:ascii="Times New Roman" w:hAnsi="Times New Roman"/>
        </w:rPr>
      </w:pPr>
      <w:bookmarkStart w:id="75" w:name="_Toc100075"/>
      <w:r>
        <w:rPr>
          <w:rFonts w:ascii="Times New Roman" w:hAnsi="Times New Roman"/>
        </w:rPr>
        <w:t>18.1 Risques prioritaires et stratégie de mitigation</w:t>
      </w:r>
      <w:bookmarkEnd w:id="75"/>
    </w:p>
    <w:p w14:paraId="50C77490" w14:textId="77777777" w:rsidR="0042033D" w:rsidRDefault="00000000">
      <w:pPr>
        <w:spacing w:after="60"/>
        <w:jc w:val="both"/>
        <w:rPr>
          <w:sz w:val="24"/>
          <w:szCs w:val="24"/>
        </w:rPr>
      </w:pPr>
      <w:r>
        <w:rPr>
          <w:sz w:val="24"/>
          <w:szCs w:val="24"/>
        </w:rPr>
        <w:t xml:space="preserve">Premièrement, la dépendance au canal FDA (87 % du chiffre d'affaires), reclassée </w:t>
      </w:r>
      <w:r>
        <w:rPr>
          <w:b/>
          <w:bCs/>
          <w:sz w:val="24"/>
          <w:szCs w:val="24"/>
        </w:rPr>
        <w:t>probabilité élevée / impact élevé</w:t>
      </w:r>
      <w:r>
        <w:rPr>
          <w:sz w:val="24"/>
          <w:szCs w:val="24"/>
        </w:rPr>
        <w:t>, constitue la vulnérabilité structurelle principale : une décision publique de modifier les programmes de subvention ou de réviser les prix d'achat affecterait significativement les revenus. L'atténuation repose sur la diversification accélérée vers 40 à 45 % de revenus hors FDA dès 2027 (commercial B2B financé par le ticket, pipeline qualifié de dix comptes, réseau de revendeurs, ligne protéines). En cas d'arrêt total du canal FDA (scénario extrême mais non nul dans un contexte politique malgache volatile), le chiffre d'affaires résiduel B2B/B2C actuel (≈ 15 K $ par an) serait insuffisant pour couvrir les charges fixes. La survie de l'entreprise dépendrait alors de la capacité à basculer en urgence vers le pipeline B2B pré-qualifié (Tableau 10 bis) et à compresser les coûts variables (près des deux tiers du coût opérationnel). Le délai de survie estimé sans FDA est de 4 à 6 mois ; le tableau de bord mensuel déclencherait dès le premier trimestre d'arrêt le plan de compression des coûts et la mobilisation de la ligne de crédit.</w:t>
      </w:r>
    </w:p>
    <w:p w14:paraId="0ECFA988" w14:textId="6108D175" w:rsidR="0042033D" w:rsidRDefault="00000000">
      <w:pPr>
        <w:spacing w:after="60"/>
        <w:jc w:val="both"/>
        <w:rPr>
          <w:sz w:val="24"/>
          <w:szCs w:val="24"/>
        </w:rPr>
      </w:pPr>
      <w:r>
        <w:rPr>
          <w:sz w:val="24"/>
          <w:szCs w:val="24"/>
        </w:rPr>
        <w:t xml:space="preserve">Deuxièmement, les délais de paiement de la FDA (90 jours, avec un risque documenté de glissement à 120 jours) pèsent sur la trésorerie. Le dispositif couvrant ce risque est le suivant — </w:t>
      </w:r>
      <w:r>
        <w:rPr>
          <w:b/>
          <w:bCs/>
          <w:sz w:val="24"/>
          <w:szCs w:val="24"/>
        </w:rPr>
        <w:t xml:space="preserve">ligne de crédit court terme </w:t>
      </w:r>
      <w:r w:rsidR="00ED4AD3">
        <w:rPr>
          <w:b/>
          <w:bCs/>
          <w:sz w:val="24"/>
          <w:szCs w:val="24"/>
        </w:rPr>
        <w:t>BNI</w:t>
      </w:r>
      <w:r>
        <w:rPr>
          <w:b/>
          <w:bCs/>
          <w:sz w:val="24"/>
          <w:szCs w:val="24"/>
        </w:rPr>
        <w:t xml:space="preserve"> : montant 15 000 $, taux 12 % par an, durée six mois renouvelable, garantie constituée du nantissement des créances FDA et d'une caution solidaire du gérant. Statut : en cours de finalisation</w:t>
      </w:r>
      <w:r>
        <w:rPr>
          <w:sz w:val="24"/>
          <w:szCs w:val="24"/>
        </w:rPr>
        <w:t xml:space="preserve"> — le principe est acquis et les conditions confirmées par lettre de la </w:t>
      </w:r>
      <w:r w:rsidR="00ED4AD3">
        <w:rPr>
          <w:sz w:val="24"/>
          <w:szCs w:val="24"/>
        </w:rPr>
        <w:t>BNI</w:t>
      </w:r>
      <w:r>
        <w:rPr>
          <w:sz w:val="24"/>
          <w:szCs w:val="24"/>
        </w:rPr>
        <w:t xml:space="preserve"> consignée en salle de données ; la contractualisation définitive est présentée honnêtement comme </w:t>
      </w:r>
      <w:r>
        <w:rPr>
          <w:b/>
          <w:bCs/>
          <w:sz w:val="24"/>
          <w:szCs w:val="24"/>
        </w:rPr>
        <w:t>une condition à lever au T1 2027</w:t>
      </w:r>
      <w:r>
        <w:rPr>
          <w:sz w:val="24"/>
          <w:szCs w:val="24"/>
        </w:rPr>
        <w:t xml:space="preserve">. En cas de retard FDA </w:t>
      </w:r>
      <w:r>
        <w:rPr>
          <w:sz w:val="24"/>
          <w:szCs w:val="24"/>
        </w:rPr>
        <w:lastRenderedPageBreak/>
        <w:t>supérieur à 120 jours, la ligne est activée pour un coût d'environ 450 $ par trimestre d'utilisation, en complément de la réserve de fonds de roulement de 18 000 $ dimensionnée précisément sur ce scénario (Tableau 15 bis).</w:t>
      </w:r>
    </w:p>
    <w:p w14:paraId="4FA78B7D" w14:textId="1D04C54F" w:rsidR="0042033D" w:rsidRDefault="00000000">
      <w:pPr>
        <w:spacing w:after="60"/>
        <w:jc w:val="both"/>
        <w:rPr>
          <w:sz w:val="24"/>
          <w:szCs w:val="24"/>
        </w:rPr>
      </w:pPr>
      <w:r>
        <w:rPr>
          <w:sz w:val="24"/>
          <w:szCs w:val="24"/>
        </w:rPr>
        <w:t xml:space="preserve">Troisièmement, le conflit d'usage des substrats monte avec les méthaniseurs — dont certains bénéficient d'appuis publics extérieurs leur permettant de surenchérir —, les plateformes de compostage et l'auto-consommation par les élevages. La réponse est contractuelle et opérationnelle : contrats exclusifs de collecte sur trois ans avec volumes garantis et pénalités plafonnées (Annexe G), diversification géographique préqualifiée au-delà de cinquante kilomètres (surcoût plafonné à 18 $ par tonne) et indexation tarifaire transparente. Quatrièmement, le risque cyclonique est quantifié : </w:t>
      </w:r>
      <w:r>
        <w:rPr>
          <w:b/>
          <w:bCs/>
          <w:sz w:val="24"/>
          <w:szCs w:val="24"/>
        </w:rPr>
        <w:t>un cyclone de catégorie 3 ou plus pourrait interrompre la production pendant 4 à 8 semaines, représentant une perte de chiffre d'affaires estimée à 12 à 15 K $ et un coût de réparation estimé à 8 à 12 K $</w:t>
      </w:r>
      <w:r>
        <w:rPr>
          <w:sz w:val="24"/>
          <w:szCs w:val="24"/>
        </w:rPr>
        <w:t xml:space="preserve">, soit un choc total de 20 à 27 K $. </w:t>
      </w:r>
      <w:r>
        <w:rPr>
          <w:b/>
          <w:bCs/>
          <w:sz w:val="24"/>
          <w:szCs w:val="24"/>
        </w:rPr>
        <w:t>La vérification de l'adéquation de la contingence conduit à la porter de 4 500 à 6 000 $</w:t>
      </w:r>
      <w:r>
        <w:rPr>
          <w:sz w:val="24"/>
          <w:szCs w:val="24"/>
        </w:rPr>
        <w:t xml:space="preserve"> : elle couvre seule les aléas d'installation et une première urgence cyclonique, mais pas un choc majeur, dont la couverture est organisée en couches complémentaires — assurance perte d'exploitation (≈ 1 500 $/an, douze semaines, en cours de négociation), stock tampon de quatre à six semaines, ligne </w:t>
      </w:r>
      <w:r w:rsidR="00ED4AD3">
        <w:rPr>
          <w:sz w:val="24"/>
          <w:szCs w:val="24"/>
        </w:rPr>
        <w:t>BNI</w:t>
      </w:r>
      <w:r>
        <w:rPr>
          <w:sz w:val="24"/>
          <w:szCs w:val="24"/>
        </w:rPr>
        <w:t xml:space="preserve"> de 15 000 $ et compressibilité rapide des coûts variables. La contingence seule n'est donc pas dimensionnée pour absorber un cyclone majeur ; cette architecture multicouche est explicitement présentée au comité.</w:t>
      </w:r>
    </w:p>
    <w:p w14:paraId="699F2661" w14:textId="77777777" w:rsidR="0042033D" w:rsidRPr="008E425A" w:rsidRDefault="00000000">
      <w:pPr>
        <w:pStyle w:val="Heading1"/>
        <w:pBdr>
          <w:bottom w:val="single" w:sz="6" w:space="4" w:color="D4875A"/>
        </w:pBdr>
        <w:spacing w:before="200" w:after="90"/>
        <w:rPr>
          <w:rFonts w:ascii="League Spartan" w:hAnsi="League Spartan"/>
          <w:sz w:val="40"/>
          <w:szCs w:val="40"/>
        </w:rPr>
      </w:pPr>
      <w:bookmarkStart w:id="76" w:name="_Toc238821298"/>
      <w:r w:rsidRPr="008E425A">
        <w:rPr>
          <w:rFonts w:ascii="League Spartan" w:hAnsi="League Spartan"/>
          <w:sz w:val="40"/>
          <w:szCs w:val="40"/>
        </w:rPr>
        <w:t>19. Gouvernance</w:t>
      </w:r>
      <w:bookmarkEnd w:id="76"/>
    </w:p>
    <w:p w14:paraId="19904DA1" w14:textId="77777777" w:rsidR="0042033D" w:rsidRDefault="00000000">
      <w:pPr>
        <w:spacing w:after="60"/>
        <w:jc w:val="both"/>
        <w:rPr>
          <w:sz w:val="24"/>
          <w:szCs w:val="24"/>
        </w:rPr>
      </w:pPr>
      <w:r>
        <w:rPr>
          <w:sz w:val="24"/>
          <w:szCs w:val="24"/>
        </w:rPr>
        <w:t>La gouvernance de Bio Source Farm est structurée autour de trois piliers : une forme juridique formelle de droit malgache en cours de transformation en SARL, un commissaire aux comptes indépendant qui certifie les comptes annuels et un manuel de procédures opératoires standard qui documente l'ensemble du cycle opérationnel. Cette structure évoluera vers une gouvernance élargie à mesure que l'entreprise franchira les paliers de financement successifs.</w:t>
      </w:r>
    </w:p>
    <w:p w14:paraId="4FFECCAA" w14:textId="77777777" w:rsidR="0042033D" w:rsidRDefault="00000000">
      <w:pPr>
        <w:pStyle w:val="Heading2"/>
        <w:spacing w:before="150" w:after="60"/>
        <w:rPr>
          <w:rFonts w:ascii="Times New Roman" w:hAnsi="Times New Roman"/>
        </w:rPr>
      </w:pPr>
      <w:bookmarkStart w:id="77" w:name="_Toc100077"/>
      <w:r>
        <w:rPr>
          <w:rFonts w:ascii="Times New Roman" w:hAnsi="Times New Roman"/>
        </w:rPr>
        <w:t>19.1 Structure juridique, direction et calendrier de conversion en SARL</w:t>
      </w:r>
      <w:bookmarkEnd w:id="77"/>
    </w:p>
    <w:p w14:paraId="7CFE71EB" w14:textId="77777777" w:rsidR="0042033D" w:rsidRDefault="00000000">
      <w:pPr>
        <w:spacing w:after="60"/>
        <w:jc w:val="both"/>
        <w:rPr>
          <w:sz w:val="24"/>
          <w:szCs w:val="24"/>
        </w:rPr>
      </w:pPr>
      <w:r>
        <w:rPr>
          <w:sz w:val="24"/>
          <w:szCs w:val="24"/>
        </w:rPr>
        <w:t>Bio Source Farm est une Entreprise Individuelle de droit malgache, immatriculée sous le NIF 6 005 477 481 et le numéro statistique 74908 31 2021 0 00398, créée en septembre 2021 et opérationnelle depuis juillet 2023. La gérance est assurée par Monsieur RASOLOMAMPIONONA Tendry Ny Aina Joelson, fondateur, appuyé par les membres de l'équipe fondatrice décrits en section 14. La conversion en SARL est engagée, avec un achèvement prévu au plus tard au quatrième trimestre 2026 : cette transformation dotera l'entreprise d'un capital social structuré, d'une responsabilité limitée aux apports et d'un cadre statutaire conforme aux attentes des financeurs institutionnels.</w:t>
      </w:r>
    </w:p>
    <w:p w14:paraId="48652E3F" w14:textId="77777777" w:rsidR="0042033D" w:rsidRDefault="00000000">
      <w:pPr>
        <w:spacing w:after="60"/>
        <w:jc w:val="both"/>
        <w:rPr>
          <w:sz w:val="24"/>
          <w:szCs w:val="24"/>
        </w:rPr>
      </w:pPr>
      <w:r>
        <w:rPr>
          <w:sz w:val="24"/>
          <w:szCs w:val="24"/>
        </w:rPr>
        <w:t xml:space="preserve">Le calendrier administratif détaillé — étapes déjà franchies et dates prévues — figure en salle de données (Annexe H). Afin de neutraliser le risque de retard administratif sur la condition suspensive de déblocage, la clause suivante est proposée au financeur : </w:t>
      </w:r>
      <w:r>
        <w:rPr>
          <w:b/>
          <w:bCs/>
          <w:sz w:val="24"/>
          <w:szCs w:val="24"/>
        </w:rPr>
        <w:t xml:space="preserve">en cas de retard </w:t>
      </w:r>
      <w:r>
        <w:rPr>
          <w:b/>
          <w:bCs/>
          <w:sz w:val="24"/>
          <w:szCs w:val="24"/>
        </w:rPr>
        <w:lastRenderedPageBreak/>
        <w:t>administratif indépendant de la volonté de l'entreprise au-delà du T4 2026, le déblocage pourra intervenir sur la base de l'attestation notariale de dépôt des statuts et du récépissé de demande d'immatriculation, sous réserve d'un engagement écrit de finalisation dans un délai de 60 jours supplémentaires.</w:t>
      </w:r>
    </w:p>
    <w:p w14:paraId="6CABF3B0" w14:textId="77777777" w:rsidR="0042033D" w:rsidRDefault="00000000">
      <w:pPr>
        <w:pStyle w:val="Heading2"/>
        <w:spacing w:before="150" w:after="60"/>
        <w:rPr>
          <w:rFonts w:ascii="Times New Roman" w:hAnsi="Times New Roman"/>
        </w:rPr>
      </w:pPr>
      <w:bookmarkStart w:id="78" w:name="_Toc100078"/>
      <w:r>
        <w:rPr>
          <w:rFonts w:ascii="Times New Roman" w:hAnsi="Times New Roman"/>
        </w:rPr>
        <w:t>19.2 Certification comptable et transparence financière</w:t>
      </w:r>
      <w:bookmarkEnd w:id="78"/>
    </w:p>
    <w:p w14:paraId="1BB087BF" w14:textId="77777777" w:rsidR="0042033D" w:rsidRDefault="00000000">
      <w:pPr>
        <w:spacing w:after="60"/>
        <w:jc w:val="both"/>
        <w:rPr>
          <w:sz w:val="24"/>
          <w:szCs w:val="24"/>
        </w:rPr>
      </w:pPr>
      <w:r>
        <w:rPr>
          <w:sz w:val="24"/>
          <w:szCs w:val="24"/>
        </w:rPr>
        <w:t>Les comptes annuels sont certifiés par un commissaire aux comptes indépendant, Monsieur RAKAJY Paul Philibert, expert-comptable et financier basé à Antananarivo. Le rapport au titre de l'exercice clos le 30 juin 2024 a été établi en avril 2025 et celui au titre de l'exercice clos le 30 juin 2025 a été établi en mars 2026 ; chacun certifie que l'état financier donne une image fidèle de la situation financière de l'entreprise, conformément au référentiel comptable en vigueur à Madagascar. Les données du second semestre 2025 relèvent de la comptabilité interne et seront certifiées à la clôture de l'exercice 2025-2026 (cf. Annexe B).</w:t>
      </w:r>
    </w:p>
    <w:p w14:paraId="5E5477F0" w14:textId="77777777" w:rsidR="0042033D" w:rsidRDefault="00000000">
      <w:pPr>
        <w:pStyle w:val="Heading2"/>
        <w:spacing w:before="150" w:after="60"/>
        <w:rPr>
          <w:rFonts w:ascii="Times New Roman" w:hAnsi="Times New Roman"/>
        </w:rPr>
      </w:pPr>
      <w:bookmarkStart w:id="79" w:name="_Toc100079"/>
      <w:r>
        <w:rPr>
          <w:rFonts w:ascii="Times New Roman" w:hAnsi="Times New Roman"/>
        </w:rPr>
        <w:t>19.3 Structure de gouvernance cible</w:t>
      </w:r>
      <w:bookmarkEnd w:id="79"/>
    </w:p>
    <w:p w14:paraId="698A0BF3" w14:textId="77777777" w:rsidR="0042033D" w:rsidRDefault="00000000">
      <w:pPr>
        <w:spacing w:after="60"/>
        <w:jc w:val="both"/>
        <w:rPr>
          <w:sz w:val="24"/>
          <w:szCs w:val="24"/>
        </w:rPr>
      </w:pPr>
      <w:r>
        <w:rPr>
          <w:sz w:val="24"/>
          <w:szCs w:val="24"/>
        </w:rPr>
        <w:t>La conversion en SARL au quatrième trimestre 2026 formalisera la répartition des parts entre fondateurs et le mandat de gestion croisé (cf. section 19.4). À l'horizon des financements de scale-up (2027-2028), un comité de pilotage sera constitué, réunissant un représentant des partenaires financiers (Programme ACCELEREO / Banque mondiale ou équivalent), un expert agro-industriel senior et un expert financier, en s'appuyant sur le comité consultatif technique existant. À l'horizon de la dette mezzanine verte (2028-2029), un comité d'audit et une charte de gouvernance formalisée compléteront le dispositif.</w:t>
      </w:r>
    </w:p>
    <w:p w14:paraId="6FF95A57" w14:textId="77777777" w:rsidR="0042033D" w:rsidRDefault="00000000">
      <w:pPr>
        <w:pStyle w:val="Heading2"/>
        <w:spacing w:before="150" w:after="60"/>
        <w:rPr>
          <w:rFonts w:ascii="Times New Roman" w:hAnsi="Times New Roman"/>
        </w:rPr>
      </w:pPr>
      <w:bookmarkStart w:id="80" w:name="_Toc100080"/>
      <w:r>
        <w:rPr>
          <w:rFonts w:ascii="Times New Roman" w:hAnsi="Times New Roman"/>
        </w:rPr>
        <w:t>19.4 Plan de continuité de direction</w:t>
      </w:r>
      <w:bookmarkEnd w:id="80"/>
    </w:p>
    <w:p w14:paraId="4C0BBF7B" w14:textId="3A90438A" w:rsidR="0042033D" w:rsidRDefault="00000000">
      <w:pPr>
        <w:spacing w:after="60"/>
        <w:jc w:val="both"/>
        <w:rPr>
          <w:sz w:val="24"/>
          <w:szCs w:val="24"/>
        </w:rPr>
      </w:pPr>
      <w:r w:rsidRPr="004C3E51">
        <w:rPr>
          <w:sz w:val="24"/>
          <w:szCs w:val="24"/>
        </w:rPr>
        <w:t xml:space="preserve">En cas d'indisponibilité du gérant, la direction opérationnelle est assurée collégialement par les quatre co-fondateurs selon une répartition préétablie : </w:t>
      </w:r>
      <w:r w:rsidR="004C3E51" w:rsidRPr="004C3E51">
        <w:rPr>
          <w:sz w:val="24"/>
          <w:szCs w:val="24"/>
        </w:rPr>
        <w:t xml:space="preserve">RASOAVINJATO Mirana Carol pour </w:t>
      </w:r>
      <w:r w:rsidR="004C3E51">
        <w:rPr>
          <w:sz w:val="24"/>
          <w:szCs w:val="24"/>
          <w:lang w:val="fr-FR"/>
        </w:rPr>
        <w:t>la gérance globale,</w:t>
      </w:r>
      <w:r w:rsidR="004C3E51" w:rsidRPr="004C3E51">
        <w:rPr>
          <w:sz w:val="24"/>
          <w:szCs w:val="24"/>
        </w:rPr>
        <w:t xml:space="preserve"> </w:t>
      </w:r>
      <w:r w:rsidRPr="004C3E51">
        <w:rPr>
          <w:sz w:val="24"/>
          <w:szCs w:val="24"/>
        </w:rPr>
        <w:t xml:space="preserve">RAMANANTSALAMA Néolin pour les relations institutionnelles et administratives, </w:t>
      </w:r>
      <w:r w:rsidR="004C3E51" w:rsidRPr="004C3E51">
        <w:rPr>
          <w:sz w:val="24"/>
          <w:szCs w:val="24"/>
          <w:lang w:val="fr-FR"/>
        </w:rPr>
        <w:t>RANDRIANANDRASANAVALONA</w:t>
      </w:r>
      <w:r w:rsidR="004C3E51">
        <w:rPr>
          <w:sz w:val="24"/>
          <w:szCs w:val="24"/>
          <w:lang w:val="fr-FR"/>
        </w:rPr>
        <w:t xml:space="preserve"> </w:t>
      </w:r>
      <w:proofErr w:type="spellStart"/>
      <w:r w:rsidR="004C3E51" w:rsidRPr="004C3E51">
        <w:rPr>
          <w:sz w:val="24"/>
          <w:szCs w:val="24"/>
          <w:lang w:val="fr-FR"/>
        </w:rPr>
        <w:t>Mampionona</w:t>
      </w:r>
      <w:proofErr w:type="spellEnd"/>
      <w:r w:rsidR="004C3E51" w:rsidRPr="004C3E51">
        <w:rPr>
          <w:sz w:val="24"/>
          <w:szCs w:val="24"/>
          <w:lang w:val="fr-FR"/>
        </w:rPr>
        <w:t xml:space="preserve"> </w:t>
      </w:r>
      <w:r w:rsidRPr="004C3E51">
        <w:rPr>
          <w:sz w:val="24"/>
          <w:szCs w:val="24"/>
        </w:rPr>
        <w:t>pour la production,.</w:t>
      </w:r>
      <w:r>
        <w:rPr>
          <w:sz w:val="24"/>
          <w:szCs w:val="24"/>
        </w:rPr>
        <w:t xml:space="preserve"> Un mandat de gestion croisé sera formalisé dans les statuts de la SARL ; la coordination d'ensemble, les fonctions administratives et financières et la représentation légale demeurent attribuées à la gérance ou à son délégataire désigné par mandats croisés. Ce dispositif garantit la continuité du pilotage opérationnel et institutionnel, condition du respect du calendrier de déploiement des fonds (Tableau 15) et des engagements de reporting.</w:t>
      </w:r>
    </w:p>
    <w:p w14:paraId="79BD9F88" w14:textId="77777777" w:rsidR="0042033D" w:rsidRDefault="00000000">
      <w:pPr>
        <w:pStyle w:val="Heading2"/>
        <w:spacing w:before="150" w:after="60"/>
        <w:rPr>
          <w:rFonts w:ascii="Times New Roman" w:hAnsi="Times New Roman"/>
        </w:rPr>
      </w:pPr>
      <w:bookmarkStart w:id="81" w:name="_Toc100081"/>
      <w:r>
        <w:rPr>
          <w:rFonts w:ascii="Times New Roman" w:hAnsi="Times New Roman"/>
        </w:rPr>
        <w:t>19.5 Engagement ESG et gouvernance responsable</w:t>
      </w:r>
      <w:bookmarkEnd w:id="81"/>
    </w:p>
    <w:p w14:paraId="7A9E1A0A" w14:textId="77777777" w:rsidR="0042033D" w:rsidRDefault="00000000">
      <w:pPr>
        <w:spacing w:after="60"/>
        <w:jc w:val="both"/>
        <w:rPr>
          <w:sz w:val="24"/>
          <w:szCs w:val="24"/>
        </w:rPr>
      </w:pPr>
      <w:r>
        <w:rPr>
          <w:sz w:val="24"/>
          <w:szCs w:val="24"/>
        </w:rPr>
        <w:t xml:space="preserve">Bio Source Farm intègre les principes de gouvernance responsable dans sa gestion quotidienne : transparence des comptes (certification annuelle), documentation opérationnelle standardisée (SOP version 1.0), respect du droit du travail malgache (cotisations CNAPS des seize employés), clauses de confidentialité dans les contrats de travail et les engagements du comité consultatif (cf. section 14.3), sécurité sanitaire des produits (HACCP et normes ISO) et responsabilité environnementale (économie circulaire, valorisation des déchets). À l'horizon 2027-2028, </w:t>
      </w:r>
      <w:r>
        <w:rPr>
          <w:sz w:val="24"/>
          <w:szCs w:val="24"/>
        </w:rPr>
        <w:lastRenderedPageBreak/>
        <w:t>l'entreprise vise à formaliser cet engagement via l'obtention de la certification ISO 26000 (responsabilité sociétale) et la publication annuelle d'un rapport d'impact ESG documenté.</w:t>
      </w:r>
    </w:p>
    <w:p w14:paraId="1E59F8BB" w14:textId="77777777" w:rsidR="0042033D" w:rsidRPr="008E425A" w:rsidRDefault="00000000">
      <w:pPr>
        <w:pStyle w:val="Heading1"/>
        <w:pBdr>
          <w:bottom w:val="single" w:sz="6" w:space="4" w:color="D4875A"/>
        </w:pBdr>
        <w:spacing w:before="200" w:after="90"/>
        <w:rPr>
          <w:rFonts w:ascii="League Spartan" w:hAnsi="League Spartan"/>
          <w:sz w:val="40"/>
          <w:szCs w:val="40"/>
        </w:rPr>
      </w:pPr>
      <w:bookmarkStart w:id="82" w:name="_Toc238821299"/>
      <w:r w:rsidRPr="008E425A">
        <w:rPr>
          <w:rFonts w:ascii="League Spartan" w:hAnsi="League Spartan"/>
          <w:sz w:val="40"/>
          <w:szCs w:val="40"/>
        </w:rPr>
        <w:t>20. Plan d'investissement et utilisation des fonds</w:t>
      </w:r>
      <w:bookmarkEnd w:id="82"/>
    </w:p>
    <w:p w14:paraId="6248424F" w14:textId="064C294E" w:rsidR="004C3E51" w:rsidRPr="004C3E51" w:rsidRDefault="00000000">
      <w:pPr>
        <w:spacing w:after="60"/>
        <w:jc w:val="both"/>
        <w:rPr>
          <w:sz w:val="24"/>
          <w:szCs w:val="24"/>
          <w:lang w:val="fr-FR"/>
        </w:rPr>
      </w:pPr>
      <w:r>
        <w:rPr>
          <w:sz w:val="24"/>
          <w:szCs w:val="24"/>
        </w:rPr>
        <w:t>Le plan d'investissement repose sur une logique de financement par étapes calibrée sur la trajectoire de maturité de l'entreprise. Le financement catalytique de 50 000 $ sollicité constitue le ticket d'entrée, destiné à franchir un palier opérationnel clairement défini et à préparer les financements de scale-up. La présente section fusionne le plan d'investissement et le détail ligne par ligne de l'utilisation des fonds : chaque dollar est associé à un usage économique précis, à un calendrier et à un KPI mesurable.</w:t>
      </w:r>
    </w:p>
    <w:p w14:paraId="4FF959B5" w14:textId="77777777" w:rsidR="0042033D" w:rsidRDefault="00000000">
      <w:pPr>
        <w:pStyle w:val="Heading2"/>
        <w:spacing w:before="150" w:after="60"/>
        <w:rPr>
          <w:rFonts w:ascii="Times New Roman" w:hAnsi="Times New Roman"/>
        </w:rPr>
      </w:pPr>
      <w:bookmarkStart w:id="83" w:name="_Toc100083"/>
      <w:r>
        <w:rPr>
          <w:rFonts w:ascii="Times New Roman" w:hAnsi="Times New Roman"/>
        </w:rPr>
        <w:t>20.1 Trajectoire de financement par étapes</w:t>
      </w:r>
      <w:bookmarkEnd w:id="83"/>
    </w:p>
    <w:p w14:paraId="2BF3617A" w14:textId="77777777" w:rsidR="0042033D" w:rsidRDefault="00000000">
      <w:pPr>
        <w:spacing w:after="60"/>
        <w:jc w:val="both"/>
        <w:rPr>
          <w:sz w:val="24"/>
          <w:szCs w:val="24"/>
        </w:rPr>
      </w:pPr>
      <w:r>
        <w:rPr>
          <w:sz w:val="24"/>
          <w:szCs w:val="24"/>
        </w:rPr>
        <w:t>La trajectoire s'articule autour de quatre étapes successives, chacune correspondant à un palier opérationnel et à un instrument adapté aux attentes des bailleurs institutionnels. Le financement catalytique actuel de 50 000 $ est destiné à franchir le palier 1 (montée en capacité, industrialisation de la ligne de séchage des larves et validation commerciale), qui conditionne l'éligibilité aux financements de scale-up (200 000 à 500 000 $) prévus à l'horizon 2027-2028, puis à la dette mezzanine verte (1 à 3 millions $) pour le dimensionnement industriel en 2028-2029. Cette logique séquentielle sécurise à chaque étape un niveau de risque maîtrisé et un effet de levier maximal sur les fonds publics.</w:t>
      </w:r>
    </w:p>
    <w:p w14:paraId="32EF4E4D" w14:textId="77777777" w:rsidR="0042033D" w:rsidRDefault="00000000">
      <w:pPr>
        <w:keepNext/>
        <w:spacing w:before="140" w:after="50" w:line="260" w:lineRule="auto"/>
        <w:rPr>
          <w:sz w:val="24"/>
          <w:szCs w:val="24"/>
        </w:rPr>
      </w:pPr>
      <w:r>
        <w:rPr>
          <w:rFonts w:eastAsia="Arial"/>
          <w:b/>
          <w:bCs/>
          <w:color w:val="1A2330"/>
          <w:sz w:val="24"/>
          <w:szCs w:val="24"/>
        </w:rPr>
        <w:t>Tableau 13 — Trajectoire de financement et paliers opérationnels</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1831"/>
        <w:gridCol w:w="1099"/>
        <w:gridCol w:w="2564"/>
        <w:gridCol w:w="1190"/>
        <w:gridCol w:w="1190"/>
        <w:gridCol w:w="1282"/>
      </w:tblGrid>
      <w:tr w:rsidR="0042033D" w14:paraId="15F60E48" w14:textId="77777777">
        <w:trPr>
          <w:cantSplit/>
          <w:tblHeader/>
        </w:trPr>
        <w:tc>
          <w:tcPr>
            <w:tcW w:w="1000" w:type="pct"/>
            <w:shd w:val="clear" w:color="auto" w:fill="D4875A"/>
            <w:tcMar>
              <w:top w:w="36" w:type="dxa"/>
              <w:left w:w="80" w:type="dxa"/>
              <w:bottom w:w="36" w:type="dxa"/>
              <w:right w:w="80" w:type="dxa"/>
            </w:tcMar>
            <w:vAlign w:val="center"/>
          </w:tcPr>
          <w:p w14:paraId="219BB6AB" w14:textId="77777777" w:rsidR="0042033D" w:rsidRDefault="00000000">
            <w:pPr>
              <w:spacing w:line="232" w:lineRule="auto"/>
              <w:jc w:val="center"/>
              <w:rPr>
                <w:sz w:val="24"/>
                <w:szCs w:val="24"/>
              </w:rPr>
            </w:pPr>
            <w:r>
              <w:rPr>
                <w:b/>
                <w:bCs/>
                <w:color w:val="FFFFFF"/>
                <w:sz w:val="24"/>
                <w:szCs w:val="24"/>
              </w:rPr>
              <w:t>Étape</w:t>
            </w:r>
          </w:p>
        </w:tc>
        <w:tc>
          <w:tcPr>
            <w:tcW w:w="600" w:type="pct"/>
            <w:shd w:val="clear" w:color="auto" w:fill="D4875A"/>
            <w:tcMar>
              <w:top w:w="36" w:type="dxa"/>
              <w:left w:w="80" w:type="dxa"/>
              <w:bottom w:w="36" w:type="dxa"/>
              <w:right w:w="80" w:type="dxa"/>
            </w:tcMar>
            <w:vAlign w:val="center"/>
          </w:tcPr>
          <w:p w14:paraId="6DBB77AA" w14:textId="77777777" w:rsidR="0042033D" w:rsidRDefault="00000000">
            <w:pPr>
              <w:spacing w:line="232" w:lineRule="auto"/>
              <w:jc w:val="center"/>
              <w:rPr>
                <w:sz w:val="24"/>
                <w:szCs w:val="24"/>
              </w:rPr>
            </w:pPr>
            <w:r>
              <w:rPr>
                <w:b/>
                <w:bCs/>
                <w:color w:val="FFFFFF"/>
                <w:sz w:val="24"/>
                <w:szCs w:val="24"/>
              </w:rPr>
              <w:t>Année</w:t>
            </w:r>
          </w:p>
        </w:tc>
        <w:tc>
          <w:tcPr>
            <w:tcW w:w="1400" w:type="pct"/>
            <w:shd w:val="clear" w:color="auto" w:fill="D4875A"/>
            <w:tcMar>
              <w:top w:w="36" w:type="dxa"/>
              <w:left w:w="80" w:type="dxa"/>
              <w:bottom w:w="36" w:type="dxa"/>
              <w:right w:w="80" w:type="dxa"/>
            </w:tcMar>
            <w:vAlign w:val="center"/>
          </w:tcPr>
          <w:p w14:paraId="4BEAA1C7" w14:textId="77777777" w:rsidR="0042033D" w:rsidRDefault="00000000">
            <w:pPr>
              <w:spacing w:line="232" w:lineRule="auto"/>
              <w:jc w:val="center"/>
              <w:rPr>
                <w:sz w:val="24"/>
                <w:szCs w:val="24"/>
              </w:rPr>
            </w:pPr>
            <w:r>
              <w:rPr>
                <w:b/>
                <w:bCs/>
                <w:color w:val="FFFFFF"/>
                <w:sz w:val="24"/>
                <w:szCs w:val="24"/>
              </w:rPr>
              <w:t>Instrument / montant</w:t>
            </w:r>
          </w:p>
        </w:tc>
        <w:tc>
          <w:tcPr>
            <w:tcW w:w="650" w:type="pct"/>
            <w:shd w:val="clear" w:color="auto" w:fill="D4875A"/>
            <w:tcMar>
              <w:top w:w="36" w:type="dxa"/>
              <w:left w:w="80" w:type="dxa"/>
              <w:bottom w:w="36" w:type="dxa"/>
              <w:right w:w="80" w:type="dxa"/>
            </w:tcMar>
            <w:vAlign w:val="center"/>
          </w:tcPr>
          <w:p w14:paraId="034D343A" w14:textId="77777777" w:rsidR="0042033D" w:rsidRDefault="00000000">
            <w:pPr>
              <w:spacing w:line="232" w:lineRule="auto"/>
              <w:jc w:val="center"/>
              <w:rPr>
                <w:sz w:val="24"/>
                <w:szCs w:val="24"/>
              </w:rPr>
            </w:pPr>
            <w:r>
              <w:rPr>
                <w:b/>
                <w:bCs/>
                <w:color w:val="FFFFFF"/>
                <w:sz w:val="24"/>
                <w:szCs w:val="24"/>
              </w:rPr>
              <w:t>Capacité/mois</w:t>
            </w:r>
          </w:p>
        </w:tc>
        <w:tc>
          <w:tcPr>
            <w:tcW w:w="650" w:type="pct"/>
            <w:shd w:val="clear" w:color="auto" w:fill="D4875A"/>
            <w:tcMar>
              <w:top w:w="36" w:type="dxa"/>
              <w:left w:w="80" w:type="dxa"/>
              <w:bottom w:w="36" w:type="dxa"/>
              <w:right w:w="80" w:type="dxa"/>
            </w:tcMar>
            <w:vAlign w:val="center"/>
          </w:tcPr>
          <w:p w14:paraId="43D93BE2" w14:textId="77777777" w:rsidR="0042033D" w:rsidRDefault="00000000">
            <w:pPr>
              <w:spacing w:line="232" w:lineRule="auto"/>
              <w:jc w:val="center"/>
              <w:rPr>
                <w:sz w:val="24"/>
                <w:szCs w:val="24"/>
              </w:rPr>
            </w:pPr>
            <w:r>
              <w:rPr>
                <w:b/>
                <w:bCs/>
                <w:color w:val="FFFFFF"/>
                <w:sz w:val="24"/>
                <w:szCs w:val="24"/>
              </w:rPr>
              <w:t>EBITDA cible</w:t>
            </w:r>
          </w:p>
        </w:tc>
        <w:tc>
          <w:tcPr>
            <w:tcW w:w="700" w:type="pct"/>
            <w:shd w:val="clear" w:color="auto" w:fill="D4875A"/>
            <w:tcMar>
              <w:top w:w="36" w:type="dxa"/>
              <w:left w:w="80" w:type="dxa"/>
              <w:bottom w:w="36" w:type="dxa"/>
              <w:right w:w="80" w:type="dxa"/>
            </w:tcMar>
            <w:vAlign w:val="center"/>
          </w:tcPr>
          <w:p w14:paraId="7FDB2A63" w14:textId="77777777" w:rsidR="0042033D" w:rsidRDefault="00000000">
            <w:pPr>
              <w:spacing w:line="232" w:lineRule="auto"/>
              <w:jc w:val="center"/>
              <w:rPr>
                <w:sz w:val="24"/>
                <w:szCs w:val="24"/>
              </w:rPr>
            </w:pPr>
            <w:r>
              <w:rPr>
                <w:b/>
                <w:bCs/>
                <w:color w:val="FFFFFF"/>
                <w:sz w:val="24"/>
                <w:szCs w:val="24"/>
              </w:rPr>
              <w:t>Effectifs (ETP)</w:t>
            </w:r>
          </w:p>
        </w:tc>
      </w:tr>
      <w:tr w:rsidR="0042033D" w14:paraId="58150463" w14:textId="77777777">
        <w:trPr>
          <w:cantSplit/>
        </w:trPr>
        <w:tc>
          <w:tcPr>
            <w:tcW w:w="1000" w:type="pct"/>
            <w:tcMar>
              <w:top w:w="28" w:type="dxa"/>
              <w:left w:w="80" w:type="dxa"/>
              <w:bottom w:w="28" w:type="dxa"/>
              <w:right w:w="80" w:type="dxa"/>
            </w:tcMar>
            <w:vAlign w:val="center"/>
          </w:tcPr>
          <w:p w14:paraId="1B8E8C71" w14:textId="77777777" w:rsidR="0042033D" w:rsidRDefault="00000000">
            <w:pPr>
              <w:spacing w:line="232" w:lineRule="auto"/>
              <w:rPr>
                <w:sz w:val="24"/>
                <w:szCs w:val="24"/>
              </w:rPr>
            </w:pPr>
            <w:r>
              <w:rPr>
                <w:b/>
                <w:bCs/>
                <w:sz w:val="24"/>
                <w:szCs w:val="24"/>
              </w:rPr>
              <w:t>Palier 1 (financement sollicité)</w:t>
            </w:r>
          </w:p>
        </w:tc>
        <w:tc>
          <w:tcPr>
            <w:tcW w:w="600" w:type="pct"/>
            <w:tcMar>
              <w:top w:w="28" w:type="dxa"/>
              <w:left w:w="80" w:type="dxa"/>
              <w:bottom w:w="28" w:type="dxa"/>
              <w:right w:w="80" w:type="dxa"/>
            </w:tcMar>
            <w:vAlign w:val="center"/>
          </w:tcPr>
          <w:p w14:paraId="46AE8BF0" w14:textId="77777777" w:rsidR="0042033D" w:rsidRDefault="00000000">
            <w:pPr>
              <w:spacing w:line="232" w:lineRule="auto"/>
              <w:jc w:val="center"/>
              <w:rPr>
                <w:sz w:val="24"/>
                <w:szCs w:val="24"/>
              </w:rPr>
            </w:pPr>
            <w:r>
              <w:rPr>
                <w:b/>
                <w:bCs/>
                <w:sz w:val="24"/>
                <w:szCs w:val="24"/>
              </w:rPr>
              <w:t>2026</w:t>
            </w:r>
          </w:p>
        </w:tc>
        <w:tc>
          <w:tcPr>
            <w:tcW w:w="1400" w:type="pct"/>
            <w:tcMar>
              <w:top w:w="28" w:type="dxa"/>
              <w:left w:w="80" w:type="dxa"/>
              <w:bottom w:w="28" w:type="dxa"/>
              <w:right w:w="80" w:type="dxa"/>
            </w:tcMar>
            <w:vAlign w:val="center"/>
          </w:tcPr>
          <w:p w14:paraId="313B5B91" w14:textId="77777777" w:rsidR="0042033D" w:rsidRDefault="00000000">
            <w:pPr>
              <w:spacing w:line="232" w:lineRule="auto"/>
              <w:rPr>
                <w:sz w:val="24"/>
                <w:szCs w:val="24"/>
              </w:rPr>
            </w:pPr>
            <w:r>
              <w:rPr>
                <w:b/>
                <w:bCs/>
                <w:sz w:val="24"/>
                <w:szCs w:val="24"/>
              </w:rPr>
              <w:t>Financement catalytique — 50 K $</w:t>
            </w:r>
          </w:p>
        </w:tc>
        <w:tc>
          <w:tcPr>
            <w:tcW w:w="650" w:type="pct"/>
            <w:tcMar>
              <w:top w:w="28" w:type="dxa"/>
              <w:left w:w="80" w:type="dxa"/>
              <w:bottom w:w="28" w:type="dxa"/>
              <w:right w:w="80" w:type="dxa"/>
            </w:tcMar>
            <w:vAlign w:val="center"/>
          </w:tcPr>
          <w:p w14:paraId="4D349A4C" w14:textId="77777777" w:rsidR="0042033D" w:rsidRDefault="00000000">
            <w:pPr>
              <w:spacing w:line="232" w:lineRule="auto"/>
              <w:jc w:val="center"/>
              <w:rPr>
                <w:sz w:val="24"/>
                <w:szCs w:val="24"/>
              </w:rPr>
            </w:pPr>
            <w:r>
              <w:rPr>
                <w:b/>
                <w:bCs/>
                <w:sz w:val="24"/>
                <w:szCs w:val="24"/>
              </w:rPr>
              <w:t>18-22 T</w:t>
            </w:r>
          </w:p>
        </w:tc>
        <w:tc>
          <w:tcPr>
            <w:tcW w:w="650" w:type="pct"/>
            <w:tcMar>
              <w:top w:w="28" w:type="dxa"/>
              <w:left w:w="80" w:type="dxa"/>
              <w:bottom w:w="28" w:type="dxa"/>
              <w:right w:w="80" w:type="dxa"/>
            </w:tcMar>
            <w:vAlign w:val="center"/>
          </w:tcPr>
          <w:p w14:paraId="76104087" w14:textId="77777777" w:rsidR="0042033D" w:rsidRDefault="00000000">
            <w:pPr>
              <w:spacing w:line="232" w:lineRule="auto"/>
              <w:jc w:val="center"/>
              <w:rPr>
                <w:sz w:val="24"/>
                <w:szCs w:val="24"/>
              </w:rPr>
            </w:pPr>
            <w:r>
              <w:rPr>
                <w:b/>
                <w:bCs/>
                <w:sz w:val="24"/>
                <w:szCs w:val="24"/>
              </w:rPr>
              <w:t>15 K $</w:t>
            </w:r>
          </w:p>
        </w:tc>
        <w:tc>
          <w:tcPr>
            <w:tcW w:w="700" w:type="pct"/>
            <w:tcMar>
              <w:top w:w="28" w:type="dxa"/>
              <w:left w:w="80" w:type="dxa"/>
              <w:bottom w:w="28" w:type="dxa"/>
              <w:right w:w="80" w:type="dxa"/>
            </w:tcMar>
            <w:vAlign w:val="center"/>
          </w:tcPr>
          <w:p w14:paraId="688882F6" w14:textId="77777777" w:rsidR="0042033D" w:rsidRDefault="00000000">
            <w:pPr>
              <w:spacing w:line="232" w:lineRule="auto"/>
              <w:jc w:val="center"/>
              <w:rPr>
                <w:sz w:val="24"/>
                <w:szCs w:val="24"/>
              </w:rPr>
            </w:pPr>
            <w:r>
              <w:rPr>
                <w:b/>
                <w:bCs/>
                <w:sz w:val="24"/>
                <w:szCs w:val="24"/>
              </w:rPr>
              <w:t>19</w:t>
            </w:r>
          </w:p>
        </w:tc>
      </w:tr>
      <w:tr w:rsidR="0042033D" w14:paraId="34B6B65E" w14:textId="77777777">
        <w:trPr>
          <w:cantSplit/>
        </w:trPr>
        <w:tc>
          <w:tcPr>
            <w:tcW w:w="1000" w:type="pct"/>
            <w:tcMar>
              <w:top w:w="28" w:type="dxa"/>
              <w:left w:w="80" w:type="dxa"/>
              <w:bottom w:w="28" w:type="dxa"/>
              <w:right w:w="80" w:type="dxa"/>
            </w:tcMar>
            <w:vAlign w:val="center"/>
          </w:tcPr>
          <w:p w14:paraId="39562ED2" w14:textId="77777777" w:rsidR="0042033D" w:rsidRDefault="00000000">
            <w:pPr>
              <w:spacing w:line="232" w:lineRule="auto"/>
              <w:rPr>
                <w:sz w:val="24"/>
                <w:szCs w:val="24"/>
              </w:rPr>
            </w:pPr>
            <w:r>
              <w:rPr>
                <w:b/>
                <w:bCs/>
                <w:sz w:val="24"/>
                <w:szCs w:val="24"/>
              </w:rPr>
              <w:t>Palier 2 (scale-up)</w:t>
            </w:r>
          </w:p>
        </w:tc>
        <w:tc>
          <w:tcPr>
            <w:tcW w:w="600" w:type="pct"/>
            <w:tcMar>
              <w:top w:w="28" w:type="dxa"/>
              <w:left w:w="80" w:type="dxa"/>
              <w:bottom w:w="28" w:type="dxa"/>
              <w:right w:w="80" w:type="dxa"/>
            </w:tcMar>
            <w:vAlign w:val="center"/>
          </w:tcPr>
          <w:p w14:paraId="3A4EF47F" w14:textId="77777777" w:rsidR="0042033D" w:rsidRDefault="00000000">
            <w:pPr>
              <w:spacing w:line="232" w:lineRule="auto"/>
              <w:jc w:val="center"/>
              <w:rPr>
                <w:sz w:val="24"/>
                <w:szCs w:val="24"/>
              </w:rPr>
            </w:pPr>
            <w:r>
              <w:rPr>
                <w:b/>
                <w:bCs/>
                <w:sz w:val="24"/>
                <w:szCs w:val="24"/>
              </w:rPr>
              <w:t>2027-2028</w:t>
            </w:r>
          </w:p>
        </w:tc>
        <w:tc>
          <w:tcPr>
            <w:tcW w:w="1400" w:type="pct"/>
            <w:tcMar>
              <w:top w:w="28" w:type="dxa"/>
              <w:left w:w="80" w:type="dxa"/>
              <w:bottom w:w="28" w:type="dxa"/>
              <w:right w:w="80" w:type="dxa"/>
            </w:tcMar>
            <w:vAlign w:val="center"/>
          </w:tcPr>
          <w:p w14:paraId="02068D8C" w14:textId="77777777" w:rsidR="0042033D" w:rsidRDefault="00000000">
            <w:pPr>
              <w:spacing w:line="232" w:lineRule="auto"/>
              <w:rPr>
                <w:sz w:val="24"/>
                <w:szCs w:val="24"/>
              </w:rPr>
            </w:pPr>
            <w:r>
              <w:rPr>
                <w:b/>
                <w:bCs/>
                <w:sz w:val="24"/>
                <w:szCs w:val="24"/>
              </w:rPr>
              <w:t>Prêt à impact / subvention scale-up — 200 à 500 K $</w:t>
            </w:r>
          </w:p>
        </w:tc>
        <w:tc>
          <w:tcPr>
            <w:tcW w:w="650" w:type="pct"/>
            <w:tcMar>
              <w:top w:w="28" w:type="dxa"/>
              <w:left w:w="80" w:type="dxa"/>
              <w:bottom w:w="28" w:type="dxa"/>
              <w:right w:w="80" w:type="dxa"/>
            </w:tcMar>
            <w:vAlign w:val="center"/>
          </w:tcPr>
          <w:p w14:paraId="5070EC6E" w14:textId="77777777" w:rsidR="0042033D" w:rsidRDefault="00000000">
            <w:pPr>
              <w:spacing w:line="232" w:lineRule="auto"/>
              <w:jc w:val="center"/>
              <w:rPr>
                <w:sz w:val="24"/>
                <w:szCs w:val="24"/>
              </w:rPr>
            </w:pPr>
            <w:r>
              <w:rPr>
                <w:b/>
                <w:bCs/>
                <w:sz w:val="24"/>
                <w:szCs w:val="24"/>
              </w:rPr>
              <w:t>26-36 T</w:t>
            </w:r>
          </w:p>
        </w:tc>
        <w:tc>
          <w:tcPr>
            <w:tcW w:w="650" w:type="pct"/>
            <w:tcMar>
              <w:top w:w="28" w:type="dxa"/>
              <w:left w:w="80" w:type="dxa"/>
              <w:bottom w:w="28" w:type="dxa"/>
              <w:right w:w="80" w:type="dxa"/>
            </w:tcMar>
            <w:vAlign w:val="center"/>
          </w:tcPr>
          <w:p w14:paraId="172B1720" w14:textId="77777777" w:rsidR="0042033D" w:rsidRDefault="00000000">
            <w:pPr>
              <w:spacing w:line="232" w:lineRule="auto"/>
              <w:jc w:val="center"/>
              <w:rPr>
                <w:sz w:val="24"/>
                <w:szCs w:val="24"/>
              </w:rPr>
            </w:pPr>
            <w:r>
              <w:rPr>
                <w:b/>
                <w:bCs/>
                <w:sz w:val="24"/>
                <w:szCs w:val="24"/>
              </w:rPr>
              <w:t>34-62 K $</w:t>
            </w:r>
          </w:p>
        </w:tc>
        <w:tc>
          <w:tcPr>
            <w:tcW w:w="700" w:type="pct"/>
            <w:tcMar>
              <w:top w:w="28" w:type="dxa"/>
              <w:left w:w="80" w:type="dxa"/>
              <w:bottom w:w="28" w:type="dxa"/>
              <w:right w:w="80" w:type="dxa"/>
            </w:tcMar>
            <w:vAlign w:val="center"/>
          </w:tcPr>
          <w:p w14:paraId="6B22E4F7" w14:textId="77777777" w:rsidR="0042033D" w:rsidRDefault="00000000">
            <w:pPr>
              <w:spacing w:line="232" w:lineRule="auto"/>
              <w:jc w:val="center"/>
              <w:rPr>
                <w:sz w:val="24"/>
                <w:szCs w:val="24"/>
              </w:rPr>
            </w:pPr>
            <w:r>
              <w:rPr>
                <w:b/>
                <w:bCs/>
                <w:sz w:val="24"/>
                <w:szCs w:val="24"/>
              </w:rPr>
              <w:t>26-34</w:t>
            </w:r>
          </w:p>
        </w:tc>
      </w:tr>
      <w:tr w:rsidR="0042033D" w14:paraId="28610DD4" w14:textId="77777777">
        <w:trPr>
          <w:cantSplit/>
        </w:trPr>
        <w:tc>
          <w:tcPr>
            <w:tcW w:w="1000" w:type="pct"/>
            <w:tcMar>
              <w:top w:w="28" w:type="dxa"/>
              <w:left w:w="80" w:type="dxa"/>
              <w:bottom w:w="28" w:type="dxa"/>
              <w:right w:w="80" w:type="dxa"/>
            </w:tcMar>
            <w:vAlign w:val="center"/>
          </w:tcPr>
          <w:p w14:paraId="607EF782" w14:textId="77777777" w:rsidR="0042033D" w:rsidRDefault="00000000">
            <w:pPr>
              <w:spacing w:line="232" w:lineRule="auto"/>
              <w:rPr>
                <w:sz w:val="24"/>
                <w:szCs w:val="24"/>
              </w:rPr>
            </w:pPr>
            <w:r>
              <w:rPr>
                <w:b/>
                <w:bCs/>
                <w:sz w:val="24"/>
                <w:szCs w:val="24"/>
              </w:rPr>
              <w:t>Palier 3 (industriel)</w:t>
            </w:r>
          </w:p>
        </w:tc>
        <w:tc>
          <w:tcPr>
            <w:tcW w:w="600" w:type="pct"/>
            <w:tcMar>
              <w:top w:w="28" w:type="dxa"/>
              <w:left w:w="80" w:type="dxa"/>
              <w:bottom w:w="28" w:type="dxa"/>
              <w:right w:w="80" w:type="dxa"/>
            </w:tcMar>
            <w:vAlign w:val="center"/>
          </w:tcPr>
          <w:p w14:paraId="01EA1B62" w14:textId="77777777" w:rsidR="0042033D" w:rsidRDefault="00000000">
            <w:pPr>
              <w:spacing w:line="232" w:lineRule="auto"/>
              <w:jc w:val="center"/>
              <w:rPr>
                <w:sz w:val="24"/>
                <w:szCs w:val="24"/>
              </w:rPr>
            </w:pPr>
            <w:r>
              <w:rPr>
                <w:b/>
                <w:bCs/>
                <w:sz w:val="24"/>
                <w:szCs w:val="24"/>
              </w:rPr>
              <w:t>2028-2029</w:t>
            </w:r>
          </w:p>
        </w:tc>
        <w:tc>
          <w:tcPr>
            <w:tcW w:w="1400" w:type="pct"/>
            <w:tcMar>
              <w:top w:w="28" w:type="dxa"/>
              <w:left w:w="80" w:type="dxa"/>
              <w:bottom w:w="28" w:type="dxa"/>
              <w:right w:w="80" w:type="dxa"/>
            </w:tcMar>
            <w:vAlign w:val="center"/>
          </w:tcPr>
          <w:p w14:paraId="0D293A53" w14:textId="77777777" w:rsidR="0042033D" w:rsidRDefault="00000000">
            <w:pPr>
              <w:spacing w:line="232" w:lineRule="auto"/>
              <w:rPr>
                <w:sz w:val="24"/>
                <w:szCs w:val="24"/>
              </w:rPr>
            </w:pPr>
            <w:r>
              <w:rPr>
                <w:b/>
                <w:bCs/>
                <w:sz w:val="24"/>
                <w:szCs w:val="24"/>
              </w:rPr>
              <w:t>Dette mezzanine verte — 1 à 3 M $</w:t>
            </w:r>
          </w:p>
        </w:tc>
        <w:tc>
          <w:tcPr>
            <w:tcW w:w="650" w:type="pct"/>
            <w:tcMar>
              <w:top w:w="28" w:type="dxa"/>
              <w:left w:w="80" w:type="dxa"/>
              <w:bottom w:w="28" w:type="dxa"/>
              <w:right w:w="80" w:type="dxa"/>
            </w:tcMar>
            <w:vAlign w:val="center"/>
          </w:tcPr>
          <w:p w14:paraId="01AF2CB8" w14:textId="77777777" w:rsidR="0042033D" w:rsidRDefault="00000000">
            <w:pPr>
              <w:spacing w:line="232" w:lineRule="auto"/>
              <w:jc w:val="center"/>
              <w:rPr>
                <w:sz w:val="24"/>
                <w:szCs w:val="24"/>
              </w:rPr>
            </w:pPr>
            <w:r>
              <w:rPr>
                <w:b/>
                <w:bCs/>
                <w:sz w:val="24"/>
                <w:szCs w:val="24"/>
              </w:rPr>
              <w:t>46 T</w:t>
            </w:r>
          </w:p>
        </w:tc>
        <w:tc>
          <w:tcPr>
            <w:tcW w:w="650" w:type="pct"/>
            <w:tcMar>
              <w:top w:w="28" w:type="dxa"/>
              <w:left w:w="80" w:type="dxa"/>
              <w:bottom w:w="28" w:type="dxa"/>
              <w:right w:w="80" w:type="dxa"/>
            </w:tcMar>
            <w:vAlign w:val="center"/>
          </w:tcPr>
          <w:p w14:paraId="3853398B" w14:textId="77777777" w:rsidR="0042033D" w:rsidRDefault="00000000">
            <w:pPr>
              <w:spacing w:line="232" w:lineRule="auto"/>
              <w:jc w:val="center"/>
              <w:rPr>
                <w:sz w:val="24"/>
                <w:szCs w:val="24"/>
              </w:rPr>
            </w:pPr>
            <w:r>
              <w:rPr>
                <w:b/>
                <w:bCs/>
                <w:sz w:val="24"/>
                <w:szCs w:val="24"/>
              </w:rPr>
              <w:t>97 K $</w:t>
            </w:r>
          </w:p>
        </w:tc>
        <w:tc>
          <w:tcPr>
            <w:tcW w:w="700" w:type="pct"/>
            <w:tcMar>
              <w:top w:w="28" w:type="dxa"/>
              <w:left w:w="80" w:type="dxa"/>
              <w:bottom w:w="28" w:type="dxa"/>
              <w:right w:w="80" w:type="dxa"/>
            </w:tcMar>
            <w:vAlign w:val="center"/>
          </w:tcPr>
          <w:p w14:paraId="6BD3689C" w14:textId="77777777" w:rsidR="0042033D" w:rsidRDefault="00000000">
            <w:pPr>
              <w:spacing w:line="232" w:lineRule="auto"/>
              <w:jc w:val="center"/>
              <w:rPr>
                <w:sz w:val="24"/>
                <w:szCs w:val="24"/>
              </w:rPr>
            </w:pPr>
            <w:r>
              <w:rPr>
                <w:b/>
                <w:bCs/>
                <w:sz w:val="24"/>
                <w:szCs w:val="24"/>
              </w:rPr>
              <w:t>43</w:t>
            </w:r>
          </w:p>
        </w:tc>
      </w:tr>
      <w:tr w:rsidR="0042033D" w14:paraId="12944EDA" w14:textId="77777777">
        <w:trPr>
          <w:cantSplit/>
        </w:trPr>
        <w:tc>
          <w:tcPr>
            <w:tcW w:w="1000" w:type="pct"/>
            <w:tcMar>
              <w:top w:w="28" w:type="dxa"/>
              <w:left w:w="80" w:type="dxa"/>
              <w:bottom w:w="28" w:type="dxa"/>
              <w:right w:w="80" w:type="dxa"/>
            </w:tcMar>
            <w:vAlign w:val="center"/>
          </w:tcPr>
          <w:p w14:paraId="2E5C39E2" w14:textId="77777777" w:rsidR="0042033D" w:rsidRDefault="00000000">
            <w:pPr>
              <w:spacing w:line="232" w:lineRule="auto"/>
              <w:rPr>
                <w:sz w:val="24"/>
                <w:szCs w:val="24"/>
              </w:rPr>
            </w:pPr>
            <w:r>
              <w:rPr>
                <w:b/>
                <w:bCs/>
                <w:sz w:val="24"/>
                <w:szCs w:val="24"/>
              </w:rPr>
              <w:t>Palier 4 (autonomie)</w:t>
            </w:r>
          </w:p>
        </w:tc>
        <w:tc>
          <w:tcPr>
            <w:tcW w:w="600" w:type="pct"/>
            <w:tcMar>
              <w:top w:w="28" w:type="dxa"/>
              <w:left w:w="80" w:type="dxa"/>
              <w:bottom w:w="28" w:type="dxa"/>
              <w:right w:w="80" w:type="dxa"/>
            </w:tcMar>
            <w:vAlign w:val="center"/>
          </w:tcPr>
          <w:p w14:paraId="232571F6" w14:textId="77777777" w:rsidR="0042033D" w:rsidRDefault="00000000">
            <w:pPr>
              <w:spacing w:line="232" w:lineRule="auto"/>
              <w:jc w:val="center"/>
              <w:rPr>
                <w:sz w:val="24"/>
                <w:szCs w:val="24"/>
              </w:rPr>
            </w:pPr>
            <w:r>
              <w:rPr>
                <w:b/>
                <w:bCs/>
                <w:sz w:val="24"/>
                <w:szCs w:val="24"/>
              </w:rPr>
              <w:t>2030 et au-delà</w:t>
            </w:r>
          </w:p>
        </w:tc>
        <w:tc>
          <w:tcPr>
            <w:tcW w:w="1400" w:type="pct"/>
            <w:tcMar>
              <w:top w:w="28" w:type="dxa"/>
              <w:left w:w="80" w:type="dxa"/>
              <w:bottom w:w="28" w:type="dxa"/>
              <w:right w:w="80" w:type="dxa"/>
            </w:tcMar>
            <w:vAlign w:val="center"/>
          </w:tcPr>
          <w:p w14:paraId="6E91C28E" w14:textId="77777777" w:rsidR="0042033D" w:rsidRDefault="00000000">
            <w:pPr>
              <w:spacing w:line="232" w:lineRule="auto"/>
              <w:rPr>
                <w:sz w:val="24"/>
                <w:szCs w:val="24"/>
              </w:rPr>
            </w:pPr>
            <w:r>
              <w:rPr>
                <w:b/>
                <w:bCs/>
                <w:sz w:val="24"/>
                <w:szCs w:val="24"/>
              </w:rPr>
              <w:t>Autofinancement et dette bancaire classique</w:t>
            </w:r>
          </w:p>
        </w:tc>
        <w:tc>
          <w:tcPr>
            <w:tcW w:w="650" w:type="pct"/>
            <w:tcMar>
              <w:top w:w="28" w:type="dxa"/>
              <w:left w:w="80" w:type="dxa"/>
              <w:bottom w:w="28" w:type="dxa"/>
              <w:right w:w="80" w:type="dxa"/>
            </w:tcMar>
            <w:vAlign w:val="center"/>
          </w:tcPr>
          <w:p w14:paraId="68E1B9C5" w14:textId="77777777" w:rsidR="0042033D" w:rsidRDefault="00000000">
            <w:pPr>
              <w:spacing w:line="232" w:lineRule="auto"/>
              <w:jc w:val="center"/>
              <w:rPr>
                <w:sz w:val="24"/>
                <w:szCs w:val="24"/>
              </w:rPr>
            </w:pPr>
            <w:r>
              <w:rPr>
                <w:b/>
                <w:bCs/>
                <w:sz w:val="24"/>
                <w:szCs w:val="24"/>
              </w:rPr>
              <w:t>56 T</w:t>
            </w:r>
          </w:p>
        </w:tc>
        <w:tc>
          <w:tcPr>
            <w:tcW w:w="650" w:type="pct"/>
            <w:tcMar>
              <w:top w:w="28" w:type="dxa"/>
              <w:left w:w="80" w:type="dxa"/>
              <w:bottom w:w="28" w:type="dxa"/>
              <w:right w:w="80" w:type="dxa"/>
            </w:tcMar>
            <w:vAlign w:val="center"/>
          </w:tcPr>
          <w:p w14:paraId="36A0A1E5" w14:textId="77777777" w:rsidR="0042033D" w:rsidRDefault="00000000">
            <w:pPr>
              <w:spacing w:line="232" w:lineRule="auto"/>
              <w:jc w:val="center"/>
              <w:rPr>
                <w:sz w:val="24"/>
                <w:szCs w:val="24"/>
              </w:rPr>
            </w:pPr>
            <w:r>
              <w:rPr>
                <w:b/>
                <w:bCs/>
                <w:sz w:val="24"/>
                <w:szCs w:val="24"/>
              </w:rPr>
              <w:t>139 K $</w:t>
            </w:r>
          </w:p>
        </w:tc>
        <w:tc>
          <w:tcPr>
            <w:tcW w:w="700" w:type="pct"/>
            <w:tcMar>
              <w:top w:w="28" w:type="dxa"/>
              <w:left w:w="80" w:type="dxa"/>
              <w:bottom w:w="28" w:type="dxa"/>
              <w:right w:w="80" w:type="dxa"/>
            </w:tcMar>
            <w:vAlign w:val="center"/>
          </w:tcPr>
          <w:p w14:paraId="4B6F942D" w14:textId="77777777" w:rsidR="0042033D" w:rsidRDefault="00000000">
            <w:pPr>
              <w:spacing w:line="232" w:lineRule="auto"/>
              <w:jc w:val="center"/>
              <w:rPr>
                <w:sz w:val="24"/>
                <w:szCs w:val="24"/>
              </w:rPr>
            </w:pPr>
            <w:r>
              <w:rPr>
                <w:b/>
                <w:bCs/>
                <w:sz w:val="24"/>
                <w:szCs w:val="24"/>
              </w:rPr>
              <w:t>52</w:t>
            </w:r>
          </w:p>
        </w:tc>
      </w:tr>
    </w:tbl>
    <w:p w14:paraId="5EA1C621" w14:textId="77777777" w:rsidR="0042033D" w:rsidRDefault="00000000">
      <w:pPr>
        <w:pStyle w:val="Heading2"/>
        <w:spacing w:before="150" w:after="60"/>
        <w:rPr>
          <w:rFonts w:ascii="Times New Roman" w:hAnsi="Times New Roman"/>
        </w:rPr>
      </w:pPr>
      <w:bookmarkStart w:id="84" w:name="_Toc100084"/>
      <w:r>
        <w:rPr>
          <w:rFonts w:ascii="Times New Roman" w:hAnsi="Times New Roman"/>
        </w:rPr>
        <w:t>20.2 Logique économique du ticket catalytique de 50 000 $</w:t>
      </w:r>
      <w:bookmarkEnd w:id="84"/>
    </w:p>
    <w:p w14:paraId="7F3ABE05" w14:textId="77777777" w:rsidR="0042033D" w:rsidRDefault="00000000">
      <w:pPr>
        <w:spacing w:after="60"/>
        <w:jc w:val="both"/>
        <w:rPr>
          <w:sz w:val="24"/>
          <w:szCs w:val="24"/>
        </w:rPr>
      </w:pPr>
      <w:r>
        <w:rPr>
          <w:sz w:val="24"/>
          <w:szCs w:val="24"/>
        </w:rPr>
        <w:t xml:space="preserve">Le montant de 50 000 $ a été déterminé par une logique ascendante, à partir des besoins opérationnels du palier 1, puis éprouvé contre les vulnérabilités identifiées en gestion des risques. La pondération retenue accorde une priorité explicite au fonds de roulement — poste le plus sous-dimensionné historiquement au regard du cycle réel de paiement institutionnel, </w:t>
      </w:r>
      <w:r>
        <w:rPr>
          <w:sz w:val="24"/>
          <w:szCs w:val="24"/>
        </w:rPr>
        <w:lastRenderedPageBreak/>
        <w:t>désormais calibré sur un délai FDA à 120 jours — et à la contingence, portée pour faire face aux aléas d'installation et à la première urgence climatique. À enveloppe constante, le financement de ces deux postes a été assuré par redéploiement partiel des postes d'équipement (optimisation des devis après comparaison de deux fournisseurs par équipement, décalage d'une partie des bacs d'élevage sur l'autofinancement 2026) et par le maintien intégral du poste commercial B2B, cohérent avec l'objectif de diversification accélérée.</w:t>
      </w:r>
    </w:p>
    <w:p w14:paraId="0B98C473" w14:textId="77777777" w:rsidR="0042033D" w:rsidRDefault="00000000">
      <w:pPr>
        <w:spacing w:before="80" w:after="30"/>
        <w:jc w:val="center"/>
        <w:rPr>
          <w:sz w:val="24"/>
          <w:szCs w:val="24"/>
        </w:rPr>
      </w:pPr>
      <w:r>
        <w:rPr>
          <w:noProof/>
          <w:sz w:val="24"/>
          <w:szCs w:val="24"/>
        </w:rPr>
        <w:drawing>
          <wp:anchor distT="0" distB="0" distL="114300" distR="114300" simplePos="0" relativeHeight="251667456" behindDoc="0" locked="0" layoutInCell="1" allowOverlap="1" wp14:anchorId="56A46AC9" wp14:editId="5920B0DB">
            <wp:simplePos x="0" y="0"/>
            <wp:positionH relativeFrom="column">
              <wp:posOffset>7620</wp:posOffset>
            </wp:positionH>
            <wp:positionV relativeFrom="paragraph">
              <wp:posOffset>0</wp:posOffset>
            </wp:positionV>
            <wp:extent cx="5791200" cy="2804160"/>
            <wp:effectExtent l="0" t="0" r="0" b="0"/>
            <wp:wrapTopAndBottom/>
            <wp:docPr id="8" name="Picture 8" descr="Illustration du Business Plan Bio Source Farm — élément graphique 8" title="Graphique ou illustr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1200" cy="2804160"/>
                    </a:xfrm>
                    <a:prstGeom prst="rect">
                      <a:avLst/>
                    </a:prstGeom>
                  </pic:spPr>
                </pic:pic>
              </a:graphicData>
            </a:graphic>
            <wp14:sizeRelH relativeFrom="margin">
              <wp14:pctWidth>0</wp14:pctWidth>
            </wp14:sizeRelH>
            <wp14:sizeRelV relativeFrom="margin">
              <wp14:pctHeight>0</wp14:pctHeight>
            </wp14:sizeRelV>
          </wp:anchor>
        </w:drawing>
      </w:r>
    </w:p>
    <w:p w14:paraId="7EB5225A" w14:textId="77777777" w:rsidR="0042033D" w:rsidRDefault="00000000">
      <w:pPr>
        <w:spacing w:after="140" w:line="240" w:lineRule="auto"/>
        <w:jc w:val="center"/>
        <w:rPr>
          <w:sz w:val="24"/>
          <w:szCs w:val="24"/>
        </w:rPr>
      </w:pPr>
      <w:r>
        <w:rPr>
          <w:i/>
          <w:iCs/>
          <w:color w:val="5A6472"/>
          <w:sz w:val="24"/>
          <w:szCs w:val="24"/>
        </w:rPr>
        <w:t>Figure 9 — Allocation du financement catalytique de 50 000 $ par poste d'usage (à enveloppe constante)</w:t>
      </w:r>
    </w:p>
    <w:p w14:paraId="05F3C7D7" w14:textId="77777777" w:rsidR="0042033D" w:rsidRDefault="00000000">
      <w:pPr>
        <w:pStyle w:val="Heading2"/>
        <w:spacing w:before="150" w:after="60"/>
        <w:rPr>
          <w:rFonts w:ascii="Times New Roman" w:hAnsi="Times New Roman"/>
        </w:rPr>
      </w:pPr>
      <w:bookmarkStart w:id="85" w:name="_Toc100085"/>
      <w:r>
        <w:rPr>
          <w:rFonts w:ascii="Times New Roman" w:hAnsi="Times New Roman"/>
        </w:rPr>
        <w:t>20.3 Allocation détaillée par poste</w:t>
      </w:r>
      <w:bookmarkEnd w:id="85"/>
    </w:p>
    <w:p w14:paraId="7446415E" w14:textId="77777777" w:rsidR="0042033D" w:rsidRDefault="00000000">
      <w:pPr>
        <w:keepNext/>
        <w:spacing w:before="140" w:after="50" w:line="260" w:lineRule="auto"/>
        <w:rPr>
          <w:sz w:val="24"/>
          <w:szCs w:val="24"/>
        </w:rPr>
      </w:pPr>
      <w:r>
        <w:rPr>
          <w:rFonts w:eastAsia="Arial"/>
          <w:b/>
          <w:bCs/>
          <w:color w:val="1A2330"/>
          <w:sz w:val="24"/>
          <w:szCs w:val="24"/>
        </w:rPr>
        <w:t>Tableau 14 — Allocation détaillée du financement catalytique de 50 000 $</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198"/>
        <w:gridCol w:w="916"/>
        <w:gridCol w:w="732"/>
        <w:gridCol w:w="5310"/>
      </w:tblGrid>
      <w:tr w:rsidR="0042033D" w14:paraId="40D62BE1" w14:textId="77777777">
        <w:trPr>
          <w:cantSplit/>
          <w:tblHeader/>
        </w:trPr>
        <w:tc>
          <w:tcPr>
            <w:tcW w:w="1200" w:type="pct"/>
            <w:shd w:val="clear" w:color="auto" w:fill="D4875A"/>
            <w:tcMar>
              <w:top w:w="36" w:type="dxa"/>
              <w:left w:w="80" w:type="dxa"/>
              <w:bottom w:w="36" w:type="dxa"/>
              <w:right w:w="80" w:type="dxa"/>
            </w:tcMar>
            <w:vAlign w:val="center"/>
          </w:tcPr>
          <w:p w14:paraId="4646B12E" w14:textId="77777777" w:rsidR="0042033D" w:rsidRDefault="00000000">
            <w:pPr>
              <w:spacing w:line="232" w:lineRule="auto"/>
              <w:jc w:val="center"/>
              <w:rPr>
                <w:sz w:val="24"/>
                <w:szCs w:val="24"/>
              </w:rPr>
            </w:pPr>
            <w:r>
              <w:rPr>
                <w:b/>
                <w:bCs/>
                <w:color w:val="FFFFFF"/>
                <w:sz w:val="24"/>
                <w:szCs w:val="24"/>
              </w:rPr>
              <w:t>Poste</w:t>
            </w:r>
          </w:p>
        </w:tc>
        <w:tc>
          <w:tcPr>
            <w:tcW w:w="500" w:type="pct"/>
            <w:shd w:val="clear" w:color="auto" w:fill="D4875A"/>
            <w:tcMar>
              <w:top w:w="36" w:type="dxa"/>
              <w:left w:w="80" w:type="dxa"/>
              <w:bottom w:w="36" w:type="dxa"/>
              <w:right w:w="80" w:type="dxa"/>
            </w:tcMar>
            <w:vAlign w:val="center"/>
          </w:tcPr>
          <w:p w14:paraId="2107F945" w14:textId="77777777" w:rsidR="0042033D" w:rsidRDefault="00000000">
            <w:pPr>
              <w:spacing w:line="232" w:lineRule="auto"/>
              <w:jc w:val="center"/>
              <w:rPr>
                <w:sz w:val="24"/>
                <w:szCs w:val="24"/>
              </w:rPr>
            </w:pPr>
            <w:r>
              <w:rPr>
                <w:b/>
                <w:bCs/>
                <w:color w:val="FFFFFF"/>
                <w:sz w:val="24"/>
                <w:szCs w:val="24"/>
              </w:rPr>
              <w:t>Montant ($)</w:t>
            </w:r>
          </w:p>
        </w:tc>
        <w:tc>
          <w:tcPr>
            <w:tcW w:w="400" w:type="pct"/>
            <w:shd w:val="clear" w:color="auto" w:fill="D4875A"/>
            <w:tcMar>
              <w:top w:w="36" w:type="dxa"/>
              <w:left w:w="80" w:type="dxa"/>
              <w:bottom w:w="36" w:type="dxa"/>
              <w:right w:w="80" w:type="dxa"/>
            </w:tcMar>
            <w:vAlign w:val="center"/>
          </w:tcPr>
          <w:p w14:paraId="49F29173" w14:textId="77777777" w:rsidR="0042033D" w:rsidRDefault="00000000">
            <w:pPr>
              <w:spacing w:line="232" w:lineRule="auto"/>
              <w:jc w:val="center"/>
              <w:rPr>
                <w:sz w:val="24"/>
                <w:szCs w:val="24"/>
              </w:rPr>
            </w:pPr>
            <w:r>
              <w:rPr>
                <w:b/>
                <w:bCs/>
                <w:color w:val="FFFFFF"/>
                <w:sz w:val="24"/>
                <w:szCs w:val="24"/>
              </w:rPr>
              <w:t>Part</w:t>
            </w:r>
          </w:p>
        </w:tc>
        <w:tc>
          <w:tcPr>
            <w:tcW w:w="2900" w:type="pct"/>
            <w:shd w:val="clear" w:color="auto" w:fill="D4875A"/>
            <w:tcMar>
              <w:top w:w="36" w:type="dxa"/>
              <w:left w:w="80" w:type="dxa"/>
              <w:bottom w:w="36" w:type="dxa"/>
              <w:right w:w="80" w:type="dxa"/>
            </w:tcMar>
            <w:vAlign w:val="center"/>
          </w:tcPr>
          <w:p w14:paraId="79C2CA41" w14:textId="77777777" w:rsidR="0042033D" w:rsidRDefault="00000000">
            <w:pPr>
              <w:spacing w:line="232" w:lineRule="auto"/>
              <w:jc w:val="center"/>
              <w:rPr>
                <w:sz w:val="24"/>
                <w:szCs w:val="24"/>
              </w:rPr>
            </w:pPr>
            <w:r>
              <w:rPr>
                <w:b/>
                <w:bCs/>
                <w:color w:val="FFFFFF"/>
                <w:sz w:val="24"/>
                <w:szCs w:val="24"/>
              </w:rPr>
              <w:t>Objectif opérationnel</w:t>
            </w:r>
          </w:p>
        </w:tc>
      </w:tr>
      <w:tr w:rsidR="0042033D" w14:paraId="38E2AD28" w14:textId="77777777">
        <w:trPr>
          <w:cantSplit/>
        </w:trPr>
        <w:tc>
          <w:tcPr>
            <w:tcW w:w="1200" w:type="pct"/>
            <w:tcMar>
              <w:top w:w="28" w:type="dxa"/>
              <w:left w:w="80" w:type="dxa"/>
              <w:bottom w:w="28" w:type="dxa"/>
              <w:right w:w="80" w:type="dxa"/>
            </w:tcMar>
            <w:vAlign w:val="center"/>
          </w:tcPr>
          <w:p w14:paraId="735E31C6" w14:textId="77777777" w:rsidR="0042033D" w:rsidRDefault="00000000">
            <w:pPr>
              <w:spacing w:line="232" w:lineRule="auto"/>
              <w:rPr>
                <w:sz w:val="24"/>
                <w:szCs w:val="24"/>
              </w:rPr>
            </w:pPr>
            <w:r>
              <w:rPr>
                <w:b/>
                <w:bCs/>
                <w:sz w:val="24"/>
                <w:szCs w:val="24"/>
              </w:rPr>
              <w:t>CAPEX équipements de production (dont ligne de séchage des larves)</w:t>
            </w:r>
          </w:p>
        </w:tc>
        <w:tc>
          <w:tcPr>
            <w:tcW w:w="500" w:type="pct"/>
            <w:tcMar>
              <w:top w:w="28" w:type="dxa"/>
              <w:left w:w="80" w:type="dxa"/>
              <w:bottom w:w="28" w:type="dxa"/>
              <w:right w:w="80" w:type="dxa"/>
            </w:tcMar>
            <w:vAlign w:val="center"/>
          </w:tcPr>
          <w:p w14:paraId="7FA86D5D" w14:textId="77777777" w:rsidR="0042033D" w:rsidRDefault="00000000">
            <w:pPr>
              <w:spacing w:line="232" w:lineRule="auto"/>
              <w:jc w:val="center"/>
              <w:rPr>
                <w:sz w:val="24"/>
                <w:szCs w:val="24"/>
              </w:rPr>
            </w:pPr>
            <w:r>
              <w:rPr>
                <w:b/>
                <w:bCs/>
                <w:sz w:val="24"/>
                <w:szCs w:val="24"/>
              </w:rPr>
              <w:t>9 500</w:t>
            </w:r>
          </w:p>
        </w:tc>
        <w:tc>
          <w:tcPr>
            <w:tcW w:w="400" w:type="pct"/>
            <w:tcMar>
              <w:top w:w="28" w:type="dxa"/>
              <w:left w:w="80" w:type="dxa"/>
              <w:bottom w:w="28" w:type="dxa"/>
              <w:right w:w="80" w:type="dxa"/>
            </w:tcMar>
            <w:vAlign w:val="center"/>
          </w:tcPr>
          <w:p w14:paraId="7B789379" w14:textId="77777777" w:rsidR="0042033D" w:rsidRDefault="00000000">
            <w:pPr>
              <w:spacing w:line="232" w:lineRule="auto"/>
              <w:jc w:val="center"/>
              <w:rPr>
                <w:sz w:val="24"/>
                <w:szCs w:val="24"/>
              </w:rPr>
            </w:pPr>
            <w:r>
              <w:rPr>
                <w:b/>
                <w:bCs/>
                <w:sz w:val="24"/>
                <w:szCs w:val="24"/>
              </w:rPr>
              <w:t>19 %</w:t>
            </w:r>
          </w:p>
        </w:tc>
        <w:tc>
          <w:tcPr>
            <w:tcW w:w="2900" w:type="pct"/>
            <w:tcMar>
              <w:top w:w="28" w:type="dxa"/>
              <w:left w:w="80" w:type="dxa"/>
              <w:bottom w:w="28" w:type="dxa"/>
              <w:right w:w="80" w:type="dxa"/>
            </w:tcMar>
            <w:vAlign w:val="center"/>
          </w:tcPr>
          <w:p w14:paraId="5BBE918D" w14:textId="77777777" w:rsidR="0042033D" w:rsidRDefault="00000000">
            <w:pPr>
              <w:spacing w:line="232" w:lineRule="auto"/>
              <w:rPr>
                <w:sz w:val="24"/>
                <w:szCs w:val="24"/>
              </w:rPr>
            </w:pPr>
            <w:r>
              <w:rPr>
                <w:sz w:val="24"/>
                <w:szCs w:val="24"/>
              </w:rPr>
              <w:t>Sécheurs solaires renforcés (3 500), circuit mécanique séchage-broyage larves (3 500), mélangeurs (1 500), tables et conditionnement (1 000) : industrialisation de la ligne protéines</w:t>
            </w:r>
          </w:p>
        </w:tc>
      </w:tr>
      <w:tr w:rsidR="0042033D" w14:paraId="6EED7B58" w14:textId="77777777">
        <w:trPr>
          <w:cantSplit/>
        </w:trPr>
        <w:tc>
          <w:tcPr>
            <w:tcW w:w="1200" w:type="pct"/>
            <w:tcMar>
              <w:top w:w="28" w:type="dxa"/>
              <w:left w:w="80" w:type="dxa"/>
              <w:bottom w:w="28" w:type="dxa"/>
              <w:right w:w="80" w:type="dxa"/>
            </w:tcMar>
            <w:vAlign w:val="center"/>
          </w:tcPr>
          <w:p w14:paraId="6B19B6B0" w14:textId="77777777" w:rsidR="0042033D" w:rsidRDefault="00000000">
            <w:pPr>
              <w:spacing w:line="232" w:lineRule="auto"/>
              <w:rPr>
                <w:sz w:val="24"/>
                <w:szCs w:val="24"/>
              </w:rPr>
            </w:pPr>
            <w:r>
              <w:rPr>
                <w:b/>
                <w:bCs/>
                <w:sz w:val="24"/>
                <w:szCs w:val="24"/>
              </w:rPr>
              <w:t>Expansion de la capacité de production</w:t>
            </w:r>
          </w:p>
        </w:tc>
        <w:tc>
          <w:tcPr>
            <w:tcW w:w="500" w:type="pct"/>
            <w:tcMar>
              <w:top w:w="28" w:type="dxa"/>
              <w:left w:w="80" w:type="dxa"/>
              <w:bottom w:w="28" w:type="dxa"/>
              <w:right w:w="80" w:type="dxa"/>
            </w:tcMar>
            <w:vAlign w:val="center"/>
          </w:tcPr>
          <w:p w14:paraId="54827200" w14:textId="77777777" w:rsidR="0042033D" w:rsidRDefault="00000000">
            <w:pPr>
              <w:spacing w:line="232" w:lineRule="auto"/>
              <w:jc w:val="center"/>
              <w:rPr>
                <w:sz w:val="24"/>
                <w:szCs w:val="24"/>
              </w:rPr>
            </w:pPr>
            <w:r>
              <w:rPr>
                <w:b/>
                <w:bCs/>
                <w:sz w:val="24"/>
                <w:szCs w:val="24"/>
              </w:rPr>
              <w:t>4 000</w:t>
            </w:r>
          </w:p>
        </w:tc>
        <w:tc>
          <w:tcPr>
            <w:tcW w:w="400" w:type="pct"/>
            <w:tcMar>
              <w:top w:w="28" w:type="dxa"/>
              <w:left w:w="80" w:type="dxa"/>
              <w:bottom w:w="28" w:type="dxa"/>
              <w:right w:w="80" w:type="dxa"/>
            </w:tcMar>
            <w:vAlign w:val="center"/>
          </w:tcPr>
          <w:p w14:paraId="2B5C51C7" w14:textId="77777777" w:rsidR="0042033D" w:rsidRDefault="00000000">
            <w:pPr>
              <w:spacing w:line="232" w:lineRule="auto"/>
              <w:jc w:val="center"/>
              <w:rPr>
                <w:sz w:val="24"/>
                <w:szCs w:val="24"/>
              </w:rPr>
            </w:pPr>
            <w:r>
              <w:rPr>
                <w:b/>
                <w:bCs/>
                <w:sz w:val="24"/>
                <w:szCs w:val="24"/>
              </w:rPr>
              <w:t>8 %</w:t>
            </w:r>
          </w:p>
        </w:tc>
        <w:tc>
          <w:tcPr>
            <w:tcW w:w="2900" w:type="pct"/>
            <w:tcMar>
              <w:top w:w="28" w:type="dxa"/>
              <w:left w:w="80" w:type="dxa"/>
              <w:bottom w:w="28" w:type="dxa"/>
              <w:right w:w="80" w:type="dxa"/>
            </w:tcMar>
            <w:vAlign w:val="center"/>
          </w:tcPr>
          <w:p w14:paraId="0FBA08BA" w14:textId="77777777" w:rsidR="0042033D" w:rsidRDefault="00000000">
            <w:pPr>
              <w:spacing w:line="232" w:lineRule="auto"/>
              <w:rPr>
                <w:sz w:val="24"/>
                <w:szCs w:val="24"/>
              </w:rPr>
            </w:pPr>
            <w:r>
              <w:rPr>
                <w:sz w:val="24"/>
                <w:szCs w:val="24"/>
              </w:rPr>
              <w:t>Bacs d'élevage additionnels (2 500), infrastructure de protection climatique (1 500) ; solde des bacs financé sur l'autofinancement 2026</w:t>
            </w:r>
          </w:p>
        </w:tc>
      </w:tr>
      <w:tr w:rsidR="0042033D" w14:paraId="4BED5B25" w14:textId="77777777">
        <w:trPr>
          <w:cantSplit/>
        </w:trPr>
        <w:tc>
          <w:tcPr>
            <w:tcW w:w="1200" w:type="pct"/>
            <w:tcMar>
              <w:top w:w="28" w:type="dxa"/>
              <w:left w:w="80" w:type="dxa"/>
              <w:bottom w:w="28" w:type="dxa"/>
              <w:right w:w="80" w:type="dxa"/>
            </w:tcMar>
            <w:vAlign w:val="center"/>
          </w:tcPr>
          <w:p w14:paraId="27A1CC84" w14:textId="77777777" w:rsidR="0042033D" w:rsidRDefault="00000000">
            <w:pPr>
              <w:spacing w:line="232" w:lineRule="auto"/>
              <w:rPr>
                <w:sz w:val="24"/>
                <w:szCs w:val="24"/>
              </w:rPr>
            </w:pPr>
            <w:r>
              <w:rPr>
                <w:b/>
                <w:bCs/>
                <w:sz w:val="24"/>
                <w:szCs w:val="24"/>
              </w:rPr>
              <w:t>Développement commercial B2B</w:t>
            </w:r>
          </w:p>
        </w:tc>
        <w:tc>
          <w:tcPr>
            <w:tcW w:w="500" w:type="pct"/>
            <w:tcMar>
              <w:top w:w="28" w:type="dxa"/>
              <w:left w:w="80" w:type="dxa"/>
              <w:bottom w:w="28" w:type="dxa"/>
              <w:right w:w="80" w:type="dxa"/>
            </w:tcMar>
            <w:vAlign w:val="center"/>
          </w:tcPr>
          <w:p w14:paraId="052FAD03" w14:textId="77777777" w:rsidR="0042033D" w:rsidRDefault="00000000">
            <w:pPr>
              <w:spacing w:line="232" w:lineRule="auto"/>
              <w:jc w:val="center"/>
              <w:rPr>
                <w:sz w:val="24"/>
                <w:szCs w:val="24"/>
              </w:rPr>
            </w:pPr>
            <w:r>
              <w:rPr>
                <w:b/>
                <w:bCs/>
                <w:sz w:val="24"/>
                <w:szCs w:val="24"/>
              </w:rPr>
              <w:t>8 000</w:t>
            </w:r>
          </w:p>
        </w:tc>
        <w:tc>
          <w:tcPr>
            <w:tcW w:w="400" w:type="pct"/>
            <w:tcMar>
              <w:top w:w="28" w:type="dxa"/>
              <w:left w:w="80" w:type="dxa"/>
              <w:bottom w:w="28" w:type="dxa"/>
              <w:right w:w="80" w:type="dxa"/>
            </w:tcMar>
            <w:vAlign w:val="center"/>
          </w:tcPr>
          <w:p w14:paraId="110D0364" w14:textId="77777777" w:rsidR="0042033D" w:rsidRDefault="00000000">
            <w:pPr>
              <w:spacing w:line="232" w:lineRule="auto"/>
              <w:jc w:val="center"/>
              <w:rPr>
                <w:sz w:val="24"/>
                <w:szCs w:val="24"/>
              </w:rPr>
            </w:pPr>
            <w:r>
              <w:rPr>
                <w:b/>
                <w:bCs/>
                <w:sz w:val="24"/>
                <w:szCs w:val="24"/>
              </w:rPr>
              <w:t>16 %</w:t>
            </w:r>
          </w:p>
        </w:tc>
        <w:tc>
          <w:tcPr>
            <w:tcW w:w="2900" w:type="pct"/>
            <w:tcMar>
              <w:top w:w="28" w:type="dxa"/>
              <w:left w:w="80" w:type="dxa"/>
              <w:bottom w:w="28" w:type="dxa"/>
              <w:right w:w="80" w:type="dxa"/>
            </w:tcMar>
            <w:vAlign w:val="center"/>
          </w:tcPr>
          <w:p w14:paraId="3B47C8C1" w14:textId="77777777" w:rsidR="0042033D" w:rsidRDefault="00000000">
            <w:pPr>
              <w:spacing w:line="232" w:lineRule="auto"/>
              <w:rPr>
                <w:sz w:val="24"/>
                <w:szCs w:val="24"/>
              </w:rPr>
            </w:pPr>
            <w:r>
              <w:rPr>
                <w:sz w:val="24"/>
                <w:szCs w:val="24"/>
              </w:rPr>
              <w:t>Commercial B2B recruté au M+2 (part salariale 5 000), démonstrations terrain (1 500), supports marketing (1 500) — trois comptes visés en douze mois</w:t>
            </w:r>
          </w:p>
        </w:tc>
      </w:tr>
      <w:tr w:rsidR="0042033D" w14:paraId="150E0A09" w14:textId="77777777">
        <w:trPr>
          <w:cantSplit/>
        </w:trPr>
        <w:tc>
          <w:tcPr>
            <w:tcW w:w="1200" w:type="pct"/>
            <w:tcMar>
              <w:top w:w="28" w:type="dxa"/>
              <w:left w:w="80" w:type="dxa"/>
              <w:bottom w:w="28" w:type="dxa"/>
              <w:right w:w="80" w:type="dxa"/>
            </w:tcMar>
            <w:vAlign w:val="center"/>
          </w:tcPr>
          <w:p w14:paraId="6BCE7BC5" w14:textId="77777777" w:rsidR="0042033D" w:rsidRDefault="00000000">
            <w:pPr>
              <w:spacing w:line="232" w:lineRule="auto"/>
              <w:rPr>
                <w:sz w:val="24"/>
                <w:szCs w:val="24"/>
              </w:rPr>
            </w:pPr>
            <w:r>
              <w:rPr>
                <w:b/>
                <w:bCs/>
                <w:sz w:val="24"/>
                <w:szCs w:val="24"/>
              </w:rPr>
              <w:t>Ressources humaines et formation</w:t>
            </w:r>
          </w:p>
        </w:tc>
        <w:tc>
          <w:tcPr>
            <w:tcW w:w="500" w:type="pct"/>
            <w:tcMar>
              <w:top w:w="28" w:type="dxa"/>
              <w:left w:w="80" w:type="dxa"/>
              <w:bottom w:w="28" w:type="dxa"/>
              <w:right w:w="80" w:type="dxa"/>
            </w:tcMar>
            <w:vAlign w:val="center"/>
          </w:tcPr>
          <w:p w14:paraId="6B6F32E5" w14:textId="77777777" w:rsidR="0042033D" w:rsidRDefault="00000000">
            <w:pPr>
              <w:spacing w:line="232" w:lineRule="auto"/>
              <w:jc w:val="center"/>
              <w:rPr>
                <w:sz w:val="24"/>
                <w:szCs w:val="24"/>
              </w:rPr>
            </w:pPr>
            <w:r>
              <w:rPr>
                <w:b/>
                <w:bCs/>
                <w:sz w:val="24"/>
                <w:szCs w:val="24"/>
              </w:rPr>
              <w:t>2 500</w:t>
            </w:r>
          </w:p>
        </w:tc>
        <w:tc>
          <w:tcPr>
            <w:tcW w:w="400" w:type="pct"/>
            <w:tcMar>
              <w:top w:w="28" w:type="dxa"/>
              <w:left w:w="80" w:type="dxa"/>
              <w:bottom w:w="28" w:type="dxa"/>
              <w:right w:w="80" w:type="dxa"/>
            </w:tcMar>
            <w:vAlign w:val="center"/>
          </w:tcPr>
          <w:p w14:paraId="24005EA0" w14:textId="77777777" w:rsidR="0042033D" w:rsidRDefault="00000000">
            <w:pPr>
              <w:spacing w:line="232" w:lineRule="auto"/>
              <w:jc w:val="center"/>
              <w:rPr>
                <w:sz w:val="24"/>
                <w:szCs w:val="24"/>
              </w:rPr>
            </w:pPr>
            <w:r>
              <w:rPr>
                <w:b/>
                <w:bCs/>
                <w:sz w:val="24"/>
                <w:szCs w:val="24"/>
              </w:rPr>
              <w:t>5 %</w:t>
            </w:r>
          </w:p>
        </w:tc>
        <w:tc>
          <w:tcPr>
            <w:tcW w:w="2900" w:type="pct"/>
            <w:tcMar>
              <w:top w:w="28" w:type="dxa"/>
              <w:left w:w="80" w:type="dxa"/>
              <w:bottom w:w="28" w:type="dxa"/>
              <w:right w:w="80" w:type="dxa"/>
            </w:tcMar>
            <w:vAlign w:val="center"/>
          </w:tcPr>
          <w:p w14:paraId="3D3AD51A" w14:textId="77777777" w:rsidR="0042033D" w:rsidRDefault="00000000">
            <w:pPr>
              <w:spacing w:line="232" w:lineRule="auto"/>
              <w:rPr>
                <w:sz w:val="24"/>
                <w:szCs w:val="24"/>
              </w:rPr>
            </w:pPr>
            <w:r>
              <w:rPr>
                <w:sz w:val="24"/>
                <w:szCs w:val="24"/>
              </w:rPr>
              <w:t>Formation technique des opérateurs sur les nouveaux équipements, compétences qualité et hygiène (HACCP)</w:t>
            </w:r>
          </w:p>
        </w:tc>
      </w:tr>
      <w:tr w:rsidR="0042033D" w14:paraId="371FD586" w14:textId="77777777">
        <w:trPr>
          <w:cantSplit/>
        </w:trPr>
        <w:tc>
          <w:tcPr>
            <w:tcW w:w="1200" w:type="pct"/>
            <w:tcMar>
              <w:top w:w="28" w:type="dxa"/>
              <w:left w:w="80" w:type="dxa"/>
              <w:bottom w:w="28" w:type="dxa"/>
              <w:right w:w="80" w:type="dxa"/>
            </w:tcMar>
            <w:vAlign w:val="center"/>
          </w:tcPr>
          <w:p w14:paraId="56A3A89A" w14:textId="77777777" w:rsidR="0042033D" w:rsidRDefault="00000000">
            <w:pPr>
              <w:spacing w:line="232" w:lineRule="auto"/>
              <w:rPr>
                <w:sz w:val="24"/>
                <w:szCs w:val="24"/>
              </w:rPr>
            </w:pPr>
            <w:r>
              <w:rPr>
                <w:b/>
                <w:bCs/>
                <w:sz w:val="24"/>
                <w:szCs w:val="24"/>
              </w:rPr>
              <w:t>Qualité et laboratoire</w:t>
            </w:r>
          </w:p>
        </w:tc>
        <w:tc>
          <w:tcPr>
            <w:tcW w:w="500" w:type="pct"/>
            <w:tcMar>
              <w:top w:w="28" w:type="dxa"/>
              <w:left w:w="80" w:type="dxa"/>
              <w:bottom w:w="28" w:type="dxa"/>
              <w:right w:w="80" w:type="dxa"/>
            </w:tcMar>
            <w:vAlign w:val="center"/>
          </w:tcPr>
          <w:p w14:paraId="5F87F1A9" w14:textId="77777777" w:rsidR="0042033D" w:rsidRDefault="00000000">
            <w:pPr>
              <w:spacing w:line="232" w:lineRule="auto"/>
              <w:jc w:val="center"/>
              <w:rPr>
                <w:sz w:val="24"/>
                <w:szCs w:val="24"/>
              </w:rPr>
            </w:pPr>
            <w:r>
              <w:rPr>
                <w:b/>
                <w:bCs/>
                <w:sz w:val="24"/>
                <w:szCs w:val="24"/>
              </w:rPr>
              <w:t>2 000</w:t>
            </w:r>
          </w:p>
        </w:tc>
        <w:tc>
          <w:tcPr>
            <w:tcW w:w="400" w:type="pct"/>
            <w:tcMar>
              <w:top w:w="28" w:type="dxa"/>
              <w:left w:w="80" w:type="dxa"/>
              <w:bottom w:w="28" w:type="dxa"/>
              <w:right w:w="80" w:type="dxa"/>
            </w:tcMar>
            <w:vAlign w:val="center"/>
          </w:tcPr>
          <w:p w14:paraId="7D4ED8CD" w14:textId="77777777" w:rsidR="0042033D" w:rsidRDefault="00000000">
            <w:pPr>
              <w:spacing w:line="232" w:lineRule="auto"/>
              <w:jc w:val="center"/>
              <w:rPr>
                <w:sz w:val="24"/>
                <w:szCs w:val="24"/>
              </w:rPr>
            </w:pPr>
            <w:r>
              <w:rPr>
                <w:b/>
                <w:bCs/>
                <w:sz w:val="24"/>
                <w:szCs w:val="24"/>
              </w:rPr>
              <w:t>4 %</w:t>
            </w:r>
          </w:p>
        </w:tc>
        <w:tc>
          <w:tcPr>
            <w:tcW w:w="2900" w:type="pct"/>
            <w:tcMar>
              <w:top w:w="28" w:type="dxa"/>
              <w:left w:w="80" w:type="dxa"/>
              <w:bottom w:w="28" w:type="dxa"/>
              <w:right w:w="80" w:type="dxa"/>
            </w:tcMar>
            <w:vAlign w:val="center"/>
          </w:tcPr>
          <w:p w14:paraId="54E02CB4" w14:textId="77777777" w:rsidR="0042033D" w:rsidRDefault="00000000">
            <w:pPr>
              <w:spacing w:line="232" w:lineRule="auto"/>
              <w:rPr>
                <w:sz w:val="24"/>
                <w:szCs w:val="24"/>
              </w:rPr>
            </w:pPr>
            <w:r>
              <w:rPr>
                <w:sz w:val="24"/>
                <w:szCs w:val="24"/>
              </w:rPr>
              <w:t>Kit d'analyse de sol, équipements de contrôle qualité du frass (NPK, humidité, pathogènes), validation du lot-type</w:t>
            </w:r>
          </w:p>
        </w:tc>
      </w:tr>
      <w:tr w:rsidR="0042033D" w14:paraId="58A616C4" w14:textId="77777777">
        <w:trPr>
          <w:cantSplit/>
        </w:trPr>
        <w:tc>
          <w:tcPr>
            <w:tcW w:w="1200" w:type="pct"/>
            <w:tcMar>
              <w:top w:w="28" w:type="dxa"/>
              <w:left w:w="80" w:type="dxa"/>
              <w:bottom w:w="28" w:type="dxa"/>
              <w:right w:w="80" w:type="dxa"/>
            </w:tcMar>
            <w:vAlign w:val="center"/>
          </w:tcPr>
          <w:p w14:paraId="5B4F513E" w14:textId="77777777" w:rsidR="0042033D" w:rsidRDefault="00000000">
            <w:pPr>
              <w:spacing w:line="232" w:lineRule="auto"/>
              <w:rPr>
                <w:sz w:val="24"/>
                <w:szCs w:val="24"/>
              </w:rPr>
            </w:pPr>
            <w:r>
              <w:rPr>
                <w:b/>
                <w:bCs/>
                <w:sz w:val="24"/>
                <w:szCs w:val="24"/>
              </w:rPr>
              <w:lastRenderedPageBreak/>
              <w:t>Besoin en fonds de roulement</w:t>
            </w:r>
          </w:p>
        </w:tc>
        <w:tc>
          <w:tcPr>
            <w:tcW w:w="500" w:type="pct"/>
            <w:tcMar>
              <w:top w:w="28" w:type="dxa"/>
              <w:left w:w="80" w:type="dxa"/>
              <w:bottom w:w="28" w:type="dxa"/>
              <w:right w:w="80" w:type="dxa"/>
            </w:tcMar>
            <w:vAlign w:val="center"/>
          </w:tcPr>
          <w:p w14:paraId="0CEC9004" w14:textId="77777777" w:rsidR="0042033D" w:rsidRDefault="00000000">
            <w:pPr>
              <w:spacing w:line="232" w:lineRule="auto"/>
              <w:jc w:val="center"/>
              <w:rPr>
                <w:sz w:val="24"/>
                <w:szCs w:val="24"/>
              </w:rPr>
            </w:pPr>
            <w:r>
              <w:rPr>
                <w:b/>
                <w:bCs/>
                <w:sz w:val="24"/>
                <w:szCs w:val="24"/>
              </w:rPr>
              <w:t>18 000</w:t>
            </w:r>
          </w:p>
        </w:tc>
        <w:tc>
          <w:tcPr>
            <w:tcW w:w="400" w:type="pct"/>
            <w:tcMar>
              <w:top w:w="28" w:type="dxa"/>
              <w:left w:w="80" w:type="dxa"/>
              <w:bottom w:w="28" w:type="dxa"/>
              <w:right w:w="80" w:type="dxa"/>
            </w:tcMar>
            <w:vAlign w:val="center"/>
          </w:tcPr>
          <w:p w14:paraId="6A5DB0C8" w14:textId="77777777" w:rsidR="0042033D" w:rsidRDefault="00000000">
            <w:pPr>
              <w:spacing w:line="232" w:lineRule="auto"/>
              <w:jc w:val="center"/>
              <w:rPr>
                <w:sz w:val="24"/>
                <w:szCs w:val="24"/>
              </w:rPr>
            </w:pPr>
            <w:r>
              <w:rPr>
                <w:b/>
                <w:bCs/>
                <w:sz w:val="24"/>
                <w:szCs w:val="24"/>
              </w:rPr>
              <w:t>36 %</w:t>
            </w:r>
          </w:p>
        </w:tc>
        <w:tc>
          <w:tcPr>
            <w:tcW w:w="2900" w:type="pct"/>
            <w:tcMar>
              <w:top w:w="28" w:type="dxa"/>
              <w:left w:w="80" w:type="dxa"/>
              <w:bottom w:w="28" w:type="dxa"/>
              <w:right w:w="80" w:type="dxa"/>
            </w:tcMar>
            <w:vAlign w:val="center"/>
          </w:tcPr>
          <w:p w14:paraId="2753E5DD" w14:textId="77777777" w:rsidR="0042033D" w:rsidRDefault="00000000">
            <w:pPr>
              <w:spacing w:line="232" w:lineRule="auto"/>
              <w:rPr>
                <w:sz w:val="24"/>
                <w:szCs w:val="24"/>
              </w:rPr>
            </w:pPr>
            <w:r>
              <w:rPr>
                <w:sz w:val="24"/>
                <w:szCs w:val="24"/>
              </w:rPr>
              <w:t>Encours FDA dimensionné à 120 jours (≈ 18 400 $ sur le CA institutionnel 2026) et préfinancement des stocks tampon</w:t>
            </w:r>
          </w:p>
        </w:tc>
      </w:tr>
      <w:tr w:rsidR="0042033D" w14:paraId="3F457F8D" w14:textId="77777777">
        <w:trPr>
          <w:cantSplit/>
        </w:trPr>
        <w:tc>
          <w:tcPr>
            <w:tcW w:w="1200" w:type="pct"/>
            <w:tcMar>
              <w:top w:w="28" w:type="dxa"/>
              <w:left w:w="80" w:type="dxa"/>
              <w:bottom w:w="28" w:type="dxa"/>
              <w:right w:w="80" w:type="dxa"/>
            </w:tcMar>
            <w:vAlign w:val="center"/>
          </w:tcPr>
          <w:p w14:paraId="76C441FB" w14:textId="77777777" w:rsidR="0042033D" w:rsidRDefault="00000000">
            <w:pPr>
              <w:spacing w:line="232" w:lineRule="auto"/>
              <w:rPr>
                <w:sz w:val="24"/>
                <w:szCs w:val="24"/>
              </w:rPr>
            </w:pPr>
            <w:r>
              <w:rPr>
                <w:b/>
                <w:bCs/>
                <w:sz w:val="24"/>
                <w:szCs w:val="24"/>
              </w:rPr>
              <w:t>Contingence technique renforcée</w:t>
            </w:r>
          </w:p>
        </w:tc>
        <w:tc>
          <w:tcPr>
            <w:tcW w:w="500" w:type="pct"/>
            <w:tcMar>
              <w:top w:w="28" w:type="dxa"/>
              <w:left w:w="80" w:type="dxa"/>
              <w:bottom w:w="28" w:type="dxa"/>
              <w:right w:w="80" w:type="dxa"/>
            </w:tcMar>
            <w:vAlign w:val="center"/>
          </w:tcPr>
          <w:p w14:paraId="62241FC9" w14:textId="77777777" w:rsidR="0042033D" w:rsidRDefault="00000000">
            <w:pPr>
              <w:spacing w:line="232" w:lineRule="auto"/>
              <w:jc w:val="center"/>
              <w:rPr>
                <w:sz w:val="24"/>
                <w:szCs w:val="24"/>
              </w:rPr>
            </w:pPr>
            <w:r>
              <w:rPr>
                <w:b/>
                <w:bCs/>
                <w:sz w:val="24"/>
                <w:szCs w:val="24"/>
              </w:rPr>
              <w:t>6 000</w:t>
            </w:r>
          </w:p>
        </w:tc>
        <w:tc>
          <w:tcPr>
            <w:tcW w:w="400" w:type="pct"/>
            <w:tcMar>
              <w:top w:w="28" w:type="dxa"/>
              <w:left w:w="80" w:type="dxa"/>
              <w:bottom w:w="28" w:type="dxa"/>
              <w:right w:w="80" w:type="dxa"/>
            </w:tcMar>
            <w:vAlign w:val="center"/>
          </w:tcPr>
          <w:p w14:paraId="1EE4478D" w14:textId="77777777" w:rsidR="0042033D" w:rsidRDefault="00000000">
            <w:pPr>
              <w:spacing w:line="232" w:lineRule="auto"/>
              <w:jc w:val="center"/>
              <w:rPr>
                <w:sz w:val="24"/>
                <w:szCs w:val="24"/>
              </w:rPr>
            </w:pPr>
            <w:r>
              <w:rPr>
                <w:b/>
                <w:bCs/>
                <w:sz w:val="24"/>
                <w:szCs w:val="24"/>
              </w:rPr>
              <w:t>12 %</w:t>
            </w:r>
          </w:p>
        </w:tc>
        <w:tc>
          <w:tcPr>
            <w:tcW w:w="2900" w:type="pct"/>
            <w:tcMar>
              <w:top w:w="28" w:type="dxa"/>
              <w:left w:w="80" w:type="dxa"/>
              <w:bottom w:w="28" w:type="dxa"/>
              <w:right w:w="80" w:type="dxa"/>
            </w:tcMar>
            <w:vAlign w:val="center"/>
          </w:tcPr>
          <w:p w14:paraId="3699A46B" w14:textId="64863288" w:rsidR="0042033D" w:rsidRDefault="00000000">
            <w:pPr>
              <w:spacing w:line="232" w:lineRule="auto"/>
              <w:rPr>
                <w:sz w:val="24"/>
                <w:szCs w:val="24"/>
              </w:rPr>
            </w:pPr>
            <w:r>
              <w:rPr>
                <w:sz w:val="24"/>
                <w:szCs w:val="24"/>
              </w:rPr>
              <w:t xml:space="preserve">Aléas d'installation, pièces de rechange, première urgence cyclonique ; complétée par l'assurance perte d'exploitation et la ligne </w:t>
            </w:r>
            <w:r w:rsidR="00ED4AD3">
              <w:rPr>
                <w:sz w:val="24"/>
                <w:szCs w:val="24"/>
              </w:rPr>
              <w:t>BNI</w:t>
            </w:r>
            <w:r>
              <w:rPr>
                <w:sz w:val="24"/>
                <w:szCs w:val="24"/>
              </w:rPr>
              <w:t xml:space="preserve"> (§ 18.1)</w:t>
            </w:r>
          </w:p>
        </w:tc>
      </w:tr>
      <w:tr w:rsidR="0042033D" w14:paraId="38AF5A75" w14:textId="77777777">
        <w:trPr>
          <w:cantSplit/>
        </w:trPr>
        <w:tc>
          <w:tcPr>
            <w:tcW w:w="1200" w:type="pct"/>
            <w:tcMar>
              <w:top w:w="28" w:type="dxa"/>
              <w:left w:w="80" w:type="dxa"/>
              <w:bottom w:w="28" w:type="dxa"/>
              <w:right w:w="80" w:type="dxa"/>
            </w:tcMar>
            <w:vAlign w:val="center"/>
          </w:tcPr>
          <w:p w14:paraId="683B2687" w14:textId="77777777" w:rsidR="0042033D" w:rsidRDefault="00000000">
            <w:pPr>
              <w:spacing w:line="232" w:lineRule="auto"/>
              <w:rPr>
                <w:sz w:val="24"/>
                <w:szCs w:val="24"/>
              </w:rPr>
            </w:pPr>
            <w:r>
              <w:rPr>
                <w:b/>
                <w:bCs/>
                <w:sz w:val="24"/>
                <w:szCs w:val="24"/>
              </w:rPr>
              <w:t>TOTAL</w:t>
            </w:r>
          </w:p>
        </w:tc>
        <w:tc>
          <w:tcPr>
            <w:tcW w:w="500" w:type="pct"/>
            <w:tcMar>
              <w:top w:w="28" w:type="dxa"/>
              <w:left w:w="80" w:type="dxa"/>
              <w:bottom w:w="28" w:type="dxa"/>
              <w:right w:w="80" w:type="dxa"/>
            </w:tcMar>
            <w:vAlign w:val="center"/>
          </w:tcPr>
          <w:p w14:paraId="4041EEDF" w14:textId="77777777" w:rsidR="0042033D" w:rsidRDefault="00000000">
            <w:pPr>
              <w:spacing w:line="232" w:lineRule="auto"/>
              <w:jc w:val="center"/>
              <w:rPr>
                <w:sz w:val="24"/>
                <w:szCs w:val="24"/>
              </w:rPr>
            </w:pPr>
            <w:r>
              <w:rPr>
                <w:b/>
                <w:bCs/>
                <w:sz w:val="24"/>
                <w:szCs w:val="24"/>
              </w:rPr>
              <w:t>50 000</w:t>
            </w:r>
          </w:p>
        </w:tc>
        <w:tc>
          <w:tcPr>
            <w:tcW w:w="400" w:type="pct"/>
            <w:tcMar>
              <w:top w:w="28" w:type="dxa"/>
              <w:left w:w="80" w:type="dxa"/>
              <w:bottom w:w="28" w:type="dxa"/>
              <w:right w:w="80" w:type="dxa"/>
            </w:tcMar>
            <w:vAlign w:val="center"/>
          </w:tcPr>
          <w:p w14:paraId="3C75B515" w14:textId="77777777" w:rsidR="0042033D" w:rsidRDefault="00000000">
            <w:pPr>
              <w:spacing w:line="232" w:lineRule="auto"/>
              <w:jc w:val="center"/>
              <w:rPr>
                <w:sz w:val="24"/>
                <w:szCs w:val="24"/>
              </w:rPr>
            </w:pPr>
            <w:r>
              <w:rPr>
                <w:b/>
                <w:bCs/>
                <w:sz w:val="24"/>
                <w:szCs w:val="24"/>
              </w:rPr>
              <w:t>100 %</w:t>
            </w:r>
          </w:p>
        </w:tc>
        <w:tc>
          <w:tcPr>
            <w:tcW w:w="2900" w:type="pct"/>
            <w:tcMar>
              <w:top w:w="28" w:type="dxa"/>
              <w:left w:w="80" w:type="dxa"/>
              <w:bottom w:w="28" w:type="dxa"/>
              <w:right w:w="80" w:type="dxa"/>
            </w:tcMar>
            <w:vAlign w:val="center"/>
          </w:tcPr>
          <w:p w14:paraId="0AB0B8D4" w14:textId="77777777" w:rsidR="0042033D" w:rsidRDefault="00000000">
            <w:pPr>
              <w:spacing w:line="232" w:lineRule="auto"/>
              <w:rPr>
                <w:sz w:val="24"/>
                <w:szCs w:val="24"/>
              </w:rPr>
            </w:pPr>
            <w:r>
              <w:rPr>
                <w:sz w:val="24"/>
                <w:szCs w:val="24"/>
              </w:rPr>
              <w:t>Franchissement du palier 1 : capacité sécurisée au-dessus du point mort, ligne larves industrialisée, diversification accélérée</w:t>
            </w:r>
          </w:p>
        </w:tc>
      </w:tr>
    </w:tbl>
    <w:p w14:paraId="3A2E123F" w14:textId="77777777" w:rsidR="0042033D" w:rsidRDefault="00000000">
      <w:pPr>
        <w:pStyle w:val="Heading2"/>
        <w:spacing w:before="150" w:after="60"/>
        <w:rPr>
          <w:rFonts w:ascii="Times New Roman" w:hAnsi="Times New Roman"/>
        </w:rPr>
      </w:pPr>
      <w:bookmarkStart w:id="86" w:name="_Toc100086"/>
      <w:r>
        <w:rPr>
          <w:rFonts w:ascii="Times New Roman" w:hAnsi="Times New Roman"/>
        </w:rPr>
        <w:t>20.4 Calendrier prévisionnel de déploiement des fonds</w:t>
      </w:r>
      <w:bookmarkEnd w:id="86"/>
    </w:p>
    <w:p w14:paraId="147EC944" w14:textId="77777777" w:rsidR="0042033D" w:rsidRDefault="00000000">
      <w:pPr>
        <w:spacing w:after="60"/>
        <w:jc w:val="both"/>
        <w:rPr>
          <w:sz w:val="24"/>
          <w:szCs w:val="24"/>
        </w:rPr>
      </w:pPr>
      <w:r>
        <w:rPr>
          <w:sz w:val="24"/>
          <w:szCs w:val="24"/>
        </w:rPr>
        <w:t>Le déploiement des fonds est planifié sur douze mois : les mois 1 à 3 sont consacrés à l'acquisition et à l'installation des équipements CAPEX et de l'expansion de capacité (13 500 $) ; le recrutement du commercial B2B intervient au plus tard au M+2, avec la formation des opérateurs, l'effort commercial se déployant jusqu'au M+11 selon le pipeline qualifié ; la mise en place du contrôle qualité s'étend du M+6 au M+9 ; la contingence n'est débloquée qu'en fin de période, sur justificatif d'aléa ; la réserve de fonds de roulement (18 000 $) demeure mobilisée en continu.</w:t>
      </w:r>
    </w:p>
    <w:p w14:paraId="5EFBE907" w14:textId="77777777" w:rsidR="0042033D" w:rsidRDefault="00000000">
      <w:pPr>
        <w:keepNext/>
        <w:spacing w:before="140" w:after="50" w:line="260" w:lineRule="auto"/>
        <w:rPr>
          <w:sz w:val="24"/>
          <w:szCs w:val="24"/>
        </w:rPr>
      </w:pPr>
      <w:r>
        <w:rPr>
          <w:rFonts w:eastAsia="Arial"/>
          <w:b/>
          <w:bCs/>
          <w:color w:val="1A2330"/>
          <w:sz w:val="24"/>
          <w:szCs w:val="24"/>
        </w:rPr>
        <w:t>Tableau 15 — Calendrier de déploiement des fonds (12 premiers mois)</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1190"/>
        <w:gridCol w:w="1557"/>
        <w:gridCol w:w="1190"/>
        <w:gridCol w:w="2747"/>
        <w:gridCol w:w="2472"/>
      </w:tblGrid>
      <w:tr w:rsidR="0042033D" w14:paraId="5EB3F6B3" w14:textId="77777777">
        <w:trPr>
          <w:cantSplit/>
          <w:tblHeader/>
        </w:trPr>
        <w:tc>
          <w:tcPr>
            <w:tcW w:w="650" w:type="pct"/>
            <w:shd w:val="clear" w:color="auto" w:fill="D4875A"/>
            <w:tcMar>
              <w:top w:w="36" w:type="dxa"/>
              <w:left w:w="80" w:type="dxa"/>
              <w:bottom w:w="36" w:type="dxa"/>
              <w:right w:w="80" w:type="dxa"/>
            </w:tcMar>
            <w:vAlign w:val="center"/>
          </w:tcPr>
          <w:p w14:paraId="01279BA5" w14:textId="77777777" w:rsidR="0042033D" w:rsidRDefault="00000000">
            <w:pPr>
              <w:spacing w:line="232" w:lineRule="auto"/>
              <w:jc w:val="center"/>
              <w:rPr>
                <w:sz w:val="24"/>
                <w:szCs w:val="24"/>
              </w:rPr>
            </w:pPr>
            <w:r>
              <w:rPr>
                <w:b/>
                <w:bCs/>
                <w:color w:val="FFFFFF"/>
                <w:sz w:val="24"/>
                <w:szCs w:val="24"/>
              </w:rPr>
              <w:t>Période</w:t>
            </w:r>
          </w:p>
        </w:tc>
        <w:tc>
          <w:tcPr>
            <w:tcW w:w="850" w:type="pct"/>
            <w:shd w:val="clear" w:color="auto" w:fill="D4875A"/>
            <w:tcMar>
              <w:top w:w="36" w:type="dxa"/>
              <w:left w:w="80" w:type="dxa"/>
              <w:bottom w:w="36" w:type="dxa"/>
              <w:right w:w="80" w:type="dxa"/>
            </w:tcMar>
            <w:vAlign w:val="center"/>
          </w:tcPr>
          <w:p w14:paraId="678AC435" w14:textId="77777777" w:rsidR="0042033D" w:rsidRDefault="00000000">
            <w:pPr>
              <w:spacing w:line="232" w:lineRule="auto"/>
              <w:jc w:val="center"/>
              <w:rPr>
                <w:sz w:val="24"/>
                <w:szCs w:val="24"/>
              </w:rPr>
            </w:pPr>
            <w:r>
              <w:rPr>
                <w:b/>
                <w:bCs/>
                <w:color w:val="FFFFFF"/>
                <w:sz w:val="24"/>
                <w:szCs w:val="24"/>
              </w:rPr>
              <w:t>Poste</w:t>
            </w:r>
          </w:p>
        </w:tc>
        <w:tc>
          <w:tcPr>
            <w:tcW w:w="650" w:type="pct"/>
            <w:shd w:val="clear" w:color="auto" w:fill="D4875A"/>
            <w:tcMar>
              <w:top w:w="36" w:type="dxa"/>
              <w:left w:w="80" w:type="dxa"/>
              <w:bottom w:w="36" w:type="dxa"/>
              <w:right w:w="80" w:type="dxa"/>
            </w:tcMar>
            <w:vAlign w:val="center"/>
          </w:tcPr>
          <w:p w14:paraId="51961918" w14:textId="77777777" w:rsidR="0042033D" w:rsidRDefault="00000000">
            <w:pPr>
              <w:spacing w:line="232" w:lineRule="auto"/>
              <w:jc w:val="center"/>
              <w:rPr>
                <w:sz w:val="24"/>
                <w:szCs w:val="24"/>
              </w:rPr>
            </w:pPr>
            <w:r>
              <w:rPr>
                <w:b/>
                <w:bCs/>
                <w:color w:val="FFFFFF"/>
                <w:sz w:val="24"/>
                <w:szCs w:val="24"/>
              </w:rPr>
              <w:t>Montant ($)</w:t>
            </w:r>
          </w:p>
        </w:tc>
        <w:tc>
          <w:tcPr>
            <w:tcW w:w="1500" w:type="pct"/>
            <w:shd w:val="clear" w:color="auto" w:fill="D4875A"/>
            <w:tcMar>
              <w:top w:w="36" w:type="dxa"/>
              <w:left w:w="80" w:type="dxa"/>
              <w:bottom w:w="36" w:type="dxa"/>
              <w:right w:w="80" w:type="dxa"/>
            </w:tcMar>
            <w:vAlign w:val="center"/>
          </w:tcPr>
          <w:p w14:paraId="064D8BFB" w14:textId="77777777" w:rsidR="0042033D" w:rsidRDefault="00000000">
            <w:pPr>
              <w:spacing w:line="232" w:lineRule="auto"/>
              <w:jc w:val="center"/>
              <w:rPr>
                <w:sz w:val="24"/>
                <w:szCs w:val="24"/>
              </w:rPr>
            </w:pPr>
            <w:r>
              <w:rPr>
                <w:b/>
                <w:bCs/>
                <w:color w:val="FFFFFF"/>
                <w:sz w:val="24"/>
                <w:szCs w:val="24"/>
              </w:rPr>
              <w:t>Action</w:t>
            </w:r>
          </w:p>
        </w:tc>
        <w:tc>
          <w:tcPr>
            <w:tcW w:w="1350" w:type="pct"/>
            <w:shd w:val="clear" w:color="auto" w:fill="D4875A"/>
            <w:tcMar>
              <w:top w:w="36" w:type="dxa"/>
              <w:left w:w="80" w:type="dxa"/>
              <w:bottom w:w="36" w:type="dxa"/>
              <w:right w:w="80" w:type="dxa"/>
            </w:tcMar>
            <w:vAlign w:val="center"/>
          </w:tcPr>
          <w:p w14:paraId="67FFE2FD" w14:textId="77777777" w:rsidR="0042033D" w:rsidRDefault="00000000">
            <w:pPr>
              <w:spacing w:line="232" w:lineRule="auto"/>
              <w:jc w:val="center"/>
              <w:rPr>
                <w:sz w:val="24"/>
                <w:szCs w:val="24"/>
              </w:rPr>
            </w:pPr>
            <w:r>
              <w:rPr>
                <w:b/>
                <w:bCs/>
                <w:color w:val="FFFFFF"/>
                <w:sz w:val="24"/>
                <w:szCs w:val="24"/>
              </w:rPr>
              <w:t>KPI cible</w:t>
            </w:r>
          </w:p>
        </w:tc>
      </w:tr>
      <w:tr w:rsidR="0042033D" w14:paraId="5E4DA36E" w14:textId="77777777">
        <w:trPr>
          <w:cantSplit/>
        </w:trPr>
        <w:tc>
          <w:tcPr>
            <w:tcW w:w="650" w:type="pct"/>
            <w:tcMar>
              <w:top w:w="28" w:type="dxa"/>
              <w:left w:w="80" w:type="dxa"/>
              <w:bottom w:w="28" w:type="dxa"/>
              <w:right w:w="80" w:type="dxa"/>
            </w:tcMar>
            <w:vAlign w:val="center"/>
          </w:tcPr>
          <w:p w14:paraId="390C155B" w14:textId="77777777" w:rsidR="0042033D" w:rsidRDefault="00000000">
            <w:pPr>
              <w:spacing w:line="232" w:lineRule="auto"/>
              <w:rPr>
                <w:sz w:val="24"/>
                <w:szCs w:val="24"/>
              </w:rPr>
            </w:pPr>
            <w:r>
              <w:rPr>
                <w:b/>
                <w:bCs/>
                <w:sz w:val="24"/>
                <w:szCs w:val="24"/>
              </w:rPr>
              <w:t>M+1 à M+3</w:t>
            </w:r>
          </w:p>
        </w:tc>
        <w:tc>
          <w:tcPr>
            <w:tcW w:w="850" w:type="pct"/>
            <w:tcMar>
              <w:top w:w="28" w:type="dxa"/>
              <w:left w:w="80" w:type="dxa"/>
              <w:bottom w:w="28" w:type="dxa"/>
              <w:right w:w="80" w:type="dxa"/>
            </w:tcMar>
            <w:vAlign w:val="center"/>
          </w:tcPr>
          <w:p w14:paraId="1F9C2638" w14:textId="77777777" w:rsidR="0042033D" w:rsidRDefault="00000000">
            <w:pPr>
              <w:spacing w:line="232" w:lineRule="auto"/>
              <w:rPr>
                <w:sz w:val="24"/>
                <w:szCs w:val="24"/>
              </w:rPr>
            </w:pPr>
            <w:r>
              <w:rPr>
                <w:b/>
                <w:bCs/>
                <w:sz w:val="24"/>
                <w:szCs w:val="24"/>
              </w:rPr>
              <w:t>CAPEX et expansion</w:t>
            </w:r>
          </w:p>
        </w:tc>
        <w:tc>
          <w:tcPr>
            <w:tcW w:w="650" w:type="pct"/>
            <w:tcMar>
              <w:top w:w="28" w:type="dxa"/>
              <w:left w:w="80" w:type="dxa"/>
              <w:bottom w:w="28" w:type="dxa"/>
              <w:right w:w="80" w:type="dxa"/>
            </w:tcMar>
            <w:vAlign w:val="center"/>
          </w:tcPr>
          <w:p w14:paraId="4472E3DF" w14:textId="77777777" w:rsidR="0042033D" w:rsidRDefault="00000000">
            <w:pPr>
              <w:spacing w:line="232" w:lineRule="auto"/>
              <w:jc w:val="center"/>
              <w:rPr>
                <w:sz w:val="24"/>
                <w:szCs w:val="24"/>
              </w:rPr>
            </w:pPr>
            <w:r>
              <w:rPr>
                <w:b/>
                <w:bCs/>
                <w:sz w:val="24"/>
                <w:szCs w:val="24"/>
              </w:rPr>
              <w:t>13 500</w:t>
            </w:r>
          </w:p>
        </w:tc>
        <w:tc>
          <w:tcPr>
            <w:tcW w:w="1500" w:type="pct"/>
            <w:tcMar>
              <w:top w:w="28" w:type="dxa"/>
              <w:left w:w="80" w:type="dxa"/>
              <w:bottom w:w="28" w:type="dxa"/>
              <w:right w:w="80" w:type="dxa"/>
            </w:tcMar>
            <w:vAlign w:val="center"/>
          </w:tcPr>
          <w:p w14:paraId="069CBE54" w14:textId="77777777" w:rsidR="0042033D" w:rsidRDefault="00000000">
            <w:pPr>
              <w:spacing w:line="232" w:lineRule="auto"/>
              <w:rPr>
                <w:sz w:val="24"/>
                <w:szCs w:val="24"/>
              </w:rPr>
            </w:pPr>
            <w:r>
              <w:rPr>
                <w:b/>
                <w:bCs/>
                <w:sz w:val="24"/>
                <w:szCs w:val="24"/>
              </w:rPr>
              <w:t>Acquisition et installation des équipements, bacs et infrastructure climatique</w:t>
            </w:r>
          </w:p>
        </w:tc>
        <w:tc>
          <w:tcPr>
            <w:tcW w:w="1350" w:type="pct"/>
            <w:tcMar>
              <w:top w:w="28" w:type="dxa"/>
              <w:left w:w="80" w:type="dxa"/>
              <w:bottom w:w="28" w:type="dxa"/>
              <w:right w:w="80" w:type="dxa"/>
            </w:tcMar>
            <w:vAlign w:val="center"/>
          </w:tcPr>
          <w:p w14:paraId="463E4799" w14:textId="77777777" w:rsidR="0042033D" w:rsidRDefault="00000000">
            <w:pPr>
              <w:spacing w:line="232" w:lineRule="auto"/>
              <w:rPr>
                <w:sz w:val="24"/>
                <w:szCs w:val="24"/>
              </w:rPr>
            </w:pPr>
            <w:r>
              <w:rPr>
                <w:b/>
                <w:bCs/>
                <w:sz w:val="24"/>
                <w:szCs w:val="24"/>
              </w:rPr>
              <w:t>Équipements en service ; capacité ≥ 18 T/mois</w:t>
            </w:r>
          </w:p>
        </w:tc>
      </w:tr>
      <w:tr w:rsidR="0042033D" w14:paraId="2DE63799" w14:textId="77777777">
        <w:trPr>
          <w:cantSplit/>
        </w:trPr>
        <w:tc>
          <w:tcPr>
            <w:tcW w:w="650" w:type="pct"/>
            <w:tcMar>
              <w:top w:w="28" w:type="dxa"/>
              <w:left w:w="80" w:type="dxa"/>
              <w:bottom w:w="28" w:type="dxa"/>
              <w:right w:w="80" w:type="dxa"/>
            </w:tcMar>
            <w:vAlign w:val="center"/>
          </w:tcPr>
          <w:p w14:paraId="63838D8C" w14:textId="77777777" w:rsidR="0042033D" w:rsidRDefault="00000000">
            <w:pPr>
              <w:spacing w:line="232" w:lineRule="auto"/>
              <w:rPr>
                <w:sz w:val="24"/>
                <w:szCs w:val="24"/>
              </w:rPr>
            </w:pPr>
            <w:r>
              <w:rPr>
                <w:b/>
                <w:bCs/>
                <w:sz w:val="24"/>
                <w:szCs w:val="24"/>
              </w:rPr>
              <w:t>M+2 à M+6</w:t>
            </w:r>
          </w:p>
        </w:tc>
        <w:tc>
          <w:tcPr>
            <w:tcW w:w="850" w:type="pct"/>
            <w:tcMar>
              <w:top w:w="28" w:type="dxa"/>
              <w:left w:w="80" w:type="dxa"/>
              <w:bottom w:w="28" w:type="dxa"/>
              <w:right w:w="80" w:type="dxa"/>
            </w:tcMar>
            <w:vAlign w:val="center"/>
          </w:tcPr>
          <w:p w14:paraId="48DA24DA" w14:textId="77777777" w:rsidR="0042033D" w:rsidRDefault="00000000">
            <w:pPr>
              <w:spacing w:line="232" w:lineRule="auto"/>
              <w:rPr>
                <w:sz w:val="24"/>
                <w:szCs w:val="24"/>
              </w:rPr>
            </w:pPr>
            <w:r>
              <w:rPr>
                <w:b/>
                <w:bCs/>
                <w:sz w:val="24"/>
                <w:szCs w:val="24"/>
              </w:rPr>
              <w:t>RH et formation</w:t>
            </w:r>
          </w:p>
        </w:tc>
        <w:tc>
          <w:tcPr>
            <w:tcW w:w="650" w:type="pct"/>
            <w:tcMar>
              <w:top w:w="28" w:type="dxa"/>
              <w:left w:w="80" w:type="dxa"/>
              <w:bottom w:w="28" w:type="dxa"/>
              <w:right w:w="80" w:type="dxa"/>
            </w:tcMar>
            <w:vAlign w:val="center"/>
          </w:tcPr>
          <w:p w14:paraId="73C495BC" w14:textId="77777777" w:rsidR="0042033D" w:rsidRDefault="00000000">
            <w:pPr>
              <w:spacing w:line="232" w:lineRule="auto"/>
              <w:jc w:val="center"/>
              <w:rPr>
                <w:sz w:val="24"/>
                <w:szCs w:val="24"/>
              </w:rPr>
            </w:pPr>
            <w:r>
              <w:rPr>
                <w:b/>
                <w:bCs/>
                <w:sz w:val="24"/>
                <w:szCs w:val="24"/>
              </w:rPr>
              <w:t>2 500</w:t>
            </w:r>
          </w:p>
        </w:tc>
        <w:tc>
          <w:tcPr>
            <w:tcW w:w="1500" w:type="pct"/>
            <w:tcMar>
              <w:top w:w="28" w:type="dxa"/>
              <w:left w:w="80" w:type="dxa"/>
              <w:bottom w:w="28" w:type="dxa"/>
              <w:right w:w="80" w:type="dxa"/>
            </w:tcMar>
            <w:vAlign w:val="center"/>
          </w:tcPr>
          <w:p w14:paraId="57B145A1" w14:textId="77777777" w:rsidR="0042033D" w:rsidRDefault="00000000">
            <w:pPr>
              <w:spacing w:line="232" w:lineRule="auto"/>
              <w:rPr>
                <w:sz w:val="24"/>
                <w:szCs w:val="24"/>
              </w:rPr>
            </w:pPr>
            <w:r>
              <w:rPr>
                <w:b/>
                <w:bCs/>
                <w:sz w:val="24"/>
                <w:szCs w:val="24"/>
              </w:rPr>
              <w:t>Recrutement commercial (M+2), formation des opérateurs</w:t>
            </w:r>
          </w:p>
        </w:tc>
        <w:tc>
          <w:tcPr>
            <w:tcW w:w="1350" w:type="pct"/>
            <w:tcMar>
              <w:top w:w="28" w:type="dxa"/>
              <w:left w:w="80" w:type="dxa"/>
              <w:bottom w:w="28" w:type="dxa"/>
              <w:right w:w="80" w:type="dxa"/>
            </w:tcMar>
            <w:vAlign w:val="center"/>
          </w:tcPr>
          <w:p w14:paraId="46C926E7" w14:textId="77777777" w:rsidR="0042033D" w:rsidRDefault="00000000">
            <w:pPr>
              <w:spacing w:line="232" w:lineRule="auto"/>
              <w:rPr>
                <w:sz w:val="24"/>
                <w:szCs w:val="24"/>
              </w:rPr>
            </w:pPr>
            <w:r>
              <w:rPr>
                <w:b/>
                <w:bCs/>
                <w:sz w:val="24"/>
                <w:szCs w:val="24"/>
              </w:rPr>
              <w:t>Cadence ≥ 14 T/mois</w:t>
            </w:r>
          </w:p>
        </w:tc>
      </w:tr>
      <w:tr w:rsidR="0042033D" w14:paraId="37759B00" w14:textId="77777777">
        <w:trPr>
          <w:cantSplit/>
        </w:trPr>
        <w:tc>
          <w:tcPr>
            <w:tcW w:w="650" w:type="pct"/>
            <w:tcMar>
              <w:top w:w="28" w:type="dxa"/>
              <w:left w:w="80" w:type="dxa"/>
              <w:bottom w:w="28" w:type="dxa"/>
              <w:right w:w="80" w:type="dxa"/>
            </w:tcMar>
            <w:vAlign w:val="center"/>
          </w:tcPr>
          <w:p w14:paraId="73EFAD97" w14:textId="77777777" w:rsidR="0042033D" w:rsidRDefault="00000000">
            <w:pPr>
              <w:spacing w:line="232" w:lineRule="auto"/>
              <w:rPr>
                <w:sz w:val="24"/>
                <w:szCs w:val="24"/>
              </w:rPr>
            </w:pPr>
            <w:r>
              <w:rPr>
                <w:b/>
                <w:bCs/>
                <w:sz w:val="24"/>
                <w:szCs w:val="24"/>
              </w:rPr>
              <w:t>M+3 à M+11</w:t>
            </w:r>
          </w:p>
        </w:tc>
        <w:tc>
          <w:tcPr>
            <w:tcW w:w="850" w:type="pct"/>
            <w:tcMar>
              <w:top w:w="28" w:type="dxa"/>
              <w:left w:w="80" w:type="dxa"/>
              <w:bottom w:w="28" w:type="dxa"/>
              <w:right w:w="80" w:type="dxa"/>
            </w:tcMar>
            <w:vAlign w:val="center"/>
          </w:tcPr>
          <w:p w14:paraId="4CE35EDC" w14:textId="77777777" w:rsidR="0042033D" w:rsidRDefault="00000000">
            <w:pPr>
              <w:spacing w:line="232" w:lineRule="auto"/>
              <w:rPr>
                <w:sz w:val="24"/>
                <w:szCs w:val="24"/>
              </w:rPr>
            </w:pPr>
            <w:r>
              <w:rPr>
                <w:b/>
                <w:bCs/>
                <w:sz w:val="24"/>
                <w:szCs w:val="24"/>
              </w:rPr>
              <w:t>Commercial B2B</w:t>
            </w:r>
          </w:p>
        </w:tc>
        <w:tc>
          <w:tcPr>
            <w:tcW w:w="650" w:type="pct"/>
            <w:tcMar>
              <w:top w:w="28" w:type="dxa"/>
              <w:left w:w="80" w:type="dxa"/>
              <w:bottom w:w="28" w:type="dxa"/>
              <w:right w:w="80" w:type="dxa"/>
            </w:tcMar>
            <w:vAlign w:val="center"/>
          </w:tcPr>
          <w:p w14:paraId="49BAF211" w14:textId="77777777" w:rsidR="0042033D" w:rsidRDefault="00000000">
            <w:pPr>
              <w:spacing w:line="232" w:lineRule="auto"/>
              <w:jc w:val="center"/>
              <w:rPr>
                <w:sz w:val="24"/>
                <w:szCs w:val="24"/>
              </w:rPr>
            </w:pPr>
            <w:r>
              <w:rPr>
                <w:b/>
                <w:bCs/>
                <w:sz w:val="24"/>
                <w:szCs w:val="24"/>
              </w:rPr>
              <w:t>8 000</w:t>
            </w:r>
          </w:p>
        </w:tc>
        <w:tc>
          <w:tcPr>
            <w:tcW w:w="1500" w:type="pct"/>
            <w:tcMar>
              <w:top w:w="28" w:type="dxa"/>
              <w:left w:w="80" w:type="dxa"/>
              <w:bottom w:w="28" w:type="dxa"/>
              <w:right w:w="80" w:type="dxa"/>
            </w:tcMar>
            <w:vAlign w:val="center"/>
          </w:tcPr>
          <w:p w14:paraId="23E54F58" w14:textId="77777777" w:rsidR="0042033D" w:rsidRDefault="00000000">
            <w:pPr>
              <w:spacing w:line="232" w:lineRule="auto"/>
              <w:rPr>
                <w:sz w:val="24"/>
                <w:szCs w:val="24"/>
              </w:rPr>
            </w:pPr>
            <w:r>
              <w:rPr>
                <w:b/>
                <w:bCs/>
                <w:sz w:val="24"/>
                <w:szCs w:val="24"/>
              </w:rPr>
              <w:t>Déploiement du pipeline qualifié (Tableau 10 bis)</w:t>
            </w:r>
          </w:p>
        </w:tc>
        <w:tc>
          <w:tcPr>
            <w:tcW w:w="1350" w:type="pct"/>
            <w:tcMar>
              <w:top w:w="28" w:type="dxa"/>
              <w:left w:w="80" w:type="dxa"/>
              <w:bottom w:w="28" w:type="dxa"/>
              <w:right w:w="80" w:type="dxa"/>
            </w:tcMar>
            <w:vAlign w:val="center"/>
          </w:tcPr>
          <w:p w14:paraId="2F219C4A" w14:textId="77777777" w:rsidR="0042033D" w:rsidRDefault="00000000">
            <w:pPr>
              <w:spacing w:line="232" w:lineRule="auto"/>
              <w:rPr>
                <w:sz w:val="24"/>
                <w:szCs w:val="24"/>
              </w:rPr>
            </w:pPr>
            <w:r>
              <w:rPr>
                <w:b/>
                <w:bCs/>
                <w:sz w:val="24"/>
                <w:szCs w:val="24"/>
              </w:rPr>
              <w:t>3 comptes validés puis 5 sur 24 mois</w:t>
            </w:r>
          </w:p>
        </w:tc>
      </w:tr>
      <w:tr w:rsidR="0042033D" w14:paraId="6EE562D5" w14:textId="77777777">
        <w:trPr>
          <w:cantSplit/>
        </w:trPr>
        <w:tc>
          <w:tcPr>
            <w:tcW w:w="650" w:type="pct"/>
            <w:tcMar>
              <w:top w:w="28" w:type="dxa"/>
              <w:left w:w="80" w:type="dxa"/>
              <w:bottom w:w="28" w:type="dxa"/>
              <w:right w:w="80" w:type="dxa"/>
            </w:tcMar>
            <w:vAlign w:val="center"/>
          </w:tcPr>
          <w:p w14:paraId="35C819DB" w14:textId="77777777" w:rsidR="0042033D" w:rsidRDefault="00000000">
            <w:pPr>
              <w:spacing w:line="232" w:lineRule="auto"/>
              <w:rPr>
                <w:sz w:val="24"/>
                <w:szCs w:val="24"/>
              </w:rPr>
            </w:pPr>
            <w:r>
              <w:rPr>
                <w:b/>
                <w:bCs/>
                <w:sz w:val="24"/>
                <w:szCs w:val="24"/>
              </w:rPr>
              <w:t>M+6 à M+9</w:t>
            </w:r>
          </w:p>
        </w:tc>
        <w:tc>
          <w:tcPr>
            <w:tcW w:w="850" w:type="pct"/>
            <w:tcMar>
              <w:top w:w="28" w:type="dxa"/>
              <w:left w:w="80" w:type="dxa"/>
              <w:bottom w:w="28" w:type="dxa"/>
              <w:right w:w="80" w:type="dxa"/>
            </w:tcMar>
            <w:vAlign w:val="center"/>
          </w:tcPr>
          <w:p w14:paraId="5894ABA4" w14:textId="77777777" w:rsidR="0042033D" w:rsidRDefault="00000000">
            <w:pPr>
              <w:spacing w:line="232" w:lineRule="auto"/>
              <w:rPr>
                <w:sz w:val="24"/>
                <w:szCs w:val="24"/>
              </w:rPr>
            </w:pPr>
            <w:r>
              <w:rPr>
                <w:b/>
                <w:bCs/>
                <w:sz w:val="24"/>
                <w:szCs w:val="24"/>
              </w:rPr>
              <w:t>Qualité</w:t>
            </w:r>
          </w:p>
        </w:tc>
        <w:tc>
          <w:tcPr>
            <w:tcW w:w="650" w:type="pct"/>
            <w:tcMar>
              <w:top w:w="28" w:type="dxa"/>
              <w:left w:w="80" w:type="dxa"/>
              <w:bottom w:w="28" w:type="dxa"/>
              <w:right w:w="80" w:type="dxa"/>
            </w:tcMar>
            <w:vAlign w:val="center"/>
          </w:tcPr>
          <w:p w14:paraId="5A899E8C" w14:textId="77777777" w:rsidR="0042033D" w:rsidRDefault="00000000">
            <w:pPr>
              <w:spacing w:line="232" w:lineRule="auto"/>
              <w:jc w:val="center"/>
              <w:rPr>
                <w:sz w:val="24"/>
                <w:szCs w:val="24"/>
              </w:rPr>
            </w:pPr>
            <w:r>
              <w:rPr>
                <w:b/>
                <w:bCs/>
                <w:sz w:val="24"/>
                <w:szCs w:val="24"/>
              </w:rPr>
              <w:t>2 000</w:t>
            </w:r>
          </w:p>
        </w:tc>
        <w:tc>
          <w:tcPr>
            <w:tcW w:w="1500" w:type="pct"/>
            <w:tcMar>
              <w:top w:w="28" w:type="dxa"/>
              <w:left w:w="80" w:type="dxa"/>
              <w:bottom w:w="28" w:type="dxa"/>
              <w:right w:w="80" w:type="dxa"/>
            </w:tcMar>
            <w:vAlign w:val="center"/>
          </w:tcPr>
          <w:p w14:paraId="6C94573E" w14:textId="77777777" w:rsidR="0042033D" w:rsidRDefault="00000000">
            <w:pPr>
              <w:spacing w:line="232" w:lineRule="auto"/>
              <w:rPr>
                <w:sz w:val="24"/>
                <w:szCs w:val="24"/>
              </w:rPr>
            </w:pPr>
            <w:r>
              <w:rPr>
                <w:b/>
                <w:bCs/>
                <w:sz w:val="24"/>
                <w:szCs w:val="24"/>
              </w:rPr>
              <w:t>Mise en place du contrôle qualité et du lot-type</w:t>
            </w:r>
          </w:p>
        </w:tc>
        <w:tc>
          <w:tcPr>
            <w:tcW w:w="1350" w:type="pct"/>
            <w:tcMar>
              <w:top w:w="28" w:type="dxa"/>
              <w:left w:w="80" w:type="dxa"/>
              <w:bottom w:w="28" w:type="dxa"/>
              <w:right w:w="80" w:type="dxa"/>
            </w:tcMar>
            <w:vAlign w:val="center"/>
          </w:tcPr>
          <w:p w14:paraId="11E3E56E" w14:textId="77777777" w:rsidR="0042033D" w:rsidRDefault="00000000">
            <w:pPr>
              <w:spacing w:line="232" w:lineRule="auto"/>
              <w:rPr>
                <w:sz w:val="24"/>
                <w:szCs w:val="24"/>
              </w:rPr>
            </w:pPr>
            <w:r>
              <w:rPr>
                <w:b/>
                <w:bCs/>
                <w:sz w:val="24"/>
                <w:szCs w:val="24"/>
              </w:rPr>
              <w:t>Lot-type validé (NPK, humidité, pathogènes)</w:t>
            </w:r>
          </w:p>
        </w:tc>
      </w:tr>
      <w:tr w:rsidR="0042033D" w14:paraId="2BEA7711" w14:textId="77777777">
        <w:trPr>
          <w:cantSplit/>
        </w:trPr>
        <w:tc>
          <w:tcPr>
            <w:tcW w:w="650" w:type="pct"/>
            <w:tcMar>
              <w:top w:w="28" w:type="dxa"/>
              <w:left w:w="80" w:type="dxa"/>
              <w:bottom w:w="28" w:type="dxa"/>
              <w:right w:w="80" w:type="dxa"/>
            </w:tcMar>
            <w:vAlign w:val="center"/>
          </w:tcPr>
          <w:p w14:paraId="710D7638" w14:textId="77777777" w:rsidR="0042033D" w:rsidRDefault="00000000">
            <w:pPr>
              <w:spacing w:line="232" w:lineRule="auto"/>
              <w:rPr>
                <w:sz w:val="24"/>
                <w:szCs w:val="24"/>
              </w:rPr>
            </w:pPr>
            <w:r>
              <w:rPr>
                <w:b/>
                <w:bCs/>
                <w:sz w:val="24"/>
                <w:szCs w:val="24"/>
              </w:rPr>
              <w:t>En continu</w:t>
            </w:r>
          </w:p>
        </w:tc>
        <w:tc>
          <w:tcPr>
            <w:tcW w:w="850" w:type="pct"/>
            <w:tcMar>
              <w:top w:w="28" w:type="dxa"/>
              <w:left w:w="80" w:type="dxa"/>
              <w:bottom w:w="28" w:type="dxa"/>
              <w:right w:w="80" w:type="dxa"/>
            </w:tcMar>
            <w:vAlign w:val="center"/>
          </w:tcPr>
          <w:p w14:paraId="2C7D3177" w14:textId="77777777" w:rsidR="0042033D" w:rsidRDefault="00000000">
            <w:pPr>
              <w:spacing w:line="232" w:lineRule="auto"/>
              <w:rPr>
                <w:sz w:val="24"/>
                <w:szCs w:val="24"/>
              </w:rPr>
            </w:pPr>
            <w:r>
              <w:rPr>
                <w:b/>
                <w:bCs/>
                <w:sz w:val="24"/>
                <w:szCs w:val="24"/>
              </w:rPr>
              <w:t>Réserve BFR</w:t>
            </w:r>
          </w:p>
        </w:tc>
        <w:tc>
          <w:tcPr>
            <w:tcW w:w="650" w:type="pct"/>
            <w:tcMar>
              <w:top w:w="28" w:type="dxa"/>
              <w:left w:w="80" w:type="dxa"/>
              <w:bottom w:w="28" w:type="dxa"/>
              <w:right w:w="80" w:type="dxa"/>
            </w:tcMar>
            <w:vAlign w:val="center"/>
          </w:tcPr>
          <w:p w14:paraId="59DF6417" w14:textId="77777777" w:rsidR="0042033D" w:rsidRDefault="00000000">
            <w:pPr>
              <w:spacing w:line="232" w:lineRule="auto"/>
              <w:jc w:val="center"/>
              <w:rPr>
                <w:sz w:val="24"/>
                <w:szCs w:val="24"/>
              </w:rPr>
            </w:pPr>
            <w:r>
              <w:rPr>
                <w:b/>
                <w:bCs/>
                <w:sz w:val="24"/>
                <w:szCs w:val="24"/>
              </w:rPr>
              <w:t>18 000</w:t>
            </w:r>
          </w:p>
        </w:tc>
        <w:tc>
          <w:tcPr>
            <w:tcW w:w="1500" w:type="pct"/>
            <w:tcMar>
              <w:top w:w="28" w:type="dxa"/>
              <w:left w:w="80" w:type="dxa"/>
              <w:bottom w:w="28" w:type="dxa"/>
              <w:right w:w="80" w:type="dxa"/>
            </w:tcMar>
            <w:vAlign w:val="center"/>
          </w:tcPr>
          <w:p w14:paraId="6A0FB998" w14:textId="77777777" w:rsidR="0042033D" w:rsidRDefault="00000000">
            <w:pPr>
              <w:spacing w:line="232" w:lineRule="auto"/>
              <w:rPr>
                <w:sz w:val="24"/>
                <w:szCs w:val="24"/>
              </w:rPr>
            </w:pPr>
            <w:r>
              <w:rPr>
                <w:b/>
                <w:bCs/>
                <w:sz w:val="24"/>
                <w:szCs w:val="24"/>
              </w:rPr>
              <w:t>Amortissement des créances FDA (90-120 jours) et stocks tampon</w:t>
            </w:r>
          </w:p>
        </w:tc>
        <w:tc>
          <w:tcPr>
            <w:tcW w:w="1350" w:type="pct"/>
            <w:tcMar>
              <w:top w:w="28" w:type="dxa"/>
              <w:left w:w="80" w:type="dxa"/>
              <w:bottom w:w="28" w:type="dxa"/>
              <w:right w:w="80" w:type="dxa"/>
            </w:tcMar>
            <w:vAlign w:val="center"/>
          </w:tcPr>
          <w:p w14:paraId="784FE3FE" w14:textId="77777777" w:rsidR="0042033D" w:rsidRDefault="00000000">
            <w:pPr>
              <w:spacing w:line="232" w:lineRule="auto"/>
              <w:rPr>
                <w:sz w:val="24"/>
                <w:szCs w:val="24"/>
              </w:rPr>
            </w:pPr>
            <w:r>
              <w:rPr>
                <w:b/>
                <w:bCs/>
                <w:sz w:val="24"/>
                <w:szCs w:val="24"/>
              </w:rPr>
              <w:t>Trésorerie ≥ 2 mois d'OPEX en permanence</w:t>
            </w:r>
          </w:p>
        </w:tc>
      </w:tr>
      <w:tr w:rsidR="0042033D" w14:paraId="536F0155" w14:textId="77777777">
        <w:trPr>
          <w:cantSplit/>
        </w:trPr>
        <w:tc>
          <w:tcPr>
            <w:tcW w:w="650" w:type="pct"/>
            <w:tcMar>
              <w:top w:w="28" w:type="dxa"/>
              <w:left w:w="80" w:type="dxa"/>
              <w:bottom w:w="28" w:type="dxa"/>
              <w:right w:w="80" w:type="dxa"/>
            </w:tcMar>
            <w:vAlign w:val="center"/>
          </w:tcPr>
          <w:p w14:paraId="5CE6A150" w14:textId="77777777" w:rsidR="0042033D" w:rsidRDefault="00000000">
            <w:pPr>
              <w:spacing w:line="232" w:lineRule="auto"/>
              <w:rPr>
                <w:sz w:val="24"/>
                <w:szCs w:val="24"/>
              </w:rPr>
            </w:pPr>
            <w:r>
              <w:rPr>
                <w:b/>
                <w:bCs/>
                <w:sz w:val="24"/>
                <w:szCs w:val="24"/>
              </w:rPr>
              <w:t>M+9 à M+12</w:t>
            </w:r>
          </w:p>
        </w:tc>
        <w:tc>
          <w:tcPr>
            <w:tcW w:w="850" w:type="pct"/>
            <w:tcMar>
              <w:top w:w="28" w:type="dxa"/>
              <w:left w:w="80" w:type="dxa"/>
              <w:bottom w:w="28" w:type="dxa"/>
              <w:right w:w="80" w:type="dxa"/>
            </w:tcMar>
            <w:vAlign w:val="center"/>
          </w:tcPr>
          <w:p w14:paraId="16C7679C" w14:textId="77777777" w:rsidR="0042033D" w:rsidRDefault="00000000">
            <w:pPr>
              <w:spacing w:line="232" w:lineRule="auto"/>
              <w:rPr>
                <w:sz w:val="24"/>
                <w:szCs w:val="24"/>
              </w:rPr>
            </w:pPr>
            <w:r>
              <w:rPr>
                <w:b/>
                <w:bCs/>
                <w:sz w:val="24"/>
                <w:szCs w:val="24"/>
              </w:rPr>
              <w:t>Contingence</w:t>
            </w:r>
          </w:p>
        </w:tc>
        <w:tc>
          <w:tcPr>
            <w:tcW w:w="650" w:type="pct"/>
            <w:tcMar>
              <w:top w:w="28" w:type="dxa"/>
              <w:left w:w="80" w:type="dxa"/>
              <w:bottom w:w="28" w:type="dxa"/>
              <w:right w:w="80" w:type="dxa"/>
            </w:tcMar>
            <w:vAlign w:val="center"/>
          </w:tcPr>
          <w:p w14:paraId="7ADE9493" w14:textId="77777777" w:rsidR="0042033D" w:rsidRDefault="00000000">
            <w:pPr>
              <w:spacing w:line="232" w:lineRule="auto"/>
              <w:jc w:val="center"/>
              <w:rPr>
                <w:sz w:val="24"/>
                <w:szCs w:val="24"/>
              </w:rPr>
            </w:pPr>
            <w:r>
              <w:rPr>
                <w:b/>
                <w:bCs/>
                <w:sz w:val="24"/>
                <w:szCs w:val="24"/>
              </w:rPr>
              <w:t>6 000</w:t>
            </w:r>
          </w:p>
        </w:tc>
        <w:tc>
          <w:tcPr>
            <w:tcW w:w="1500" w:type="pct"/>
            <w:tcMar>
              <w:top w:w="28" w:type="dxa"/>
              <w:left w:w="80" w:type="dxa"/>
              <w:bottom w:w="28" w:type="dxa"/>
              <w:right w:w="80" w:type="dxa"/>
            </w:tcMar>
            <w:vAlign w:val="center"/>
          </w:tcPr>
          <w:p w14:paraId="47F6C17D" w14:textId="77777777" w:rsidR="0042033D" w:rsidRDefault="00000000">
            <w:pPr>
              <w:spacing w:line="232" w:lineRule="auto"/>
              <w:rPr>
                <w:sz w:val="24"/>
                <w:szCs w:val="24"/>
              </w:rPr>
            </w:pPr>
            <w:r>
              <w:rPr>
                <w:b/>
                <w:bCs/>
                <w:sz w:val="24"/>
                <w:szCs w:val="24"/>
              </w:rPr>
              <w:t>Aléas d'installation, pièces de rechange, débloquée sur justificatif</w:t>
            </w:r>
          </w:p>
        </w:tc>
        <w:tc>
          <w:tcPr>
            <w:tcW w:w="1350" w:type="pct"/>
            <w:tcMar>
              <w:top w:w="28" w:type="dxa"/>
              <w:left w:w="80" w:type="dxa"/>
              <w:bottom w:w="28" w:type="dxa"/>
              <w:right w:w="80" w:type="dxa"/>
            </w:tcMar>
            <w:vAlign w:val="center"/>
          </w:tcPr>
          <w:p w14:paraId="6069BC70" w14:textId="77777777" w:rsidR="0042033D" w:rsidRDefault="00000000">
            <w:pPr>
              <w:spacing w:line="232" w:lineRule="auto"/>
              <w:rPr>
                <w:sz w:val="24"/>
                <w:szCs w:val="24"/>
              </w:rPr>
            </w:pPr>
            <w:r>
              <w:rPr>
                <w:b/>
                <w:bCs/>
                <w:sz w:val="24"/>
                <w:szCs w:val="24"/>
              </w:rPr>
              <w:t>Absorption des écarts sans dérive budgétaire</w:t>
            </w:r>
          </w:p>
        </w:tc>
      </w:tr>
    </w:tbl>
    <w:p w14:paraId="64930241" w14:textId="77777777" w:rsidR="0042033D" w:rsidRDefault="00000000">
      <w:pPr>
        <w:pStyle w:val="Heading2"/>
        <w:spacing w:before="150" w:after="60"/>
        <w:rPr>
          <w:rFonts w:ascii="Times New Roman" w:hAnsi="Times New Roman"/>
        </w:rPr>
      </w:pPr>
      <w:bookmarkStart w:id="87" w:name="_Toc100087"/>
      <w:r>
        <w:rPr>
          <w:rFonts w:ascii="Times New Roman" w:hAnsi="Times New Roman"/>
        </w:rPr>
        <w:t>20.5 Plan de trésorerie mensuel post-déboursement et scénario de retard FDA</w:t>
      </w:r>
      <w:bookmarkEnd w:id="87"/>
    </w:p>
    <w:p w14:paraId="76CA526C" w14:textId="3365B13B" w:rsidR="0042033D" w:rsidRDefault="00000000">
      <w:pPr>
        <w:spacing w:after="60"/>
        <w:jc w:val="both"/>
        <w:rPr>
          <w:sz w:val="24"/>
          <w:szCs w:val="24"/>
        </w:rPr>
      </w:pPr>
      <w:r>
        <w:rPr>
          <w:sz w:val="24"/>
          <w:szCs w:val="24"/>
        </w:rPr>
        <w:t xml:space="preserve">Le plan de trésorerie mensuel des douze premiers mois post-déboursement consolide cette séquence : il intègre le déblocage du ticket en M+1, la saisonnalité des encaissements (pic de fin </w:t>
      </w:r>
      <w:r>
        <w:rPr>
          <w:sz w:val="24"/>
          <w:szCs w:val="24"/>
        </w:rPr>
        <w:lastRenderedPageBreak/>
        <w:t xml:space="preserve">de campagne et début de contre-saison en début d'année, campagnes de semis et pic de créances FDA au second semestre, saison litchi et saison cyclonique en fin d'année), la montée progressive des charges et la consommation étalée du programme d'investissement. Une colonne dédiée teste le </w:t>
      </w:r>
      <w:r>
        <w:rPr>
          <w:b/>
          <w:bCs/>
          <w:sz w:val="24"/>
          <w:szCs w:val="24"/>
        </w:rPr>
        <w:t>scénario de retard FDA à 120 jours</w:t>
      </w:r>
      <w:r>
        <w:rPr>
          <w:sz w:val="24"/>
          <w:szCs w:val="24"/>
        </w:rPr>
        <w:t xml:space="preserve"> : encaissements FDA (≈ 60 % des encaissements) gelés de M+6 à M+9, avec reprise et rattrapage à partir de M+10, sans mobilisation de la ligne </w:t>
      </w:r>
      <w:r w:rsidR="00ED4AD3">
        <w:rPr>
          <w:sz w:val="24"/>
          <w:szCs w:val="24"/>
        </w:rPr>
        <w:t>BNI</w:t>
      </w:r>
      <w:r>
        <w:rPr>
          <w:sz w:val="24"/>
          <w:szCs w:val="24"/>
        </w:rPr>
        <w:t>.</w:t>
      </w:r>
    </w:p>
    <w:p w14:paraId="4AC8FF22" w14:textId="77777777" w:rsidR="0042033D" w:rsidRDefault="00000000">
      <w:pPr>
        <w:keepNext/>
        <w:spacing w:before="140" w:after="50" w:line="260" w:lineRule="auto"/>
        <w:rPr>
          <w:sz w:val="24"/>
          <w:szCs w:val="24"/>
        </w:rPr>
      </w:pPr>
      <w:r>
        <w:rPr>
          <w:rFonts w:eastAsia="Arial"/>
          <w:b/>
          <w:bCs/>
          <w:color w:val="1A2330"/>
          <w:sz w:val="24"/>
          <w:szCs w:val="24"/>
        </w:rPr>
        <w:t>Tableau 15 bis — Plan de trésorerie mensuel post-déboursement (k $) et scénario « retard FDA 120 jours »</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721"/>
        <w:gridCol w:w="1079"/>
        <w:gridCol w:w="1079"/>
        <w:gridCol w:w="903"/>
        <w:gridCol w:w="1170"/>
        <w:gridCol w:w="1170"/>
        <w:gridCol w:w="3034"/>
      </w:tblGrid>
      <w:tr w:rsidR="0042033D" w:rsidRPr="004C3E51" w14:paraId="5E1AE0CA" w14:textId="77777777" w:rsidTr="00AE3011">
        <w:trPr>
          <w:cantSplit/>
          <w:tblHeader/>
        </w:trPr>
        <w:tc>
          <w:tcPr>
            <w:tcW w:w="394" w:type="pct"/>
            <w:shd w:val="clear" w:color="auto" w:fill="D4875A"/>
            <w:tcMar>
              <w:top w:w="36" w:type="dxa"/>
              <w:left w:w="80" w:type="dxa"/>
              <w:bottom w:w="36" w:type="dxa"/>
              <w:right w:w="80" w:type="dxa"/>
            </w:tcMar>
            <w:vAlign w:val="center"/>
          </w:tcPr>
          <w:p w14:paraId="1BF0859C"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Mois</w:t>
            </w:r>
          </w:p>
        </w:tc>
        <w:tc>
          <w:tcPr>
            <w:tcW w:w="589" w:type="pct"/>
            <w:shd w:val="clear" w:color="auto" w:fill="D4875A"/>
            <w:tcMar>
              <w:top w:w="36" w:type="dxa"/>
              <w:left w:w="80" w:type="dxa"/>
              <w:bottom w:w="36" w:type="dxa"/>
              <w:right w:w="80" w:type="dxa"/>
            </w:tcMar>
            <w:vAlign w:val="center"/>
          </w:tcPr>
          <w:p w14:paraId="7542655F"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Encaiss.</w:t>
            </w:r>
          </w:p>
        </w:tc>
        <w:tc>
          <w:tcPr>
            <w:tcW w:w="589" w:type="pct"/>
            <w:shd w:val="clear" w:color="auto" w:fill="D4875A"/>
            <w:tcMar>
              <w:top w:w="36" w:type="dxa"/>
              <w:left w:w="80" w:type="dxa"/>
              <w:bottom w:w="36" w:type="dxa"/>
              <w:right w:w="80" w:type="dxa"/>
            </w:tcMar>
            <w:vAlign w:val="center"/>
          </w:tcPr>
          <w:p w14:paraId="0F37D418"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Décaiss. (dont invest.)</w:t>
            </w:r>
          </w:p>
        </w:tc>
        <w:tc>
          <w:tcPr>
            <w:tcW w:w="493" w:type="pct"/>
            <w:shd w:val="clear" w:color="auto" w:fill="D4875A"/>
            <w:tcMar>
              <w:top w:w="36" w:type="dxa"/>
              <w:left w:w="80" w:type="dxa"/>
              <w:bottom w:w="36" w:type="dxa"/>
              <w:right w:w="80" w:type="dxa"/>
            </w:tcMar>
            <w:vAlign w:val="center"/>
          </w:tcPr>
          <w:p w14:paraId="6BD04374"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Flux du mois</w:t>
            </w:r>
          </w:p>
        </w:tc>
        <w:tc>
          <w:tcPr>
            <w:tcW w:w="639" w:type="pct"/>
            <w:shd w:val="clear" w:color="auto" w:fill="D4875A"/>
            <w:tcMar>
              <w:top w:w="36" w:type="dxa"/>
              <w:left w:w="80" w:type="dxa"/>
              <w:bottom w:w="36" w:type="dxa"/>
              <w:right w:w="80" w:type="dxa"/>
            </w:tcMar>
            <w:vAlign w:val="center"/>
          </w:tcPr>
          <w:p w14:paraId="2FB8B5D3"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Trésorerie fin (central)</w:t>
            </w:r>
          </w:p>
        </w:tc>
        <w:tc>
          <w:tcPr>
            <w:tcW w:w="639" w:type="pct"/>
            <w:shd w:val="clear" w:color="auto" w:fill="D4875A"/>
            <w:tcMar>
              <w:top w:w="36" w:type="dxa"/>
              <w:left w:w="80" w:type="dxa"/>
              <w:bottom w:w="36" w:type="dxa"/>
              <w:right w:w="80" w:type="dxa"/>
            </w:tcMar>
            <w:vAlign w:val="center"/>
          </w:tcPr>
          <w:p w14:paraId="5C241CB8"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Trésorerie fin (retard FDA 120 j)</w:t>
            </w:r>
          </w:p>
        </w:tc>
        <w:tc>
          <w:tcPr>
            <w:tcW w:w="1657" w:type="pct"/>
            <w:shd w:val="clear" w:color="auto" w:fill="D4875A"/>
            <w:tcMar>
              <w:top w:w="36" w:type="dxa"/>
              <w:left w:w="80" w:type="dxa"/>
              <w:bottom w:w="36" w:type="dxa"/>
              <w:right w:w="80" w:type="dxa"/>
            </w:tcMar>
            <w:vAlign w:val="center"/>
          </w:tcPr>
          <w:p w14:paraId="706E9A1B"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color w:val="FFFFFF"/>
                <w:sz w:val="24"/>
                <w:szCs w:val="24"/>
              </w:rPr>
              <w:t>Point de contrôle et profil saisonnier</w:t>
            </w:r>
          </w:p>
        </w:tc>
      </w:tr>
      <w:tr w:rsidR="0042033D" w:rsidRPr="004C3E51" w14:paraId="3CEBA428" w14:textId="77777777" w:rsidTr="00AE3011">
        <w:trPr>
          <w:cantSplit/>
        </w:trPr>
        <w:tc>
          <w:tcPr>
            <w:tcW w:w="394" w:type="pct"/>
            <w:tcMar>
              <w:top w:w="28" w:type="dxa"/>
              <w:left w:w="80" w:type="dxa"/>
              <w:bottom w:w="28" w:type="dxa"/>
              <w:right w:w="80" w:type="dxa"/>
            </w:tcMar>
            <w:vAlign w:val="center"/>
          </w:tcPr>
          <w:p w14:paraId="482E7D46"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M+1</w:t>
            </w:r>
          </w:p>
        </w:tc>
        <w:tc>
          <w:tcPr>
            <w:tcW w:w="589" w:type="pct"/>
            <w:tcMar>
              <w:top w:w="28" w:type="dxa"/>
              <w:left w:w="80" w:type="dxa"/>
              <w:bottom w:w="28" w:type="dxa"/>
              <w:right w:w="80" w:type="dxa"/>
            </w:tcMar>
            <w:vAlign w:val="center"/>
          </w:tcPr>
          <w:p w14:paraId="3A88C2BE"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56,0</w:t>
            </w:r>
          </w:p>
        </w:tc>
        <w:tc>
          <w:tcPr>
            <w:tcW w:w="589" w:type="pct"/>
            <w:tcMar>
              <w:top w:w="28" w:type="dxa"/>
              <w:left w:w="80" w:type="dxa"/>
              <w:bottom w:w="28" w:type="dxa"/>
              <w:right w:w="80" w:type="dxa"/>
            </w:tcMar>
            <w:vAlign w:val="center"/>
          </w:tcPr>
          <w:p w14:paraId="2BA3C479"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11,5 (6,5)</w:t>
            </w:r>
          </w:p>
        </w:tc>
        <w:tc>
          <w:tcPr>
            <w:tcW w:w="493" w:type="pct"/>
            <w:tcMar>
              <w:top w:w="28" w:type="dxa"/>
              <w:left w:w="80" w:type="dxa"/>
              <w:bottom w:w="28" w:type="dxa"/>
              <w:right w:w="80" w:type="dxa"/>
            </w:tcMar>
            <w:vAlign w:val="center"/>
          </w:tcPr>
          <w:p w14:paraId="44B51A71"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+44,5</w:t>
            </w:r>
          </w:p>
        </w:tc>
        <w:tc>
          <w:tcPr>
            <w:tcW w:w="639" w:type="pct"/>
            <w:tcMar>
              <w:top w:w="28" w:type="dxa"/>
              <w:left w:w="80" w:type="dxa"/>
              <w:bottom w:w="28" w:type="dxa"/>
              <w:right w:w="80" w:type="dxa"/>
            </w:tcMar>
            <w:vAlign w:val="center"/>
          </w:tcPr>
          <w:p w14:paraId="72C43BA3"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59,5</w:t>
            </w:r>
          </w:p>
        </w:tc>
        <w:tc>
          <w:tcPr>
            <w:tcW w:w="639" w:type="pct"/>
            <w:tcMar>
              <w:top w:w="28" w:type="dxa"/>
              <w:left w:w="80" w:type="dxa"/>
              <w:bottom w:w="28" w:type="dxa"/>
              <w:right w:w="80" w:type="dxa"/>
            </w:tcMar>
            <w:vAlign w:val="center"/>
          </w:tcPr>
          <w:p w14:paraId="6D30CD34"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59,5</w:t>
            </w:r>
          </w:p>
        </w:tc>
        <w:tc>
          <w:tcPr>
            <w:tcW w:w="1657" w:type="pct"/>
            <w:tcMar>
              <w:top w:w="28" w:type="dxa"/>
              <w:left w:w="80" w:type="dxa"/>
              <w:bottom w:w="28" w:type="dxa"/>
              <w:right w:w="80" w:type="dxa"/>
            </w:tcMar>
            <w:vAlign w:val="center"/>
          </w:tcPr>
          <w:p w14:paraId="043D40CD"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Déblocage du financement (50,0) ; commandes CAPEX</w:t>
            </w:r>
          </w:p>
        </w:tc>
      </w:tr>
      <w:tr w:rsidR="0042033D" w:rsidRPr="004C3E51" w14:paraId="6966A537" w14:textId="77777777" w:rsidTr="00AE3011">
        <w:trPr>
          <w:cantSplit/>
        </w:trPr>
        <w:tc>
          <w:tcPr>
            <w:tcW w:w="394" w:type="pct"/>
            <w:tcMar>
              <w:top w:w="28" w:type="dxa"/>
              <w:left w:w="80" w:type="dxa"/>
              <w:bottom w:w="28" w:type="dxa"/>
              <w:right w:w="80" w:type="dxa"/>
            </w:tcMar>
            <w:vAlign w:val="center"/>
          </w:tcPr>
          <w:p w14:paraId="37056866"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M+2</w:t>
            </w:r>
          </w:p>
        </w:tc>
        <w:tc>
          <w:tcPr>
            <w:tcW w:w="589" w:type="pct"/>
            <w:tcMar>
              <w:top w:w="28" w:type="dxa"/>
              <w:left w:w="80" w:type="dxa"/>
              <w:bottom w:w="28" w:type="dxa"/>
              <w:right w:w="80" w:type="dxa"/>
            </w:tcMar>
            <w:vAlign w:val="center"/>
          </w:tcPr>
          <w:p w14:paraId="6582F109"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6,2</w:t>
            </w:r>
          </w:p>
        </w:tc>
        <w:tc>
          <w:tcPr>
            <w:tcW w:w="589" w:type="pct"/>
            <w:tcMar>
              <w:top w:w="28" w:type="dxa"/>
              <w:left w:w="80" w:type="dxa"/>
              <w:bottom w:w="28" w:type="dxa"/>
              <w:right w:w="80" w:type="dxa"/>
            </w:tcMar>
            <w:vAlign w:val="center"/>
          </w:tcPr>
          <w:p w14:paraId="6B65DA42"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9,2 (4,0)</w:t>
            </w:r>
          </w:p>
        </w:tc>
        <w:tc>
          <w:tcPr>
            <w:tcW w:w="493" w:type="pct"/>
            <w:tcMar>
              <w:top w:w="28" w:type="dxa"/>
              <w:left w:w="80" w:type="dxa"/>
              <w:bottom w:w="28" w:type="dxa"/>
              <w:right w:w="80" w:type="dxa"/>
            </w:tcMar>
            <w:vAlign w:val="center"/>
          </w:tcPr>
          <w:p w14:paraId="3D72F6B6"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−3,0</w:t>
            </w:r>
          </w:p>
        </w:tc>
        <w:tc>
          <w:tcPr>
            <w:tcW w:w="639" w:type="pct"/>
            <w:tcMar>
              <w:top w:w="28" w:type="dxa"/>
              <w:left w:w="80" w:type="dxa"/>
              <w:bottom w:w="28" w:type="dxa"/>
              <w:right w:w="80" w:type="dxa"/>
            </w:tcMar>
            <w:vAlign w:val="center"/>
          </w:tcPr>
          <w:p w14:paraId="7E6F6AC5"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56,5</w:t>
            </w:r>
          </w:p>
        </w:tc>
        <w:tc>
          <w:tcPr>
            <w:tcW w:w="639" w:type="pct"/>
            <w:tcMar>
              <w:top w:w="28" w:type="dxa"/>
              <w:left w:w="80" w:type="dxa"/>
              <w:bottom w:w="28" w:type="dxa"/>
              <w:right w:w="80" w:type="dxa"/>
            </w:tcMar>
            <w:vAlign w:val="center"/>
          </w:tcPr>
          <w:p w14:paraId="136012C9"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56,5</w:t>
            </w:r>
          </w:p>
        </w:tc>
        <w:tc>
          <w:tcPr>
            <w:tcW w:w="1657" w:type="pct"/>
            <w:tcMar>
              <w:top w:w="28" w:type="dxa"/>
              <w:left w:w="80" w:type="dxa"/>
              <w:bottom w:w="28" w:type="dxa"/>
              <w:right w:w="80" w:type="dxa"/>
            </w:tcMar>
            <w:vAlign w:val="center"/>
          </w:tcPr>
          <w:p w14:paraId="67BD6F60"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Installation équipements ; commercial recruté</w:t>
            </w:r>
          </w:p>
        </w:tc>
      </w:tr>
      <w:tr w:rsidR="0042033D" w:rsidRPr="004C3E51" w14:paraId="30922E7E" w14:textId="77777777" w:rsidTr="00AE3011">
        <w:trPr>
          <w:cantSplit/>
        </w:trPr>
        <w:tc>
          <w:tcPr>
            <w:tcW w:w="394" w:type="pct"/>
            <w:tcMar>
              <w:top w:w="28" w:type="dxa"/>
              <w:left w:w="80" w:type="dxa"/>
              <w:bottom w:w="28" w:type="dxa"/>
              <w:right w:w="80" w:type="dxa"/>
            </w:tcMar>
            <w:vAlign w:val="center"/>
          </w:tcPr>
          <w:p w14:paraId="21DD2C0A"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M+3</w:t>
            </w:r>
          </w:p>
        </w:tc>
        <w:tc>
          <w:tcPr>
            <w:tcW w:w="589" w:type="pct"/>
            <w:tcMar>
              <w:top w:w="28" w:type="dxa"/>
              <w:left w:w="80" w:type="dxa"/>
              <w:bottom w:w="28" w:type="dxa"/>
              <w:right w:w="80" w:type="dxa"/>
            </w:tcMar>
            <w:vAlign w:val="center"/>
          </w:tcPr>
          <w:p w14:paraId="3CEF352E"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6,5</w:t>
            </w:r>
          </w:p>
        </w:tc>
        <w:tc>
          <w:tcPr>
            <w:tcW w:w="589" w:type="pct"/>
            <w:tcMar>
              <w:top w:w="28" w:type="dxa"/>
              <w:left w:w="80" w:type="dxa"/>
              <w:bottom w:w="28" w:type="dxa"/>
              <w:right w:w="80" w:type="dxa"/>
            </w:tcMar>
            <w:vAlign w:val="center"/>
          </w:tcPr>
          <w:p w14:paraId="3FD7EC5E"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8,3 (3,0)</w:t>
            </w:r>
          </w:p>
        </w:tc>
        <w:tc>
          <w:tcPr>
            <w:tcW w:w="493" w:type="pct"/>
            <w:tcMar>
              <w:top w:w="28" w:type="dxa"/>
              <w:left w:w="80" w:type="dxa"/>
              <w:bottom w:w="28" w:type="dxa"/>
              <w:right w:w="80" w:type="dxa"/>
            </w:tcMar>
            <w:vAlign w:val="center"/>
          </w:tcPr>
          <w:p w14:paraId="5993B700"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−1,8</w:t>
            </w:r>
          </w:p>
        </w:tc>
        <w:tc>
          <w:tcPr>
            <w:tcW w:w="639" w:type="pct"/>
            <w:tcMar>
              <w:top w:w="28" w:type="dxa"/>
              <w:left w:w="80" w:type="dxa"/>
              <w:bottom w:w="28" w:type="dxa"/>
              <w:right w:w="80" w:type="dxa"/>
            </w:tcMar>
            <w:vAlign w:val="center"/>
          </w:tcPr>
          <w:p w14:paraId="12E06793"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54,7</w:t>
            </w:r>
          </w:p>
        </w:tc>
        <w:tc>
          <w:tcPr>
            <w:tcW w:w="639" w:type="pct"/>
            <w:tcMar>
              <w:top w:w="28" w:type="dxa"/>
              <w:left w:w="80" w:type="dxa"/>
              <w:bottom w:w="28" w:type="dxa"/>
              <w:right w:w="80" w:type="dxa"/>
            </w:tcMar>
            <w:vAlign w:val="center"/>
          </w:tcPr>
          <w:p w14:paraId="45F22D72"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54,7</w:t>
            </w:r>
          </w:p>
        </w:tc>
        <w:tc>
          <w:tcPr>
            <w:tcW w:w="1657" w:type="pct"/>
            <w:tcMar>
              <w:top w:w="28" w:type="dxa"/>
              <w:left w:w="80" w:type="dxa"/>
              <w:bottom w:w="28" w:type="dxa"/>
              <w:right w:w="80" w:type="dxa"/>
            </w:tcMar>
            <w:vAlign w:val="center"/>
          </w:tcPr>
          <w:p w14:paraId="76C64D58"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Premiers postes en service</w:t>
            </w:r>
          </w:p>
        </w:tc>
      </w:tr>
      <w:tr w:rsidR="0042033D" w:rsidRPr="004C3E51" w14:paraId="59AF6466" w14:textId="77777777" w:rsidTr="00AE3011">
        <w:trPr>
          <w:cantSplit/>
        </w:trPr>
        <w:tc>
          <w:tcPr>
            <w:tcW w:w="394" w:type="pct"/>
            <w:tcMar>
              <w:top w:w="28" w:type="dxa"/>
              <w:left w:w="80" w:type="dxa"/>
              <w:bottom w:w="28" w:type="dxa"/>
              <w:right w:w="80" w:type="dxa"/>
            </w:tcMar>
            <w:vAlign w:val="center"/>
          </w:tcPr>
          <w:p w14:paraId="730E659F"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M+4</w:t>
            </w:r>
          </w:p>
        </w:tc>
        <w:tc>
          <w:tcPr>
            <w:tcW w:w="589" w:type="pct"/>
            <w:tcMar>
              <w:top w:w="28" w:type="dxa"/>
              <w:left w:w="80" w:type="dxa"/>
              <w:bottom w:w="28" w:type="dxa"/>
              <w:right w:w="80" w:type="dxa"/>
            </w:tcMar>
            <w:vAlign w:val="center"/>
          </w:tcPr>
          <w:p w14:paraId="0A5D7A67"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6,5</w:t>
            </w:r>
          </w:p>
        </w:tc>
        <w:tc>
          <w:tcPr>
            <w:tcW w:w="589" w:type="pct"/>
            <w:tcMar>
              <w:top w:w="28" w:type="dxa"/>
              <w:left w:w="80" w:type="dxa"/>
              <w:bottom w:w="28" w:type="dxa"/>
              <w:right w:w="80" w:type="dxa"/>
            </w:tcMar>
            <w:vAlign w:val="center"/>
          </w:tcPr>
          <w:p w14:paraId="3F2D7BCA"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5,4</w:t>
            </w:r>
          </w:p>
        </w:tc>
        <w:tc>
          <w:tcPr>
            <w:tcW w:w="493" w:type="pct"/>
            <w:tcMar>
              <w:top w:w="28" w:type="dxa"/>
              <w:left w:w="80" w:type="dxa"/>
              <w:bottom w:w="28" w:type="dxa"/>
              <w:right w:w="80" w:type="dxa"/>
            </w:tcMar>
            <w:vAlign w:val="center"/>
          </w:tcPr>
          <w:p w14:paraId="4EF2BAF7"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+1,1</w:t>
            </w:r>
          </w:p>
        </w:tc>
        <w:tc>
          <w:tcPr>
            <w:tcW w:w="639" w:type="pct"/>
            <w:tcMar>
              <w:top w:w="28" w:type="dxa"/>
              <w:left w:w="80" w:type="dxa"/>
              <w:bottom w:w="28" w:type="dxa"/>
              <w:right w:w="80" w:type="dxa"/>
            </w:tcMar>
            <w:vAlign w:val="center"/>
          </w:tcPr>
          <w:p w14:paraId="50FB739D"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55,8</w:t>
            </w:r>
          </w:p>
        </w:tc>
        <w:tc>
          <w:tcPr>
            <w:tcW w:w="639" w:type="pct"/>
            <w:tcMar>
              <w:top w:w="28" w:type="dxa"/>
              <w:left w:w="80" w:type="dxa"/>
              <w:bottom w:w="28" w:type="dxa"/>
              <w:right w:w="80" w:type="dxa"/>
            </w:tcMar>
            <w:vAlign w:val="center"/>
          </w:tcPr>
          <w:p w14:paraId="598F3EBA"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55,8</w:t>
            </w:r>
          </w:p>
        </w:tc>
        <w:tc>
          <w:tcPr>
            <w:tcW w:w="1657" w:type="pct"/>
            <w:tcMar>
              <w:top w:w="28" w:type="dxa"/>
              <w:left w:w="80" w:type="dxa"/>
              <w:bottom w:w="28" w:type="dxa"/>
              <w:right w:w="80" w:type="dxa"/>
            </w:tcMar>
            <w:vAlign w:val="center"/>
          </w:tcPr>
          <w:p w14:paraId="6766469A"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Commercial en poste ; objectifs contractualisés</w:t>
            </w:r>
          </w:p>
        </w:tc>
      </w:tr>
      <w:tr w:rsidR="0042033D" w:rsidRPr="004C3E51" w14:paraId="7C615095" w14:textId="77777777" w:rsidTr="00AE3011">
        <w:trPr>
          <w:cantSplit/>
        </w:trPr>
        <w:tc>
          <w:tcPr>
            <w:tcW w:w="394" w:type="pct"/>
            <w:tcMar>
              <w:top w:w="28" w:type="dxa"/>
              <w:left w:w="80" w:type="dxa"/>
              <w:bottom w:w="28" w:type="dxa"/>
              <w:right w:w="80" w:type="dxa"/>
            </w:tcMar>
            <w:vAlign w:val="center"/>
          </w:tcPr>
          <w:p w14:paraId="38AB90D2"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M+5</w:t>
            </w:r>
          </w:p>
        </w:tc>
        <w:tc>
          <w:tcPr>
            <w:tcW w:w="589" w:type="pct"/>
            <w:tcMar>
              <w:top w:w="28" w:type="dxa"/>
              <w:left w:w="80" w:type="dxa"/>
              <w:bottom w:w="28" w:type="dxa"/>
              <w:right w:w="80" w:type="dxa"/>
            </w:tcMar>
            <w:vAlign w:val="center"/>
          </w:tcPr>
          <w:p w14:paraId="28DF941E"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6,8</w:t>
            </w:r>
          </w:p>
        </w:tc>
        <w:tc>
          <w:tcPr>
            <w:tcW w:w="589" w:type="pct"/>
            <w:tcMar>
              <w:top w:w="28" w:type="dxa"/>
              <w:left w:w="80" w:type="dxa"/>
              <w:bottom w:w="28" w:type="dxa"/>
              <w:right w:w="80" w:type="dxa"/>
            </w:tcMar>
            <w:vAlign w:val="center"/>
          </w:tcPr>
          <w:p w14:paraId="244215D9"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5,6</w:t>
            </w:r>
          </w:p>
        </w:tc>
        <w:tc>
          <w:tcPr>
            <w:tcW w:w="493" w:type="pct"/>
            <w:tcMar>
              <w:top w:w="28" w:type="dxa"/>
              <w:left w:w="80" w:type="dxa"/>
              <w:bottom w:w="28" w:type="dxa"/>
              <w:right w:w="80" w:type="dxa"/>
            </w:tcMar>
            <w:vAlign w:val="center"/>
          </w:tcPr>
          <w:p w14:paraId="164CDC3C"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+1,2</w:t>
            </w:r>
          </w:p>
        </w:tc>
        <w:tc>
          <w:tcPr>
            <w:tcW w:w="639" w:type="pct"/>
            <w:tcMar>
              <w:top w:w="28" w:type="dxa"/>
              <w:left w:w="80" w:type="dxa"/>
              <w:bottom w:w="28" w:type="dxa"/>
              <w:right w:w="80" w:type="dxa"/>
            </w:tcMar>
            <w:vAlign w:val="center"/>
          </w:tcPr>
          <w:p w14:paraId="1DA99854"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57,0</w:t>
            </w:r>
          </w:p>
        </w:tc>
        <w:tc>
          <w:tcPr>
            <w:tcW w:w="639" w:type="pct"/>
            <w:tcMar>
              <w:top w:w="28" w:type="dxa"/>
              <w:left w:w="80" w:type="dxa"/>
              <w:bottom w:w="28" w:type="dxa"/>
              <w:right w:w="80" w:type="dxa"/>
            </w:tcMar>
            <w:vAlign w:val="center"/>
          </w:tcPr>
          <w:p w14:paraId="0E45A0A4"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57,0</w:t>
            </w:r>
          </w:p>
        </w:tc>
        <w:tc>
          <w:tcPr>
            <w:tcW w:w="1657" w:type="pct"/>
            <w:tcMar>
              <w:top w:w="28" w:type="dxa"/>
              <w:left w:w="80" w:type="dxa"/>
              <w:bottom w:w="28" w:type="dxa"/>
              <w:right w:w="80" w:type="dxa"/>
            </w:tcMar>
            <w:vAlign w:val="center"/>
          </w:tcPr>
          <w:p w14:paraId="20306A0E"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Cadence ≥ 12 T/mois ; campagne de contre-saison</w:t>
            </w:r>
          </w:p>
        </w:tc>
      </w:tr>
      <w:tr w:rsidR="0042033D" w:rsidRPr="004C3E51" w14:paraId="0E77A9B0" w14:textId="77777777" w:rsidTr="00AE3011">
        <w:trPr>
          <w:cantSplit/>
        </w:trPr>
        <w:tc>
          <w:tcPr>
            <w:tcW w:w="394" w:type="pct"/>
            <w:tcMar>
              <w:top w:w="28" w:type="dxa"/>
              <w:left w:w="80" w:type="dxa"/>
              <w:bottom w:w="28" w:type="dxa"/>
              <w:right w:w="80" w:type="dxa"/>
            </w:tcMar>
            <w:vAlign w:val="center"/>
          </w:tcPr>
          <w:p w14:paraId="3C5D587E"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M+6</w:t>
            </w:r>
          </w:p>
        </w:tc>
        <w:tc>
          <w:tcPr>
            <w:tcW w:w="589" w:type="pct"/>
            <w:tcMar>
              <w:top w:w="28" w:type="dxa"/>
              <w:left w:w="80" w:type="dxa"/>
              <w:bottom w:w="28" w:type="dxa"/>
              <w:right w:w="80" w:type="dxa"/>
            </w:tcMar>
            <w:vAlign w:val="center"/>
          </w:tcPr>
          <w:p w14:paraId="6418B70F"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7,0</w:t>
            </w:r>
          </w:p>
        </w:tc>
        <w:tc>
          <w:tcPr>
            <w:tcW w:w="589" w:type="pct"/>
            <w:tcMar>
              <w:top w:w="28" w:type="dxa"/>
              <w:left w:w="80" w:type="dxa"/>
              <w:bottom w:w="28" w:type="dxa"/>
              <w:right w:w="80" w:type="dxa"/>
            </w:tcMar>
            <w:vAlign w:val="center"/>
          </w:tcPr>
          <w:p w14:paraId="233399C3"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6,3 (0,5)</w:t>
            </w:r>
          </w:p>
        </w:tc>
        <w:tc>
          <w:tcPr>
            <w:tcW w:w="493" w:type="pct"/>
            <w:tcMar>
              <w:top w:w="28" w:type="dxa"/>
              <w:left w:w="80" w:type="dxa"/>
              <w:bottom w:w="28" w:type="dxa"/>
              <w:right w:w="80" w:type="dxa"/>
            </w:tcMar>
            <w:vAlign w:val="center"/>
          </w:tcPr>
          <w:p w14:paraId="0D9E831E"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+0,7</w:t>
            </w:r>
          </w:p>
        </w:tc>
        <w:tc>
          <w:tcPr>
            <w:tcW w:w="639" w:type="pct"/>
            <w:tcMar>
              <w:top w:w="28" w:type="dxa"/>
              <w:left w:w="80" w:type="dxa"/>
              <w:bottom w:w="28" w:type="dxa"/>
              <w:right w:w="80" w:type="dxa"/>
            </w:tcMar>
            <w:vAlign w:val="center"/>
          </w:tcPr>
          <w:p w14:paraId="1518CEFF"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57,7</w:t>
            </w:r>
          </w:p>
        </w:tc>
        <w:tc>
          <w:tcPr>
            <w:tcW w:w="639" w:type="pct"/>
            <w:tcMar>
              <w:top w:w="28" w:type="dxa"/>
              <w:left w:w="80" w:type="dxa"/>
              <w:bottom w:w="28" w:type="dxa"/>
              <w:right w:w="80" w:type="dxa"/>
            </w:tcMar>
            <w:vAlign w:val="center"/>
          </w:tcPr>
          <w:p w14:paraId="73C9CFD8"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53,5</w:t>
            </w:r>
          </w:p>
        </w:tc>
        <w:tc>
          <w:tcPr>
            <w:tcW w:w="1657" w:type="pct"/>
            <w:tcMar>
              <w:top w:w="28" w:type="dxa"/>
              <w:left w:w="80" w:type="dxa"/>
              <w:bottom w:w="28" w:type="dxa"/>
              <w:right w:w="80" w:type="dxa"/>
            </w:tcMar>
            <w:vAlign w:val="center"/>
          </w:tcPr>
          <w:p w14:paraId="20378F0D"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Pic de créances FDA (semis) — appel de la réserve BFR</w:t>
            </w:r>
          </w:p>
        </w:tc>
      </w:tr>
      <w:tr w:rsidR="0042033D" w:rsidRPr="004C3E51" w14:paraId="5015A105" w14:textId="77777777" w:rsidTr="00AE3011">
        <w:trPr>
          <w:cantSplit/>
        </w:trPr>
        <w:tc>
          <w:tcPr>
            <w:tcW w:w="394" w:type="pct"/>
            <w:tcMar>
              <w:top w:w="28" w:type="dxa"/>
              <w:left w:w="80" w:type="dxa"/>
              <w:bottom w:w="28" w:type="dxa"/>
              <w:right w:w="80" w:type="dxa"/>
            </w:tcMar>
            <w:vAlign w:val="center"/>
          </w:tcPr>
          <w:p w14:paraId="1FB56EC0"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M+7</w:t>
            </w:r>
          </w:p>
        </w:tc>
        <w:tc>
          <w:tcPr>
            <w:tcW w:w="589" w:type="pct"/>
            <w:tcMar>
              <w:top w:w="28" w:type="dxa"/>
              <w:left w:w="80" w:type="dxa"/>
              <w:bottom w:w="28" w:type="dxa"/>
              <w:right w:w="80" w:type="dxa"/>
            </w:tcMar>
            <w:vAlign w:val="center"/>
          </w:tcPr>
          <w:p w14:paraId="0E667CDE"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7,0</w:t>
            </w:r>
          </w:p>
        </w:tc>
        <w:tc>
          <w:tcPr>
            <w:tcW w:w="589" w:type="pct"/>
            <w:tcMar>
              <w:top w:w="28" w:type="dxa"/>
              <w:left w:w="80" w:type="dxa"/>
              <w:bottom w:w="28" w:type="dxa"/>
              <w:right w:w="80" w:type="dxa"/>
            </w:tcMar>
            <w:vAlign w:val="center"/>
          </w:tcPr>
          <w:p w14:paraId="0CD0FE35"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7,0 (0,4)</w:t>
            </w:r>
          </w:p>
        </w:tc>
        <w:tc>
          <w:tcPr>
            <w:tcW w:w="493" w:type="pct"/>
            <w:tcMar>
              <w:top w:w="28" w:type="dxa"/>
              <w:left w:w="80" w:type="dxa"/>
              <w:bottom w:w="28" w:type="dxa"/>
              <w:right w:w="80" w:type="dxa"/>
            </w:tcMar>
            <w:vAlign w:val="center"/>
          </w:tcPr>
          <w:p w14:paraId="48B4FB83"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0,0</w:t>
            </w:r>
          </w:p>
        </w:tc>
        <w:tc>
          <w:tcPr>
            <w:tcW w:w="639" w:type="pct"/>
            <w:tcMar>
              <w:top w:w="28" w:type="dxa"/>
              <w:left w:w="80" w:type="dxa"/>
              <w:bottom w:w="28" w:type="dxa"/>
              <w:right w:w="80" w:type="dxa"/>
            </w:tcMar>
            <w:vAlign w:val="center"/>
          </w:tcPr>
          <w:p w14:paraId="6221BCA2"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57,7</w:t>
            </w:r>
          </w:p>
        </w:tc>
        <w:tc>
          <w:tcPr>
            <w:tcW w:w="639" w:type="pct"/>
            <w:tcMar>
              <w:top w:w="28" w:type="dxa"/>
              <w:left w:w="80" w:type="dxa"/>
              <w:bottom w:w="28" w:type="dxa"/>
              <w:right w:w="80" w:type="dxa"/>
            </w:tcMar>
            <w:vAlign w:val="center"/>
          </w:tcPr>
          <w:p w14:paraId="434E9035"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49,3</w:t>
            </w:r>
          </w:p>
        </w:tc>
        <w:tc>
          <w:tcPr>
            <w:tcW w:w="1657" w:type="pct"/>
            <w:tcMar>
              <w:top w:w="28" w:type="dxa"/>
              <w:left w:w="80" w:type="dxa"/>
              <w:bottom w:w="28" w:type="dxa"/>
              <w:right w:w="80" w:type="dxa"/>
            </w:tcMar>
            <w:vAlign w:val="center"/>
          </w:tcPr>
          <w:p w14:paraId="37FF16AC"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Scénario retard : encaissements FDA gelés</w:t>
            </w:r>
          </w:p>
        </w:tc>
      </w:tr>
      <w:tr w:rsidR="0042033D" w:rsidRPr="004C3E51" w14:paraId="0E24AF59" w14:textId="77777777" w:rsidTr="00AE3011">
        <w:trPr>
          <w:cantSplit/>
        </w:trPr>
        <w:tc>
          <w:tcPr>
            <w:tcW w:w="394" w:type="pct"/>
            <w:tcMar>
              <w:top w:w="28" w:type="dxa"/>
              <w:left w:w="80" w:type="dxa"/>
              <w:bottom w:w="28" w:type="dxa"/>
              <w:right w:w="80" w:type="dxa"/>
            </w:tcMar>
            <w:vAlign w:val="center"/>
          </w:tcPr>
          <w:p w14:paraId="68CF232B"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M+8</w:t>
            </w:r>
          </w:p>
        </w:tc>
        <w:tc>
          <w:tcPr>
            <w:tcW w:w="589" w:type="pct"/>
            <w:tcMar>
              <w:top w:w="28" w:type="dxa"/>
              <w:left w:w="80" w:type="dxa"/>
              <w:bottom w:w="28" w:type="dxa"/>
              <w:right w:w="80" w:type="dxa"/>
            </w:tcMar>
            <w:vAlign w:val="center"/>
          </w:tcPr>
          <w:p w14:paraId="6D85071A"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7,2</w:t>
            </w:r>
          </w:p>
        </w:tc>
        <w:tc>
          <w:tcPr>
            <w:tcW w:w="589" w:type="pct"/>
            <w:tcMar>
              <w:top w:w="28" w:type="dxa"/>
              <w:left w:w="80" w:type="dxa"/>
              <w:bottom w:w="28" w:type="dxa"/>
              <w:right w:w="80" w:type="dxa"/>
            </w:tcMar>
            <w:vAlign w:val="center"/>
          </w:tcPr>
          <w:p w14:paraId="236E7286"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7,3 (0,4)</w:t>
            </w:r>
          </w:p>
        </w:tc>
        <w:tc>
          <w:tcPr>
            <w:tcW w:w="493" w:type="pct"/>
            <w:tcMar>
              <w:top w:w="28" w:type="dxa"/>
              <w:left w:w="80" w:type="dxa"/>
              <w:bottom w:w="28" w:type="dxa"/>
              <w:right w:w="80" w:type="dxa"/>
            </w:tcMar>
            <w:vAlign w:val="center"/>
          </w:tcPr>
          <w:p w14:paraId="5F2C3EBE"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−0,1</w:t>
            </w:r>
          </w:p>
        </w:tc>
        <w:tc>
          <w:tcPr>
            <w:tcW w:w="639" w:type="pct"/>
            <w:tcMar>
              <w:top w:w="28" w:type="dxa"/>
              <w:left w:w="80" w:type="dxa"/>
              <w:bottom w:w="28" w:type="dxa"/>
              <w:right w:w="80" w:type="dxa"/>
            </w:tcMar>
            <w:vAlign w:val="center"/>
          </w:tcPr>
          <w:p w14:paraId="3F6FE47A"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57,6</w:t>
            </w:r>
          </w:p>
        </w:tc>
        <w:tc>
          <w:tcPr>
            <w:tcW w:w="639" w:type="pct"/>
            <w:tcMar>
              <w:top w:w="28" w:type="dxa"/>
              <w:left w:w="80" w:type="dxa"/>
              <w:bottom w:w="28" w:type="dxa"/>
              <w:right w:w="80" w:type="dxa"/>
            </w:tcMar>
            <w:vAlign w:val="center"/>
          </w:tcPr>
          <w:p w14:paraId="429CF3E9"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44,9</w:t>
            </w:r>
          </w:p>
        </w:tc>
        <w:tc>
          <w:tcPr>
            <w:tcW w:w="1657" w:type="pct"/>
            <w:tcMar>
              <w:top w:w="28" w:type="dxa"/>
              <w:left w:w="80" w:type="dxa"/>
              <w:bottom w:w="28" w:type="dxa"/>
              <w:right w:w="80" w:type="dxa"/>
            </w:tcMar>
            <w:vAlign w:val="center"/>
          </w:tcPr>
          <w:p w14:paraId="1A461873"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Saison litchi (substrats abondants)</w:t>
            </w:r>
          </w:p>
        </w:tc>
      </w:tr>
      <w:tr w:rsidR="0042033D" w:rsidRPr="004C3E51" w14:paraId="0C00BE79" w14:textId="77777777" w:rsidTr="00AE3011">
        <w:trPr>
          <w:cantSplit/>
        </w:trPr>
        <w:tc>
          <w:tcPr>
            <w:tcW w:w="394" w:type="pct"/>
            <w:tcMar>
              <w:top w:w="28" w:type="dxa"/>
              <w:left w:w="80" w:type="dxa"/>
              <w:bottom w:w="28" w:type="dxa"/>
              <w:right w:w="80" w:type="dxa"/>
            </w:tcMar>
            <w:vAlign w:val="center"/>
          </w:tcPr>
          <w:p w14:paraId="3067AC52"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M+9</w:t>
            </w:r>
          </w:p>
        </w:tc>
        <w:tc>
          <w:tcPr>
            <w:tcW w:w="589" w:type="pct"/>
            <w:tcMar>
              <w:top w:w="28" w:type="dxa"/>
              <w:left w:w="80" w:type="dxa"/>
              <w:bottom w:w="28" w:type="dxa"/>
              <w:right w:w="80" w:type="dxa"/>
            </w:tcMar>
            <w:vAlign w:val="center"/>
          </w:tcPr>
          <w:p w14:paraId="144A881B"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7,2</w:t>
            </w:r>
          </w:p>
        </w:tc>
        <w:tc>
          <w:tcPr>
            <w:tcW w:w="589" w:type="pct"/>
            <w:tcMar>
              <w:top w:w="28" w:type="dxa"/>
              <w:left w:w="80" w:type="dxa"/>
              <w:bottom w:w="28" w:type="dxa"/>
              <w:right w:w="80" w:type="dxa"/>
            </w:tcMar>
            <w:vAlign w:val="center"/>
          </w:tcPr>
          <w:p w14:paraId="0A541DC6"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8,5 (1,9)</w:t>
            </w:r>
          </w:p>
        </w:tc>
        <w:tc>
          <w:tcPr>
            <w:tcW w:w="493" w:type="pct"/>
            <w:tcMar>
              <w:top w:w="28" w:type="dxa"/>
              <w:left w:w="80" w:type="dxa"/>
              <w:bottom w:w="28" w:type="dxa"/>
              <w:right w:w="80" w:type="dxa"/>
            </w:tcMar>
            <w:vAlign w:val="center"/>
          </w:tcPr>
          <w:p w14:paraId="5806DD9D"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−1,3</w:t>
            </w:r>
          </w:p>
        </w:tc>
        <w:tc>
          <w:tcPr>
            <w:tcW w:w="639" w:type="pct"/>
            <w:tcMar>
              <w:top w:w="28" w:type="dxa"/>
              <w:left w:w="80" w:type="dxa"/>
              <w:bottom w:w="28" w:type="dxa"/>
              <w:right w:w="80" w:type="dxa"/>
            </w:tcMar>
            <w:vAlign w:val="center"/>
          </w:tcPr>
          <w:p w14:paraId="1A70C214"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56,3</w:t>
            </w:r>
          </w:p>
        </w:tc>
        <w:tc>
          <w:tcPr>
            <w:tcW w:w="639" w:type="pct"/>
            <w:tcMar>
              <w:top w:w="28" w:type="dxa"/>
              <w:left w:w="80" w:type="dxa"/>
              <w:bottom w:w="28" w:type="dxa"/>
              <w:right w:w="80" w:type="dxa"/>
            </w:tcMar>
            <w:vAlign w:val="center"/>
          </w:tcPr>
          <w:p w14:paraId="72D23E46"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39,3</w:t>
            </w:r>
          </w:p>
        </w:tc>
        <w:tc>
          <w:tcPr>
            <w:tcW w:w="1657" w:type="pct"/>
            <w:tcMar>
              <w:top w:w="28" w:type="dxa"/>
              <w:left w:w="80" w:type="dxa"/>
              <w:bottom w:w="28" w:type="dxa"/>
              <w:right w:w="80" w:type="dxa"/>
            </w:tcMar>
            <w:vAlign w:val="center"/>
          </w:tcPr>
          <w:p w14:paraId="06ABE870"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Lot-type validé ; point bas scénario retard (≈ 6 mois d'OPEX)</w:t>
            </w:r>
          </w:p>
        </w:tc>
      </w:tr>
      <w:tr w:rsidR="0042033D" w:rsidRPr="004C3E51" w14:paraId="2D0F5A34" w14:textId="77777777" w:rsidTr="00AE3011">
        <w:trPr>
          <w:cantSplit/>
        </w:trPr>
        <w:tc>
          <w:tcPr>
            <w:tcW w:w="394" w:type="pct"/>
            <w:tcMar>
              <w:top w:w="28" w:type="dxa"/>
              <w:left w:w="80" w:type="dxa"/>
              <w:bottom w:w="28" w:type="dxa"/>
              <w:right w:w="80" w:type="dxa"/>
            </w:tcMar>
            <w:vAlign w:val="center"/>
          </w:tcPr>
          <w:p w14:paraId="1397DAC3"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M+10</w:t>
            </w:r>
          </w:p>
        </w:tc>
        <w:tc>
          <w:tcPr>
            <w:tcW w:w="589" w:type="pct"/>
            <w:tcMar>
              <w:top w:w="28" w:type="dxa"/>
              <w:left w:w="80" w:type="dxa"/>
              <w:bottom w:w="28" w:type="dxa"/>
              <w:right w:w="80" w:type="dxa"/>
            </w:tcMar>
            <w:vAlign w:val="center"/>
          </w:tcPr>
          <w:p w14:paraId="43B02429"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7,5</w:t>
            </w:r>
          </w:p>
        </w:tc>
        <w:tc>
          <w:tcPr>
            <w:tcW w:w="589" w:type="pct"/>
            <w:tcMar>
              <w:top w:w="28" w:type="dxa"/>
              <w:left w:w="80" w:type="dxa"/>
              <w:bottom w:w="28" w:type="dxa"/>
              <w:right w:w="80" w:type="dxa"/>
            </w:tcMar>
            <w:vAlign w:val="center"/>
          </w:tcPr>
          <w:p w14:paraId="57681102"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7,6 (0,3)</w:t>
            </w:r>
          </w:p>
        </w:tc>
        <w:tc>
          <w:tcPr>
            <w:tcW w:w="493" w:type="pct"/>
            <w:tcMar>
              <w:top w:w="28" w:type="dxa"/>
              <w:left w:w="80" w:type="dxa"/>
              <w:bottom w:w="28" w:type="dxa"/>
              <w:right w:w="80" w:type="dxa"/>
            </w:tcMar>
            <w:vAlign w:val="center"/>
          </w:tcPr>
          <w:p w14:paraId="4E616AF1"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−0,1</w:t>
            </w:r>
          </w:p>
        </w:tc>
        <w:tc>
          <w:tcPr>
            <w:tcW w:w="639" w:type="pct"/>
            <w:tcMar>
              <w:top w:w="28" w:type="dxa"/>
              <w:left w:w="80" w:type="dxa"/>
              <w:bottom w:w="28" w:type="dxa"/>
              <w:right w:w="80" w:type="dxa"/>
            </w:tcMar>
            <w:vAlign w:val="center"/>
          </w:tcPr>
          <w:p w14:paraId="0A508B00"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56,2</w:t>
            </w:r>
          </w:p>
        </w:tc>
        <w:tc>
          <w:tcPr>
            <w:tcW w:w="639" w:type="pct"/>
            <w:tcMar>
              <w:top w:w="28" w:type="dxa"/>
              <w:left w:w="80" w:type="dxa"/>
              <w:bottom w:w="28" w:type="dxa"/>
              <w:right w:w="80" w:type="dxa"/>
            </w:tcMar>
            <w:vAlign w:val="center"/>
          </w:tcPr>
          <w:p w14:paraId="4EF1449C"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43,4</w:t>
            </w:r>
          </w:p>
        </w:tc>
        <w:tc>
          <w:tcPr>
            <w:tcW w:w="1657" w:type="pct"/>
            <w:tcMar>
              <w:top w:w="28" w:type="dxa"/>
              <w:left w:w="80" w:type="dxa"/>
              <w:bottom w:w="28" w:type="dxa"/>
              <w:right w:w="80" w:type="dxa"/>
            </w:tcMar>
            <w:vAlign w:val="center"/>
          </w:tcPr>
          <w:p w14:paraId="18E1E4B3"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Reprise FDA avec rattrapage ; 1er compte B2B signé</w:t>
            </w:r>
          </w:p>
        </w:tc>
      </w:tr>
      <w:tr w:rsidR="0042033D" w:rsidRPr="004C3E51" w14:paraId="6D77D04E" w14:textId="77777777" w:rsidTr="00AE3011">
        <w:trPr>
          <w:cantSplit/>
        </w:trPr>
        <w:tc>
          <w:tcPr>
            <w:tcW w:w="394" w:type="pct"/>
            <w:tcMar>
              <w:top w:w="28" w:type="dxa"/>
              <w:left w:w="80" w:type="dxa"/>
              <w:bottom w:w="28" w:type="dxa"/>
              <w:right w:w="80" w:type="dxa"/>
            </w:tcMar>
            <w:vAlign w:val="center"/>
          </w:tcPr>
          <w:p w14:paraId="4104590D"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M+11</w:t>
            </w:r>
          </w:p>
        </w:tc>
        <w:tc>
          <w:tcPr>
            <w:tcW w:w="589" w:type="pct"/>
            <w:tcMar>
              <w:top w:w="28" w:type="dxa"/>
              <w:left w:w="80" w:type="dxa"/>
              <w:bottom w:w="28" w:type="dxa"/>
              <w:right w:w="80" w:type="dxa"/>
            </w:tcMar>
            <w:vAlign w:val="center"/>
          </w:tcPr>
          <w:p w14:paraId="5ED93198"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7,5</w:t>
            </w:r>
          </w:p>
        </w:tc>
        <w:tc>
          <w:tcPr>
            <w:tcW w:w="589" w:type="pct"/>
            <w:tcMar>
              <w:top w:w="28" w:type="dxa"/>
              <w:left w:w="80" w:type="dxa"/>
              <w:bottom w:w="28" w:type="dxa"/>
              <w:right w:w="80" w:type="dxa"/>
            </w:tcMar>
            <w:vAlign w:val="center"/>
          </w:tcPr>
          <w:p w14:paraId="4D50874F"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7,4 (0,2)</w:t>
            </w:r>
          </w:p>
        </w:tc>
        <w:tc>
          <w:tcPr>
            <w:tcW w:w="493" w:type="pct"/>
            <w:tcMar>
              <w:top w:w="28" w:type="dxa"/>
              <w:left w:w="80" w:type="dxa"/>
              <w:bottom w:w="28" w:type="dxa"/>
              <w:right w:w="80" w:type="dxa"/>
            </w:tcMar>
            <w:vAlign w:val="center"/>
          </w:tcPr>
          <w:p w14:paraId="2563BB8A"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+0,1</w:t>
            </w:r>
          </w:p>
        </w:tc>
        <w:tc>
          <w:tcPr>
            <w:tcW w:w="639" w:type="pct"/>
            <w:tcMar>
              <w:top w:w="28" w:type="dxa"/>
              <w:left w:w="80" w:type="dxa"/>
              <w:bottom w:w="28" w:type="dxa"/>
              <w:right w:w="80" w:type="dxa"/>
            </w:tcMar>
            <w:vAlign w:val="center"/>
          </w:tcPr>
          <w:p w14:paraId="7E1E6ECD"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56,3</w:t>
            </w:r>
          </w:p>
        </w:tc>
        <w:tc>
          <w:tcPr>
            <w:tcW w:w="639" w:type="pct"/>
            <w:tcMar>
              <w:top w:w="28" w:type="dxa"/>
              <w:left w:w="80" w:type="dxa"/>
              <w:bottom w:w="28" w:type="dxa"/>
              <w:right w:w="80" w:type="dxa"/>
            </w:tcMar>
            <w:vAlign w:val="center"/>
          </w:tcPr>
          <w:p w14:paraId="708DAE39"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43,5</w:t>
            </w:r>
          </w:p>
        </w:tc>
        <w:tc>
          <w:tcPr>
            <w:tcW w:w="1657" w:type="pct"/>
            <w:tcMar>
              <w:top w:w="28" w:type="dxa"/>
              <w:left w:w="80" w:type="dxa"/>
              <w:bottom w:w="28" w:type="dxa"/>
              <w:right w:w="80" w:type="dxa"/>
            </w:tcMar>
            <w:vAlign w:val="center"/>
          </w:tcPr>
          <w:p w14:paraId="0661B560"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2e compte validé ; saison cyclonique — stock tampon constitué</w:t>
            </w:r>
          </w:p>
        </w:tc>
      </w:tr>
      <w:tr w:rsidR="0042033D" w:rsidRPr="004C3E51" w14:paraId="364AC308" w14:textId="77777777" w:rsidTr="00AE3011">
        <w:trPr>
          <w:cantSplit/>
        </w:trPr>
        <w:tc>
          <w:tcPr>
            <w:tcW w:w="394" w:type="pct"/>
            <w:tcMar>
              <w:top w:w="28" w:type="dxa"/>
              <w:left w:w="80" w:type="dxa"/>
              <w:bottom w:w="28" w:type="dxa"/>
              <w:right w:w="80" w:type="dxa"/>
            </w:tcMar>
            <w:vAlign w:val="center"/>
          </w:tcPr>
          <w:p w14:paraId="287F3587"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M+12</w:t>
            </w:r>
          </w:p>
        </w:tc>
        <w:tc>
          <w:tcPr>
            <w:tcW w:w="589" w:type="pct"/>
            <w:tcMar>
              <w:top w:w="28" w:type="dxa"/>
              <w:left w:w="80" w:type="dxa"/>
              <w:bottom w:w="28" w:type="dxa"/>
              <w:right w:w="80" w:type="dxa"/>
            </w:tcMar>
            <w:vAlign w:val="center"/>
          </w:tcPr>
          <w:p w14:paraId="333532D1"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7,6</w:t>
            </w:r>
          </w:p>
        </w:tc>
        <w:tc>
          <w:tcPr>
            <w:tcW w:w="589" w:type="pct"/>
            <w:tcMar>
              <w:top w:w="28" w:type="dxa"/>
              <w:left w:w="80" w:type="dxa"/>
              <w:bottom w:w="28" w:type="dxa"/>
              <w:right w:w="80" w:type="dxa"/>
            </w:tcMar>
            <w:vAlign w:val="center"/>
          </w:tcPr>
          <w:p w14:paraId="1AEB4D4D"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7,2 (0,2)</w:t>
            </w:r>
          </w:p>
        </w:tc>
        <w:tc>
          <w:tcPr>
            <w:tcW w:w="493" w:type="pct"/>
            <w:tcMar>
              <w:top w:w="28" w:type="dxa"/>
              <w:left w:w="80" w:type="dxa"/>
              <w:bottom w:w="28" w:type="dxa"/>
              <w:right w:w="80" w:type="dxa"/>
            </w:tcMar>
            <w:vAlign w:val="center"/>
          </w:tcPr>
          <w:p w14:paraId="5001407D"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+0,4</w:t>
            </w:r>
          </w:p>
        </w:tc>
        <w:tc>
          <w:tcPr>
            <w:tcW w:w="639" w:type="pct"/>
            <w:tcMar>
              <w:top w:w="28" w:type="dxa"/>
              <w:left w:w="80" w:type="dxa"/>
              <w:bottom w:w="28" w:type="dxa"/>
              <w:right w:w="80" w:type="dxa"/>
            </w:tcMar>
            <w:vAlign w:val="center"/>
          </w:tcPr>
          <w:p w14:paraId="5B13DA1E"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56,7</w:t>
            </w:r>
          </w:p>
        </w:tc>
        <w:tc>
          <w:tcPr>
            <w:tcW w:w="639" w:type="pct"/>
            <w:tcMar>
              <w:top w:w="28" w:type="dxa"/>
              <w:left w:w="80" w:type="dxa"/>
              <w:bottom w:w="28" w:type="dxa"/>
              <w:right w:w="80" w:type="dxa"/>
            </w:tcMar>
            <w:vAlign w:val="center"/>
          </w:tcPr>
          <w:p w14:paraId="23A3A185" w14:textId="77777777" w:rsidR="0042033D" w:rsidRPr="004C3E51" w:rsidRDefault="00000000">
            <w:pPr>
              <w:spacing w:line="232" w:lineRule="auto"/>
              <w:jc w:val="center"/>
              <w:rPr>
                <w:rFonts w:ascii="Arial Narrow" w:hAnsi="Arial Narrow"/>
                <w:sz w:val="24"/>
                <w:szCs w:val="24"/>
              </w:rPr>
            </w:pPr>
            <w:r w:rsidRPr="004C3E51">
              <w:rPr>
                <w:rFonts w:ascii="Arial Narrow" w:hAnsi="Arial Narrow"/>
                <w:b/>
                <w:bCs/>
                <w:sz w:val="24"/>
                <w:szCs w:val="24"/>
              </w:rPr>
              <w:t>43,9</w:t>
            </w:r>
          </w:p>
        </w:tc>
        <w:tc>
          <w:tcPr>
            <w:tcW w:w="1657" w:type="pct"/>
            <w:tcMar>
              <w:top w:w="28" w:type="dxa"/>
              <w:left w:w="80" w:type="dxa"/>
              <w:bottom w:w="28" w:type="dxa"/>
              <w:right w:w="80" w:type="dxa"/>
            </w:tcMar>
            <w:vAlign w:val="center"/>
          </w:tcPr>
          <w:p w14:paraId="57781F04" w14:textId="77777777" w:rsidR="0042033D" w:rsidRPr="004C3E51" w:rsidRDefault="00000000">
            <w:pPr>
              <w:spacing w:line="232" w:lineRule="auto"/>
              <w:rPr>
                <w:rFonts w:ascii="Arial Narrow" w:hAnsi="Arial Narrow"/>
                <w:sz w:val="24"/>
                <w:szCs w:val="24"/>
              </w:rPr>
            </w:pPr>
            <w:r w:rsidRPr="004C3E51">
              <w:rPr>
                <w:rFonts w:ascii="Arial Narrow" w:hAnsi="Arial Narrow"/>
                <w:sz w:val="24"/>
                <w:szCs w:val="24"/>
              </w:rPr>
              <w:t>Revue annuelle ; préparation du palier 2</w:t>
            </w:r>
          </w:p>
        </w:tc>
      </w:tr>
    </w:tbl>
    <w:p w14:paraId="6D28D6EE" w14:textId="77777777" w:rsidR="0042033D" w:rsidRDefault="00000000">
      <w:pPr>
        <w:spacing w:before="40" w:after="140" w:line="260" w:lineRule="auto"/>
        <w:jc w:val="both"/>
        <w:rPr>
          <w:sz w:val="24"/>
          <w:szCs w:val="24"/>
        </w:rPr>
      </w:pPr>
      <w:r>
        <w:rPr>
          <w:i/>
          <w:iCs/>
          <w:color w:val="5A6472"/>
          <w:sz w:val="24"/>
          <w:szCs w:val="24"/>
        </w:rPr>
        <w:t>Encaissements M+1 : 6,0 K d'exploitation + déblocage du ticket de 50,0 K. Trésorerie d'ouverture : 15,0 K (66,1 M MGA au 30 juin 2025).</w:t>
      </w:r>
    </w:p>
    <w:p w14:paraId="52CA5E2C" w14:textId="2814117B" w:rsidR="0042033D" w:rsidRDefault="00000000">
      <w:pPr>
        <w:spacing w:after="60"/>
        <w:jc w:val="both"/>
        <w:rPr>
          <w:sz w:val="24"/>
          <w:szCs w:val="24"/>
        </w:rPr>
      </w:pPr>
      <w:r>
        <w:rPr>
          <w:sz w:val="24"/>
          <w:szCs w:val="24"/>
        </w:rPr>
        <w:t xml:space="preserve">La lecture du plan confirme la soutenabilité de la montée en cadence. En scénario central, la trésorerie de clôture s'établit à environ 56 700 $, dont 18 000 $ de réserve affectée de fonds de roulement et environ 3 900 $ de contingence non consommée : la trésorerie disponible effective ressort à environ 34 800 $, soit un matelas supérieur à cinq mois de charges opérationnelles ; le minimum de période est de 54 700 $ (M+3). Dans le scénario de retard FDA à 120 jours — encaissements institutionnels gelés de M+6 à M+9, sans mobilisation de la ligne de crédit —, la </w:t>
      </w:r>
      <w:r>
        <w:rPr>
          <w:sz w:val="24"/>
          <w:szCs w:val="24"/>
        </w:rPr>
        <w:lastRenderedPageBreak/>
        <w:t xml:space="preserve">trésorerie atteint son point bas à </w:t>
      </w:r>
      <w:r>
        <w:rPr>
          <w:b/>
          <w:bCs/>
          <w:sz w:val="24"/>
          <w:szCs w:val="24"/>
        </w:rPr>
        <w:t>39 300 $ en M+9, soit environ six mois d'OPEX, très au-dessus du plancher de sécurité de 1,5 mois d'OPEX (≈ 9 800 $)</w:t>
      </w:r>
      <w:r>
        <w:rPr>
          <w:sz w:val="24"/>
          <w:szCs w:val="24"/>
        </w:rPr>
        <w:t xml:space="preserve">, puis remonte par le rattrapage des créances. Aucune ligne ne fait apparaître de besoin de financement complémentaire au cours des douze mois post-déboursement ; la ligne </w:t>
      </w:r>
      <w:r w:rsidR="00ED4AD3">
        <w:rPr>
          <w:sz w:val="24"/>
          <w:szCs w:val="24"/>
        </w:rPr>
        <w:t>BNI</w:t>
      </w:r>
      <w:r>
        <w:rPr>
          <w:sz w:val="24"/>
          <w:szCs w:val="24"/>
        </w:rPr>
        <w:t xml:space="preserve"> constitue une enveloppe de sécurité supplémentaire non mobilisée dans ce scénario.</w:t>
      </w:r>
    </w:p>
    <w:p w14:paraId="388BA59C" w14:textId="77777777" w:rsidR="0042033D" w:rsidRDefault="00000000">
      <w:pPr>
        <w:pStyle w:val="Heading2"/>
        <w:spacing w:before="150" w:after="60"/>
        <w:rPr>
          <w:rFonts w:ascii="Times New Roman" w:hAnsi="Times New Roman"/>
        </w:rPr>
      </w:pPr>
      <w:bookmarkStart w:id="88" w:name="_Toc100088"/>
      <w:r>
        <w:rPr>
          <w:rFonts w:ascii="Times New Roman" w:hAnsi="Times New Roman"/>
        </w:rPr>
        <w:t>20.6 Logique de création de valeur par dollar investi</w:t>
      </w:r>
      <w:bookmarkEnd w:id="88"/>
    </w:p>
    <w:p w14:paraId="605D3387" w14:textId="77777777" w:rsidR="0042033D" w:rsidRDefault="00000000">
      <w:pPr>
        <w:pBdr>
          <w:left w:val="single" w:sz="10" w:space="12" w:color="D4875A"/>
        </w:pBdr>
        <w:spacing w:before="80" w:after="140" w:line="300" w:lineRule="auto"/>
        <w:ind w:left="360" w:right="240"/>
        <w:jc w:val="both"/>
        <w:rPr>
          <w:sz w:val="24"/>
          <w:szCs w:val="24"/>
        </w:rPr>
      </w:pPr>
      <w:r>
        <w:rPr>
          <w:sz w:val="24"/>
          <w:szCs w:val="24"/>
        </w:rPr>
        <w:t>Le ratio de création de valeur du financement catalytique est lu à partir des flux du modèle financier : l’EBITDA cumulé des trois exercices 2026–2028 atteint environ 111 K$, soit 2,2 fois le ticket investi sur la phase de montée en cadence. L’analyse de flux actualisés de l’Annexe I complète cette lecture : VAN d’environ 110 K$ au taux de 12 %, TRI d’environ 56,6 % et délai de récupération actualisé d’environ 2,7 ans. Ces indicateurs décrivent le scénario central modélisé et ne constituent pas une garantie de rendement.</w:t>
      </w:r>
    </w:p>
    <w:p w14:paraId="728EA46C" w14:textId="77777777" w:rsidR="0042033D" w:rsidRPr="00AE3011" w:rsidRDefault="00000000">
      <w:pPr>
        <w:pStyle w:val="Heading1"/>
        <w:pBdr>
          <w:bottom w:val="single" w:sz="6" w:space="4" w:color="D4875A"/>
        </w:pBdr>
        <w:spacing w:before="200" w:after="90"/>
        <w:rPr>
          <w:rFonts w:ascii="League Spartan" w:hAnsi="League Spartan"/>
          <w:sz w:val="40"/>
          <w:szCs w:val="40"/>
        </w:rPr>
      </w:pPr>
      <w:bookmarkStart w:id="89" w:name="_Toc238821300"/>
      <w:r w:rsidRPr="00AE3011">
        <w:rPr>
          <w:rFonts w:ascii="League Spartan" w:hAnsi="League Spartan"/>
          <w:sz w:val="40"/>
          <w:szCs w:val="40"/>
        </w:rPr>
        <w:t>21. Modèle financier et projections</w:t>
      </w:r>
      <w:bookmarkEnd w:id="89"/>
    </w:p>
    <w:p w14:paraId="6546B007" w14:textId="77777777" w:rsidR="0042033D" w:rsidRDefault="00000000">
      <w:pPr>
        <w:spacing w:after="60"/>
        <w:jc w:val="both"/>
        <w:rPr>
          <w:sz w:val="24"/>
          <w:szCs w:val="24"/>
        </w:rPr>
      </w:pPr>
      <w:r>
        <w:rPr>
          <w:sz w:val="24"/>
          <w:szCs w:val="24"/>
        </w:rPr>
        <w:t>Le modèle financier est construit selon une logique ascendante, à partir de la capacité de production projetée, des prix de vente par canal et par produit, de la structure des coûts observée sur les trente mois d'exploitation — incluant l'effectif réel de 16 ETP et la rémunération projetée des fondateurs dès 2027 — et des hypothèses macroéconomiques documentées (taux de change, inflation, fiscalité). L'historique couvre la période de juillet 2023 à décembre 2025, avec deux exercices fiscaux clos et certifiés ; l'année 2026 est en cours d'exécution et fera l'objet d'une consolidation à la clôture de l'exercice. Les projections couvrent la période 2026-2030 et sont présentées en années civiles et en devise $ (kilo $). Le taux de change de référence retenu est de 4 500 Ariary pour 1 $.</w:t>
      </w:r>
    </w:p>
    <w:p w14:paraId="63DBF2DA" w14:textId="77777777" w:rsidR="0042033D" w:rsidRDefault="00000000">
      <w:pPr>
        <w:pStyle w:val="Heading2"/>
        <w:spacing w:before="150" w:after="60"/>
        <w:rPr>
          <w:rFonts w:ascii="Times New Roman" w:hAnsi="Times New Roman"/>
        </w:rPr>
      </w:pPr>
      <w:bookmarkStart w:id="90" w:name="_Toc100090"/>
      <w:r>
        <w:rPr>
          <w:rFonts w:ascii="Times New Roman" w:hAnsi="Times New Roman"/>
        </w:rPr>
        <w:t>21.1 Compte de résultat prévisionnel 2026-2030 et pro forma fondateurs</w:t>
      </w:r>
      <w:bookmarkEnd w:id="90"/>
    </w:p>
    <w:p w14:paraId="08008E22" w14:textId="77777777" w:rsidR="0042033D" w:rsidRDefault="00000000">
      <w:pPr>
        <w:spacing w:after="60"/>
        <w:jc w:val="both"/>
        <w:rPr>
          <w:sz w:val="24"/>
          <w:szCs w:val="24"/>
          <w:lang w:val="fr-FR"/>
        </w:rPr>
      </w:pPr>
      <w:r w:rsidRPr="00AE3011">
        <w:rPr>
          <w:sz w:val="24"/>
          <w:szCs w:val="24"/>
        </w:rPr>
        <w:t>Le compte de résultat prévisionnel commence par 2026, année en cours d'exécution, puis couvre les années pleines 2027 à 2030. La croissance du chiffre d'affaires repose sur trois moteurs : l'augmentation des volumes de frass, l'amélioration progressive du mix de prix et la montée en charge de la ligne protéines à partir de 2027. La capacité de 18-22 tonnes/mois en 2026 est une capacité de fin d'exercice et non un volume moyen annuel : le chiffre d'affaires de 80 K$ correspond à une montée en cadence progressive, compatible avec environ 15,6 tonnes de frass commercialisées par mois en moyenne sur l'année selon les hypothèses de prix du modèle. À partir de 2027, les volumes implicites de frass restent sous les plafonds de capacité retenus : environ 24,1 T/mois en 2027, 33,0 en 2028, 42,3 en 2029 et 51,9 en 2030. Le modèle applique une progression moyenne des prix de vente de 5 % par an à partir des références 2026, tandis que les coûts suivent les hypothèses de charges et d'inflation documentées en section 22.</w:t>
      </w:r>
    </w:p>
    <w:p w14:paraId="3EC31D25" w14:textId="77777777" w:rsidR="00AE3011" w:rsidRPr="00AE3011" w:rsidRDefault="00AE3011">
      <w:pPr>
        <w:spacing w:after="60"/>
        <w:jc w:val="both"/>
        <w:rPr>
          <w:sz w:val="32"/>
          <w:szCs w:val="32"/>
          <w:lang w:val="fr-FR"/>
        </w:rPr>
      </w:pPr>
    </w:p>
    <w:p w14:paraId="18596846" w14:textId="77777777" w:rsidR="0042033D" w:rsidRDefault="00000000">
      <w:pPr>
        <w:keepNext/>
        <w:spacing w:before="140" w:after="50" w:line="260" w:lineRule="auto"/>
        <w:rPr>
          <w:sz w:val="24"/>
          <w:szCs w:val="24"/>
        </w:rPr>
      </w:pPr>
      <w:r>
        <w:rPr>
          <w:rFonts w:eastAsia="Arial"/>
          <w:b/>
          <w:bCs/>
          <w:color w:val="1A2330"/>
          <w:sz w:val="24"/>
          <w:szCs w:val="24"/>
        </w:rPr>
        <w:lastRenderedPageBreak/>
        <w:t>Tableau 16 — Compte de résultat prévisionnel consolidé 2025-2030 (k $)</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340"/>
        <w:gridCol w:w="1505"/>
        <w:gridCol w:w="1007"/>
        <w:gridCol w:w="1007"/>
        <w:gridCol w:w="1099"/>
        <w:gridCol w:w="1099"/>
        <w:gridCol w:w="1099"/>
      </w:tblGrid>
      <w:tr w:rsidR="0042033D" w14:paraId="06B55D5F" w14:textId="77777777" w:rsidTr="00AE3011">
        <w:trPr>
          <w:cantSplit/>
          <w:tblHeader/>
        </w:trPr>
        <w:tc>
          <w:tcPr>
            <w:tcW w:w="1278" w:type="pct"/>
            <w:shd w:val="clear" w:color="auto" w:fill="D4875A"/>
            <w:tcMar>
              <w:top w:w="36" w:type="dxa"/>
              <w:left w:w="80" w:type="dxa"/>
              <w:bottom w:w="36" w:type="dxa"/>
              <w:right w:w="80" w:type="dxa"/>
            </w:tcMar>
            <w:vAlign w:val="center"/>
          </w:tcPr>
          <w:p w14:paraId="39020891" w14:textId="77777777" w:rsidR="0042033D" w:rsidRDefault="00000000">
            <w:pPr>
              <w:spacing w:line="232" w:lineRule="auto"/>
              <w:jc w:val="center"/>
              <w:rPr>
                <w:sz w:val="24"/>
                <w:szCs w:val="24"/>
              </w:rPr>
            </w:pPr>
            <w:r>
              <w:rPr>
                <w:b/>
                <w:bCs/>
                <w:color w:val="FFFFFF"/>
                <w:sz w:val="24"/>
                <w:szCs w:val="24"/>
              </w:rPr>
              <w:t>Indicateur (k $)</w:t>
            </w:r>
          </w:p>
        </w:tc>
        <w:tc>
          <w:tcPr>
            <w:tcW w:w="822" w:type="pct"/>
            <w:shd w:val="clear" w:color="auto" w:fill="D4875A"/>
            <w:tcMar>
              <w:top w:w="36" w:type="dxa"/>
              <w:left w:w="80" w:type="dxa"/>
              <w:bottom w:w="36" w:type="dxa"/>
              <w:right w:w="80" w:type="dxa"/>
            </w:tcMar>
            <w:vAlign w:val="center"/>
          </w:tcPr>
          <w:p w14:paraId="1E0F72ED" w14:textId="77777777" w:rsidR="0042033D" w:rsidRDefault="00000000">
            <w:pPr>
              <w:spacing w:line="232" w:lineRule="auto"/>
              <w:jc w:val="center"/>
              <w:rPr>
                <w:sz w:val="24"/>
                <w:szCs w:val="24"/>
              </w:rPr>
            </w:pPr>
            <w:r w:rsidRPr="00AE3011">
              <w:rPr>
                <w:b/>
                <w:bCs/>
                <w:color w:val="FFFFFF"/>
                <w:sz w:val="24"/>
                <w:szCs w:val="24"/>
              </w:rPr>
              <w:t>2025 (gestion, calendrier)*</w:t>
            </w:r>
          </w:p>
        </w:tc>
        <w:tc>
          <w:tcPr>
            <w:tcW w:w="550" w:type="pct"/>
            <w:shd w:val="clear" w:color="auto" w:fill="D4875A"/>
            <w:tcMar>
              <w:top w:w="36" w:type="dxa"/>
              <w:left w:w="80" w:type="dxa"/>
              <w:bottom w:w="36" w:type="dxa"/>
              <w:right w:w="80" w:type="dxa"/>
            </w:tcMar>
            <w:vAlign w:val="center"/>
          </w:tcPr>
          <w:p w14:paraId="51B8B62E" w14:textId="77777777" w:rsidR="0042033D" w:rsidRDefault="00000000">
            <w:pPr>
              <w:spacing w:line="232" w:lineRule="auto"/>
              <w:jc w:val="center"/>
              <w:rPr>
                <w:sz w:val="24"/>
                <w:szCs w:val="24"/>
              </w:rPr>
            </w:pPr>
            <w:r>
              <w:rPr>
                <w:b/>
                <w:bCs/>
                <w:color w:val="FFFFFF"/>
                <w:sz w:val="24"/>
                <w:szCs w:val="24"/>
              </w:rPr>
              <w:t>2026</w:t>
            </w:r>
          </w:p>
        </w:tc>
        <w:tc>
          <w:tcPr>
            <w:tcW w:w="550" w:type="pct"/>
            <w:shd w:val="clear" w:color="auto" w:fill="D4875A"/>
            <w:tcMar>
              <w:top w:w="36" w:type="dxa"/>
              <w:left w:w="80" w:type="dxa"/>
              <w:bottom w:w="36" w:type="dxa"/>
              <w:right w:w="80" w:type="dxa"/>
            </w:tcMar>
            <w:vAlign w:val="center"/>
          </w:tcPr>
          <w:p w14:paraId="3631D283" w14:textId="77777777" w:rsidR="0042033D" w:rsidRDefault="00000000">
            <w:pPr>
              <w:spacing w:line="232" w:lineRule="auto"/>
              <w:jc w:val="center"/>
              <w:rPr>
                <w:sz w:val="24"/>
                <w:szCs w:val="24"/>
              </w:rPr>
            </w:pPr>
            <w:r>
              <w:rPr>
                <w:b/>
                <w:bCs/>
                <w:color w:val="FFFFFF"/>
                <w:sz w:val="24"/>
                <w:szCs w:val="24"/>
              </w:rPr>
              <w:t>2027</w:t>
            </w:r>
          </w:p>
        </w:tc>
        <w:tc>
          <w:tcPr>
            <w:tcW w:w="600" w:type="pct"/>
            <w:shd w:val="clear" w:color="auto" w:fill="D4875A"/>
            <w:tcMar>
              <w:top w:w="36" w:type="dxa"/>
              <w:left w:w="80" w:type="dxa"/>
              <w:bottom w:w="36" w:type="dxa"/>
              <w:right w:w="80" w:type="dxa"/>
            </w:tcMar>
            <w:vAlign w:val="center"/>
          </w:tcPr>
          <w:p w14:paraId="3065B03A" w14:textId="77777777" w:rsidR="0042033D" w:rsidRDefault="00000000">
            <w:pPr>
              <w:spacing w:line="232" w:lineRule="auto"/>
              <w:jc w:val="center"/>
              <w:rPr>
                <w:sz w:val="24"/>
                <w:szCs w:val="24"/>
              </w:rPr>
            </w:pPr>
            <w:r>
              <w:rPr>
                <w:b/>
                <w:bCs/>
                <w:color w:val="FFFFFF"/>
                <w:sz w:val="24"/>
                <w:szCs w:val="24"/>
              </w:rPr>
              <w:t>2028</w:t>
            </w:r>
          </w:p>
        </w:tc>
        <w:tc>
          <w:tcPr>
            <w:tcW w:w="600" w:type="pct"/>
            <w:shd w:val="clear" w:color="auto" w:fill="D4875A"/>
            <w:tcMar>
              <w:top w:w="36" w:type="dxa"/>
              <w:left w:w="80" w:type="dxa"/>
              <w:bottom w:w="36" w:type="dxa"/>
              <w:right w:w="80" w:type="dxa"/>
            </w:tcMar>
            <w:vAlign w:val="center"/>
          </w:tcPr>
          <w:p w14:paraId="4826633B" w14:textId="77777777" w:rsidR="0042033D" w:rsidRDefault="00000000">
            <w:pPr>
              <w:spacing w:line="232" w:lineRule="auto"/>
              <w:jc w:val="center"/>
              <w:rPr>
                <w:sz w:val="24"/>
                <w:szCs w:val="24"/>
              </w:rPr>
            </w:pPr>
            <w:r>
              <w:rPr>
                <w:b/>
                <w:bCs/>
                <w:color w:val="FFFFFF"/>
                <w:sz w:val="24"/>
                <w:szCs w:val="24"/>
              </w:rPr>
              <w:t>2029</w:t>
            </w:r>
          </w:p>
        </w:tc>
        <w:tc>
          <w:tcPr>
            <w:tcW w:w="600" w:type="pct"/>
            <w:shd w:val="clear" w:color="auto" w:fill="D4875A"/>
            <w:tcMar>
              <w:top w:w="36" w:type="dxa"/>
              <w:left w:w="80" w:type="dxa"/>
              <w:bottom w:w="36" w:type="dxa"/>
              <w:right w:w="80" w:type="dxa"/>
            </w:tcMar>
            <w:vAlign w:val="center"/>
          </w:tcPr>
          <w:p w14:paraId="03B9B730" w14:textId="77777777" w:rsidR="0042033D" w:rsidRDefault="00000000">
            <w:pPr>
              <w:spacing w:line="232" w:lineRule="auto"/>
              <w:jc w:val="center"/>
              <w:rPr>
                <w:sz w:val="24"/>
                <w:szCs w:val="24"/>
              </w:rPr>
            </w:pPr>
            <w:r>
              <w:rPr>
                <w:b/>
                <w:bCs/>
                <w:color w:val="FFFFFF"/>
                <w:sz w:val="24"/>
                <w:szCs w:val="24"/>
              </w:rPr>
              <w:t>2030</w:t>
            </w:r>
          </w:p>
        </w:tc>
      </w:tr>
      <w:tr w:rsidR="0042033D" w14:paraId="70141BBC" w14:textId="77777777" w:rsidTr="00AE3011">
        <w:trPr>
          <w:cantSplit/>
        </w:trPr>
        <w:tc>
          <w:tcPr>
            <w:tcW w:w="1278" w:type="pct"/>
            <w:tcMar>
              <w:top w:w="28" w:type="dxa"/>
              <w:left w:w="80" w:type="dxa"/>
              <w:bottom w:w="28" w:type="dxa"/>
              <w:right w:w="80" w:type="dxa"/>
            </w:tcMar>
            <w:vAlign w:val="center"/>
          </w:tcPr>
          <w:p w14:paraId="76CBAA13" w14:textId="77777777" w:rsidR="0042033D" w:rsidRDefault="00000000">
            <w:pPr>
              <w:spacing w:line="232" w:lineRule="auto"/>
              <w:rPr>
                <w:sz w:val="24"/>
                <w:szCs w:val="24"/>
              </w:rPr>
            </w:pPr>
            <w:r>
              <w:rPr>
                <w:b/>
                <w:bCs/>
                <w:sz w:val="24"/>
                <w:szCs w:val="24"/>
              </w:rPr>
              <w:t>Chiffre d'affaires</w:t>
            </w:r>
          </w:p>
        </w:tc>
        <w:tc>
          <w:tcPr>
            <w:tcW w:w="822" w:type="pct"/>
            <w:tcMar>
              <w:top w:w="28" w:type="dxa"/>
              <w:left w:w="80" w:type="dxa"/>
              <w:bottom w:w="28" w:type="dxa"/>
              <w:right w:w="80" w:type="dxa"/>
            </w:tcMar>
            <w:vAlign w:val="center"/>
          </w:tcPr>
          <w:p w14:paraId="7E488D50" w14:textId="77777777" w:rsidR="0042033D" w:rsidRDefault="00000000">
            <w:pPr>
              <w:spacing w:line="232" w:lineRule="auto"/>
              <w:jc w:val="center"/>
              <w:rPr>
                <w:sz w:val="24"/>
                <w:szCs w:val="24"/>
              </w:rPr>
            </w:pPr>
            <w:r>
              <w:rPr>
                <w:b/>
                <w:bCs/>
                <w:sz w:val="24"/>
                <w:szCs w:val="24"/>
              </w:rPr>
              <w:t>61</w:t>
            </w:r>
          </w:p>
        </w:tc>
        <w:tc>
          <w:tcPr>
            <w:tcW w:w="550" w:type="pct"/>
            <w:tcMar>
              <w:top w:w="28" w:type="dxa"/>
              <w:left w:w="80" w:type="dxa"/>
              <w:bottom w:w="28" w:type="dxa"/>
              <w:right w:w="80" w:type="dxa"/>
            </w:tcMar>
            <w:vAlign w:val="center"/>
          </w:tcPr>
          <w:p w14:paraId="4062445A" w14:textId="77777777" w:rsidR="0042033D" w:rsidRDefault="00000000">
            <w:pPr>
              <w:spacing w:line="232" w:lineRule="auto"/>
              <w:jc w:val="center"/>
              <w:rPr>
                <w:sz w:val="24"/>
                <w:szCs w:val="24"/>
              </w:rPr>
            </w:pPr>
            <w:r>
              <w:rPr>
                <w:b/>
                <w:bCs/>
                <w:sz w:val="24"/>
                <w:szCs w:val="24"/>
              </w:rPr>
              <w:t>80</w:t>
            </w:r>
          </w:p>
        </w:tc>
        <w:tc>
          <w:tcPr>
            <w:tcW w:w="550" w:type="pct"/>
            <w:tcMar>
              <w:top w:w="28" w:type="dxa"/>
              <w:left w:w="80" w:type="dxa"/>
              <w:bottom w:w="28" w:type="dxa"/>
              <w:right w:w="80" w:type="dxa"/>
            </w:tcMar>
            <w:vAlign w:val="center"/>
          </w:tcPr>
          <w:p w14:paraId="14E50824" w14:textId="77777777" w:rsidR="0042033D" w:rsidRDefault="00000000">
            <w:pPr>
              <w:spacing w:line="232" w:lineRule="auto"/>
              <w:jc w:val="center"/>
              <w:rPr>
                <w:sz w:val="24"/>
                <w:szCs w:val="24"/>
              </w:rPr>
            </w:pPr>
            <w:r>
              <w:rPr>
                <w:b/>
                <w:bCs/>
                <w:sz w:val="24"/>
                <w:szCs w:val="24"/>
              </w:rPr>
              <w:t>145</w:t>
            </w:r>
          </w:p>
        </w:tc>
        <w:tc>
          <w:tcPr>
            <w:tcW w:w="600" w:type="pct"/>
            <w:tcMar>
              <w:top w:w="28" w:type="dxa"/>
              <w:left w:w="80" w:type="dxa"/>
              <w:bottom w:w="28" w:type="dxa"/>
              <w:right w:w="80" w:type="dxa"/>
            </w:tcMar>
            <w:vAlign w:val="center"/>
          </w:tcPr>
          <w:p w14:paraId="3175FF95" w14:textId="77777777" w:rsidR="0042033D" w:rsidRDefault="00000000">
            <w:pPr>
              <w:spacing w:line="232" w:lineRule="auto"/>
              <w:jc w:val="center"/>
              <w:rPr>
                <w:sz w:val="24"/>
                <w:szCs w:val="24"/>
              </w:rPr>
            </w:pPr>
            <w:r>
              <w:rPr>
                <w:b/>
                <w:bCs/>
                <w:sz w:val="24"/>
                <w:szCs w:val="24"/>
              </w:rPr>
              <w:t>225</w:t>
            </w:r>
          </w:p>
        </w:tc>
        <w:tc>
          <w:tcPr>
            <w:tcW w:w="600" w:type="pct"/>
            <w:tcMar>
              <w:top w:w="28" w:type="dxa"/>
              <w:left w:w="80" w:type="dxa"/>
              <w:bottom w:w="28" w:type="dxa"/>
              <w:right w:w="80" w:type="dxa"/>
            </w:tcMar>
            <w:vAlign w:val="center"/>
          </w:tcPr>
          <w:p w14:paraId="16DABAF1" w14:textId="77777777" w:rsidR="0042033D" w:rsidRDefault="00000000">
            <w:pPr>
              <w:spacing w:line="232" w:lineRule="auto"/>
              <w:jc w:val="center"/>
              <w:rPr>
                <w:sz w:val="24"/>
                <w:szCs w:val="24"/>
              </w:rPr>
            </w:pPr>
            <w:r>
              <w:rPr>
                <w:b/>
                <w:bCs/>
                <w:sz w:val="24"/>
                <w:szCs w:val="24"/>
              </w:rPr>
              <w:t>315</w:t>
            </w:r>
          </w:p>
        </w:tc>
        <w:tc>
          <w:tcPr>
            <w:tcW w:w="600" w:type="pct"/>
            <w:tcMar>
              <w:top w:w="28" w:type="dxa"/>
              <w:left w:w="80" w:type="dxa"/>
              <w:bottom w:w="28" w:type="dxa"/>
              <w:right w:w="80" w:type="dxa"/>
            </w:tcMar>
            <w:vAlign w:val="center"/>
          </w:tcPr>
          <w:p w14:paraId="604271C9" w14:textId="77777777" w:rsidR="0042033D" w:rsidRDefault="00000000">
            <w:pPr>
              <w:spacing w:line="232" w:lineRule="auto"/>
              <w:jc w:val="center"/>
              <w:rPr>
                <w:sz w:val="24"/>
                <w:szCs w:val="24"/>
              </w:rPr>
            </w:pPr>
            <w:r>
              <w:rPr>
                <w:b/>
                <w:bCs/>
                <w:sz w:val="24"/>
                <w:szCs w:val="24"/>
              </w:rPr>
              <w:t>420</w:t>
            </w:r>
          </w:p>
        </w:tc>
      </w:tr>
      <w:tr w:rsidR="0042033D" w14:paraId="3D2FB10F" w14:textId="77777777" w:rsidTr="00AE3011">
        <w:trPr>
          <w:cantSplit/>
        </w:trPr>
        <w:tc>
          <w:tcPr>
            <w:tcW w:w="1278" w:type="pct"/>
            <w:tcMar>
              <w:top w:w="28" w:type="dxa"/>
              <w:left w:w="80" w:type="dxa"/>
              <w:bottom w:w="28" w:type="dxa"/>
              <w:right w:w="80" w:type="dxa"/>
            </w:tcMar>
            <w:vAlign w:val="center"/>
          </w:tcPr>
          <w:p w14:paraId="4E78F4D4" w14:textId="77777777" w:rsidR="0042033D" w:rsidRDefault="00000000">
            <w:pPr>
              <w:spacing w:line="232" w:lineRule="auto"/>
              <w:rPr>
                <w:sz w:val="24"/>
                <w:szCs w:val="24"/>
              </w:rPr>
            </w:pPr>
            <w:r>
              <w:rPr>
                <w:b/>
                <w:bCs/>
                <w:sz w:val="24"/>
                <w:szCs w:val="24"/>
              </w:rPr>
              <w:t>Coûts opératoires (COGS)</w:t>
            </w:r>
          </w:p>
        </w:tc>
        <w:tc>
          <w:tcPr>
            <w:tcW w:w="822" w:type="pct"/>
            <w:tcMar>
              <w:top w:w="28" w:type="dxa"/>
              <w:left w:w="80" w:type="dxa"/>
              <w:bottom w:w="28" w:type="dxa"/>
              <w:right w:w="80" w:type="dxa"/>
            </w:tcMar>
            <w:vAlign w:val="center"/>
          </w:tcPr>
          <w:p w14:paraId="11555AD6" w14:textId="77777777" w:rsidR="0042033D" w:rsidRDefault="00000000">
            <w:pPr>
              <w:spacing w:line="232" w:lineRule="auto"/>
              <w:jc w:val="center"/>
              <w:rPr>
                <w:sz w:val="24"/>
                <w:szCs w:val="24"/>
              </w:rPr>
            </w:pPr>
            <w:r>
              <w:rPr>
                <w:b/>
                <w:bCs/>
                <w:sz w:val="24"/>
                <w:szCs w:val="24"/>
              </w:rPr>
              <w:t>31</w:t>
            </w:r>
          </w:p>
        </w:tc>
        <w:tc>
          <w:tcPr>
            <w:tcW w:w="550" w:type="pct"/>
            <w:tcMar>
              <w:top w:w="28" w:type="dxa"/>
              <w:left w:w="80" w:type="dxa"/>
              <w:bottom w:w="28" w:type="dxa"/>
              <w:right w:w="80" w:type="dxa"/>
            </w:tcMar>
            <w:vAlign w:val="center"/>
          </w:tcPr>
          <w:p w14:paraId="128A73D9" w14:textId="77777777" w:rsidR="0042033D" w:rsidRDefault="00000000">
            <w:pPr>
              <w:spacing w:line="232" w:lineRule="auto"/>
              <w:jc w:val="center"/>
              <w:rPr>
                <w:sz w:val="24"/>
                <w:szCs w:val="24"/>
              </w:rPr>
            </w:pPr>
            <w:r>
              <w:rPr>
                <w:b/>
                <w:bCs/>
                <w:sz w:val="24"/>
                <w:szCs w:val="24"/>
              </w:rPr>
              <w:t>44</w:t>
            </w:r>
          </w:p>
        </w:tc>
        <w:tc>
          <w:tcPr>
            <w:tcW w:w="550" w:type="pct"/>
            <w:tcMar>
              <w:top w:w="28" w:type="dxa"/>
              <w:left w:w="80" w:type="dxa"/>
              <w:bottom w:w="28" w:type="dxa"/>
              <w:right w:w="80" w:type="dxa"/>
            </w:tcMar>
            <w:vAlign w:val="center"/>
          </w:tcPr>
          <w:p w14:paraId="648B16D5" w14:textId="77777777" w:rsidR="0042033D" w:rsidRDefault="00000000">
            <w:pPr>
              <w:spacing w:line="232" w:lineRule="auto"/>
              <w:jc w:val="center"/>
              <w:rPr>
                <w:sz w:val="24"/>
                <w:szCs w:val="24"/>
              </w:rPr>
            </w:pPr>
            <w:r>
              <w:rPr>
                <w:b/>
                <w:bCs/>
                <w:sz w:val="24"/>
                <w:szCs w:val="24"/>
              </w:rPr>
              <w:t>77</w:t>
            </w:r>
          </w:p>
        </w:tc>
        <w:tc>
          <w:tcPr>
            <w:tcW w:w="600" w:type="pct"/>
            <w:tcMar>
              <w:top w:w="28" w:type="dxa"/>
              <w:left w:w="80" w:type="dxa"/>
              <w:bottom w:w="28" w:type="dxa"/>
              <w:right w:w="80" w:type="dxa"/>
            </w:tcMar>
            <w:vAlign w:val="center"/>
          </w:tcPr>
          <w:p w14:paraId="46F7E2C3" w14:textId="77777777" w:rsidR="0042033D" w:rsidRDefault="00000000">
            <w:pPr>
              <w:spacing w:line="232" w:lineRule="auto"/>
              <w:jc w:val="center"/>
              <w:rPr>
                <w:sz w:val="24"/>
                <w:szCs w:val="24"/>
              </w:rPr>
            </w:pPr>
            <w:r>
              <w:rPr>
                <w:b/>
                <w:bCs/>
                <w:sz w:val="24"/>
                <w:szCs w:val="24"/>
              </w:rPr>
              <w:t>116</w:t>
            </w:r>
          </w:p>
        </w:tc>
        <w:tc>
          <w:tcPr>
            <w:tcW w:w="600" w:type="pct"/>
            <w:tcMar>
              <w:top w:w="28" w:type="dxa"/>
              <w:left w:w="80" w:type="dxa"/>
              <w:bottom w:w="28" w:type="dxa"/>
              <w:right w:w="80" w:type="dxa"/>
            </w:tcMar>
            <w:vAlign w:val="center"/>
          </w:tcPr>
          <w:p w14:paraId="2EC33692" w14:textId="77777777" w:rsidR="0042033D" w:rsidRDefault="00000000">
            <w:pPr>
              <w:spacing w:line="232" w:lineRule="auto"/>
              <w:jc w:val="center"/>
              <w:rPr>
                <w:sz w:val="24"/>
                <w:szCs w:val="24"/>
              </w:rPr>
            </w:pPr>
            <w:r>
              <w:rPr>
                <w:b/>
                <w:bCs/>
                <w:sz w:val="24"/>
                <w:szCs w:val="24"/>
              </w:rPr>
              <w:t>157</w:t>
            </w:r>
          </w:p>
        </w:tc>
        <w:tc>
          <w:tcPr>
            <w:tcW w:w="600" w:type="pct"/>
            <w:tcMar>
              <w:top w:w="28" w:type="dxa"/>
              <w:left w:w="80" w:type="dxa"/>
              <w:bottom w:w="28" w:type="dxa"/>
              <w:right w:w="80" w:type="dxa"/>
            </w:tcMar>
            <w:vAlign w:val="center"/>
          </w:tcPr>
          <w:p w14:paraId="12114FD1" w14:textId="77777777" w:rsidR="0042033D" w:rsidRDefault="00000000">
            <w:pPr>
              <w:spacing w:line="232" w:lineRule="auto"/>
              <w:jc w:val="center"/>
              <w:rPr>
                <w:sz w:val="24"/>
                <w:szCs w:val="24"/>
              </w:rPr>
            </w:pPr>
            <w:r>
              <w:rPr>
                <w:b/>
                <w:bCs/>
                <w:sz w:val="24"/>
                <w:szCs w:val="24"/>
              </w:rPr>
              <w:t>198</w:t>
            </w:r>
          </w:p>
        </w:tc>
      </w:tr>
      <w:tr w:rsidR="0042033D" w14:paraId="7B255BC0" w14:textId="77777777" w:rsidTr="00AE3011">
        <w:trPr>
          <w:cantSplit/>
        </w:trPr>
        <w:tc>
          <w:tcPr>
            <w:tcW w:w="1278" w:type="pct"/>
            <w:tcMar>
              <w:top w:w="28" w:type="dxa"/>
              <w:left w:w="80" w:type="dxa"/>
              <w:bottom w:w="28" w:type="dxa"/>
              <w:right w:w="80" w:type="dxa"/>
            </w:tcMar>
            <w:vAlign w:val="center"/>
          </w:tcPr>
          <w:p w14:paraId="69A865C3" w14:textId="77777777" w:rsidR="0042033D" w:rsidRDefault="00000000">
            <w:pPr>
              <w:spacing w:line="232" w:lineRule="auto"/>
              <w:rPr>
                <w:sz w:val="24"/>
                <w:szCs w:val="24"/>
              </w:rPr>
            </w:pPr>
            <w:r>
              <w:rPr>
                <w:b/>
                <w:bCs/>
                <w:sz w:val="24"/>
                <w:szCs w:val="24"/>
              </w:rPr>
              <w:t>Marge brute</w:t>
            </w:r>
          </w:p>
        </w:tc>
        <w:tc>
          <w:tcPr>
            <w:tcW w:w="822" w:type="pct"/>
            <w:tcMar>
              <w:top w:w="28" w:type="dxa"/>
              <w:left w:w="80" w:type="dxa"/>
              <w:bottom w:w="28" w:type="dxa"/>
              <w:right w:w="80" w:type="dxa"/>
            </w:tcMar>
            <w:vAlign w:val="center"/>
          </w:tcPr>
          <w:p w14:paraId="7C54D775" w14:textId="77777777" w:rsidR="0042033D" w:rsidRDefault="00000000">
            <w:pPr>
              <w:spacing w:line="232" w:lineRule="auto"/>
              <w:jc w:val="center"/>
              <w:rPr>
                <w:sz w:val="24"/>
                <w:szCs w:val="24"/>
              </w:rPr>
            </w:pPr>
            <w:r>
              <w:rPr>
                <w:b/>
                <w:bCs/>
                <w:sz w:val="24"/>
                <w:szCs w:val="24"/>
              </w:rPr>
              <w:t>30</w:t>
            </w:r>
          </w:p>
        </w:tc>
        <w:tc>
          <w:tcPr>
            <w:tcW w:w="550" w:type="pct"/>
            <w:tcMar>
              <w:top w:w="28" w:type="dxa"/>
              <w:left w:w="80" w:type="dxa"/>
              <w:bottom w:w="28" w:type="dxa"/>
              <w:right w:w="80" w:type="dxa"/>
            </w:tcMar>
            <w:vAlign w:val="center"/>
          </w:tcPr>
          <w:p w14:paraId="5DDA99BD" w14:textId="77777777" w:rsidR="0042033D" w:rsidRDefault="00000000">
            <w:pPr>
              <w:spacing w:line="232" w:lineRule="auto"/>
              <w:jc w:val="center"/>
              <w:rPr>
                <w:sz w:val="24"/>
                <w:szCs w:val="24"/>
              </w:rPr>
            </w:pPr>
            <w:r>
              <w:rPr>
                <w:b/>
                <w:bCs/>
                <w:sz w:val="24"/>
                <w:szCs w:val="24"/>
              </w:rPr>
              <w:t>36</w:t>
            </w:r>
          </w:p>
        </w:tc>
        <w:tc>
          <w:tcPr>
            <w:tcW w:w="550" w:type="pct"/>
            <w:tcMar>
              <w:top w:w="28" w:type="dxa"/>
              <w:left w:w="80" w:type="dxa"/>
              <w:bottom w:w="28" w:type="dxa"/>
              <w:right w:w="80" w:type="dxa"/>
            </w:tcMar>
            <w:vAlign w:val="center"/>
          </w:tcPr>
          <w:p w14:paraId="2648D9C7" w14:textId="77777777" w:rsidR="0042033D" w:rsidRDefault="00000000">
            <w:pPr>
              <w:spacing w:line="232" w:lineRule="auto"/>
              <w:jc w:val="center"/>
              <w:rPr>
                <w:sz w:val="24"/>
                <w:szCs w:val="24"/>
              </w:rPr>
            </w:pPr>
            <w:r>
              <w:rPr>
                <w:b/>
                <w:bCs/>
                <w:sz w:val="24"/>
                <w:szCs w:val="24"/>
              </w:rPr>
              <w:t>68</w:t>
            </w:r>
          </w:p>
        </w:tc>
        <w:tc>
          <w:tcPr>
            <w:tcW w:w="600" w:type="pct"/>
            <w:tcMar>
              <w:top w:w="28" w:type="dxa"/>
              <w:left w:w="80" w:type="dxa"/>
              <w:bottom w:w="28" w:type="dxa"/>
              <w:right w:w="80" w:type="dxa"/>
            </w:tcMar>
            <w:vAlign w:val="center"/>
          </w:tcPr>
          <w:p w14:paraId="53D77345" w14:textId="77777777" w:rsidR="0042033D" w:rsidRDefault="00000000">
            <w:pPr>
              <w:spacing w:line="232" w:lineRule="auto"/>
              <w:jc w:val="center"/>
              <w:rPr>
                <w:sz w:val="24"/>
                <w:szCs w:val="24"/>
              </w:rPr>
            </w:pPr>
            <w:r>
              <w:rPr>
                <w:b/>
                <w:bCs/>
                <w:sz w:val="24"/>
                <w:szCs w:val="24"/>
              </w:rPr>
              <w:t>109</w:t>
            </w:r>
          </w:p>
        </w:tc>
        <w:tc>
          <w:tcPr>
            <w:tcW w:w="600" w:type="pct"/>
            <w:tcMar>
              <w:top w:w="28" w:type="dxa"/>
              <w:left w:w="80" w:type="dxa"/>
              <w:bottom w:w="28" w:type="dxa"/>
              <w:right w:w="80" w:type="dxa"/>
            </w:tcMar>
            <w:vAlign w:val="center"/>
          </w:tcPr>
          <w:p w14:paraId="0B6DFEF4" w14:textId="77777777" w:rsidR="0042033D" w:rsidRDefault="00000000">
            <w:pPr>
              <w:spacing w:line="232" w:lineRule="auto"/>
              <w:jc w:val="center"/>
              <w:rPr>
                <w:sz w:val="24"/>
                <w:szCs w:val="24"/>
              </w:rPr>
            </w:pPr>
            <w:r>
              <w:rPr>
                <w:b/>
                <w:bCs/>
                <w:sz w:val="24"/>
                <w:szCs w:val="24"/>
              </w:rPr>
              <w:t>158</w:t>
            </w:r>
          </w:p>
        </w:tc>
        <w:tc>
          <w:tcPr>
            <w:tcW w:w="600" w:type="pct"/>
            <w:tcMar>
              <w:top w:w="28" w:type="dxa"/>
              <w:left w:w="80" w:type="dxa"/>
              <w:bottom w:w="28" w:type="dxa"/>
              <w:right w:w="80" w:type="dxa"/>
            </w:tcMar>
            <w:vAlign w:val="center"/>
          </w:tcPr>
          <w:p w14:paraId="15DA84CD" w14:textId="77777777" w:rsidR="0042033D" w:rsidRDefault="00000000">
            <w:pPr>
              <w:spacing w:line="232" w:lineRule="auto"/>
              <w:jc w:val="center"/>
              <w:rPr>
                <w:sz w:val="24"/>
                <w:szCs w:val="24"/>
              </w:rPr>
            </w:pPr>
            <w:r>
              <w:rPr>
                <w:b/>
                <w:bCs/>
                <w:sz w:val="24"/>
                <w:szCs w:val="24"/>
              </w:rPr>
              <w:t>222</w:t>
            </w:r>
          </w:p>
        </w:tc>
      </w:tr>
      <w:tr w:rsidR="0042033D" w14:paraId="53D63FC0" w14:textId="77777777" w:rsidTr="00AE3011">
        <w:trPr>
          <w:cantSplit/>
        </w:trPr>
        <w:tc>
          <w:tcPr>
            <w:tcW w:w="1278" w:type="pct"/>
            <w:tcMar>
              <w:top w:w="28" w:type="dxa"/>
              <w:left w:w="80" w:type="dxa"/>
              <w:bottom w:w="28" w:type="dxa"/>
              <w:right w:w="80" w:type="dxa"/>
            </w:tcMar>
            <w:vAlign w:val="center"/>
          </w:tcPr>
          <w:p w14:paraId="633DC631" w14:textId="77777777" w:rsidR="0042033D" w:rsidRDefault="00000000">
            <w:pPr>
              <w:spacing w:line="232" w:lineRule="auto"/>
              <w:rPr>
                <w:sz w:val="24"/>
                <w:szCs w:val="24"/>
              </w:rPr>
            </w:pPr>
            <w:r>
              <w:rPr>
                <w:b/>
                <w:bCs/>
                <w:sz w:val="24"/>
                <w:szCs w:val="24"/>
              </w:rPr>
              <w:t>Marge brute (%)</w:t>
            </w:r>
          </w:p>
        </w:tc>
        <w:tc>
          <w:tcPr>
            <w:tcW w:w="822" w:type="pct"/>
            <w:tcMar>
              <w:top w:w="28" w:type="dxa"/>
              <w:left w:w="80" w:type="dxa"/>
              <w:bottom w:w="28" w:type="dxa"/>
              <w:right w:w="80" w:type="dxa"/>
            </w:tcMar>
            <w:vAlign w:val="center"/>
          </w:tcPr>
          <w:p w14:paraId="53E91FF0" w14:textId="77777777" w:rsidR="0042033D" w:rsidRDefault="00000000">
            <w:pPr>
              <w:spacing w:line="232" w:lineRule="auto"/>
              <w:jc w:val="center"/>
              <w:rPr>
                <w:sz w:val="24"/>
                <w:szCs w:val="24"/>
              </w:rPr>
            </w:pPr>
            <w:r>
              <w:rPr>
                <w:b/>
                <w:bCs/>
                <w:sz w:val="24"/>
                <w:szCs w:val="24"/>
              </w:rPr>
              <w:t>49 %</w:t>
            </w:r>
          </w:p>
        </w:tc>
        <w:tc>
          <w:tcPr>
            <w:tcW w:w="550" w:type="pct"/>
            <w:tcMar>
              <w:top w:w="28" w:type="dxa"/>
              <w:left w:w="80" w:type="dxa"/>
              <w:bottom w:w="28" w:type="dxa"/>
              <w:right w:w="80" w:type="dxa"/>
            </w:tcMar>
            <w:vAlign w:val="center"/>
          </w:tcPr>
          <w:p w14:paraId="317B27BC" w14:textId="77777777" w:rsidR="0042033D" w:rsidRDefault="00000000">
            <w:pPr>
              <w:spacing w:line="232" w:lineRule="auto"/>
              <w:jc w:val="center"/>
              <w:rPr>
                <w:sz w:val="24"/>
                <w:szCs w:val="24"/>
              </w:rPr>
            </w:pPr>
            <w:r>
              <w:rPr>
                <w:b/>
                <w:bCs/>
                <w:sz w:val="24"/>
                <w:szCs w:val="24"/>
              </w:rPr>
              <w:t>45 %</w:t>
            </w:r>
          </w:p>
        </w:tc>
        <w:tc>
          <w:tcPr>
            <w:tcW w:w="550" w:type="pct"/>
            <w:tcMar>
              <w:top w:w="28" w:type="dxa"/>
              <w:left w:w="80" w:type="dxa"/>
              <w:bottom w:w="28" w:type="dxa"/>
              <w:right w:w="80" w:type="dxa"/>
            </w:tcMar>
            <w:vAlign w:val="center"/>
          </w:tcPr>
          <w:p w14:paraId="5CB02033" w14:textId="77777777" w:rsidR="0042033D" w:rsidRDefault="00000000">
            <w:pPr>
              <w:spacing w:line="232" w:lineRule="auto"/>
              <w:jc w:val="center"/>
              <w:rPr>
                <w:sz w:val="24"/>
                <w:szCs w:val="24"/>
              </w:rPr>
            </w:pPr>
            <w:r>
              <w:rPr>
                <w:b/>
                <w:bCs/>
                <w:sz w:val="24"/>
                <w:szCs w:val="24"/>
              </w:rPr>
              <w:t>47 %</w:t>
            </w:r>
          </w:p>
        </w:tc>
        <w:tc>
          <w:tcPr>
            <w:tcW w:w="600" w:type="pct"/>
            <w:tcMar>
              <w:top w:w="28" w:type="dxa"/>
              <w:left w:w="80" w:type="dxa"/>
              <w:bottom w:w="28" w:type="dxa"/>
              <w:right w:w="80" w:type="dxa"/>
            </w:tcMar>
            <w:vAlign w:val="center"/>
          </w:tcPr>
          <w:p w14:paraId="6BD03A9D" w14:textId="77777777" w:rsidR="0042033D" w:rsidRDefault="00000000">
            <w:pPr>
              <w:spacing w:line="232" w:lineRule="auto"/>
              <w:jc w:val="center"/>
              <w:rPr>
                <w:sz w:val="24"/>
                <w:szCs w:val="24"/>
              </w:rPr>
            </w:pPr>
            <w:r>
              <w:rPr>
                <w:b/>
                <w:bCs/>
                <w:sz w:val="24"/>
                <w:szCs w:val="24"/>
              </w:rPr>
              <w:t>48 %</w:t>
            </w:r>
          </w:p>
        </w:tc>
        <w:tc>
          <w:tcPr>
            <w:tcW w:w="600" w:type="pct"/>
            <w:tcMar>
              <w:top w:w="28" w:type="dxa"/>
              <w:left w:w="80" w:type="dxa"/>
              <w:bottom w:w="28" w:type="dxa"/>
              <w:right w:w="80" w:type="dxa"/>
            </w:tcMar>
            <w:vAlign w:val="center"/>
          </w:tcPr>
          <w:p w14:paraId="2E657D11" w14:textId="77777777" w:rsidR="0042033D" w:rsidRDefault="00000000">
            <w:pPr>
              <w:spacing w:line="232" w:lineRule="auto"/>
              <w:jc w:val="center"/>
              <w:rPr>
                <w:sz w:val="24"/>
                <w:szCs w:val="24"/>
              </w:rPr>
            </w:pPr>
            <w:r>
              <w:rPr>
                <w:b/>
                <w:bCs/>
                <w:sz w:val="24"/>
                <w:szCs w:val="24"/>
              </w:rPr>
              <w:t>50 %</w:t>
            </w:r>
          </w:p>
        </w:tc>
        <w:tc>
          <w:tcPr>
            <w:tcW w:w="600" w:type="pct"/>
            <w:tcMar>
              <w:top w:w="28" w:type="dxa"/>
              <w:left w:w="80" w:type="dxa"/>
              <w:bottom w:w="28" w:type="dxa"/>
              <w:right w:w="80" w:type="dxa"/>
            </w:tcMar>
            <w:vAlign w:val="center"/>
          </w:tcPr>
          <w:p w14:paraId="067BBB8A" w14:textId="77777777" w:rsidR="0042033D" w:rsidRDefault="00000000">
            <w:pPr>
              <w:spacing w:line="232" w:lineRule="auto"/>
              <w:jc w:val="center"/>
              <w:rPr>
                <w:sz w:val="24"/>
                <w:szCs w:val="24"/>
              </w:rPr>
            </w:pPr>
            <w:r>
              <w:rPr>
                <w:b/>
                <w:bCs/>
                <w:sz w:val="24"/>
                <w:szCs w:val="24"/>
              </w:rPr>
              <w:t>53 %</w:t>
            </w:r>
          </w:p>
        </w:tc>
      </w:tr>
      <w:tr w:rsidR="0042033D" w14:paraId="6AB387E9" w14:textId="77777777" w:rsidTr="00AE3011">
        <w:trPr>
          <w:cantSplit/>
        </w:trPr>
        <w:tc>
          <w:tcPr>
            <w:tcW w:w="1278" w:type="pct"/>
            <w:tcMar>
              <w:top w:w="28" w:type="dxa"/>
              <w:left w:w="80" w:type="dxa"/>
              <w:bottom w:w="28" w:type="dxa"/>
              <w:right w:w="80" w:type="dxa"/>
            </w:tcMar>
            <w:vAlign w:val="center"/>
          </w:tcPr>
          <w:p w14:paraId="5D587F71" w14:textId="77777777" w:rsidR="0042033D" w:rsidRDefault="00000000">
            <w:pPr>
              <w:spacing w:line="232" w:lineRule="auto"/>
              <w:rPr>
                <w:sz w:val="24"/>
                <w:szCs w:val="24"/>
              </w:rPr>
            </w:pPr>
            <w:r>
              <w:rPr>
                <w:b/>
                <w:bCs/>
                <w:sz w:val="24"/>
                <w:szCs w:val="24"/>
              </w:rPr>
              <w:t>Charges opérationnelles (OPEX)</w:t>
            </w:r>
          </w:p>
        </w:tc>
        <w:tc>
          <w:tcPr>
            <w:tcW w:w="822" w:type="pct"/>
            <w:tcMar>
              <w:top w:w="28" w:type="dxa"/>
              <w:left w:w="80" w:type="dxa"/>
              <w:bottom w:w="28" w:type="dxa"/>
              <w:right w:w="80" w:type="dxa"/>
            </w:tcMar>
            <w:vAlign w:val="center"/>
          </w:tcPr>
          <w:p w14:paraId="271DF1F6" w14:textId="77777777" w:rsidR="0042033D" w:rsidRDefault="00000000">
            <w:pPr>
              <w:spacing w:line="232" w:lineRule="auto"/>
              <w:jc w:val="center"/>
              <w:rPr>
                <w:sz w:val="24"/>
                <w:szCs w:val="24"/>
              </w:rPr>
            </w:pPr>
            <w:r>
              <w:rPr>
                <w:b/>
                <w:bCs/>
                <w:sz w:val="24"/>
                <w:szCs w:val="24"/>
              </w:rPr>
              <w:t>18</w:t>
            </w:r>
          </w:p>
        </w:tc>
        <w:tc>
          <w:tcPr>
            <w:tcW w:w="550" w:type="pct"/>
            <w:tcMar>
              <w:top w:w="28" w:type="dxa"/>
              <w:left w:w="80" w:type="dxa"/>
              <w:bottom w:w="28" w:type="dxa"/>
              <w:right w:w="80" w:type="dxa"/>
            </w:tcMar>
            <w:vAlign w:val="center"/>
          </w:tcPr>
          <w:p w14:paraId="42D83106" w14:textId="77777777" w:rsidR="0042033D" w:rsidRDefault="00000000">
            <w:pPr>
              <w:spacing w:line="232" w:lineRule="auto"/>
              <w:jc w:val="center"/>
              <w:rPr>
                <w:sz w:val="24"/>
                <w:szCs w:val="24"/>
              </w:rPr>
            </w:pPr>
            <w:r>
              <w:rPr>
                <w:b/>
                <w:bCs/>
                <w:sz w:val="24"/>
                <w:szCs w:val="24"/>
              </w:rPr>
              <w:t>21</w:t>
            </w:r>
          </w:p>
        </w:tc>
        <w:tc>
          <w:tcPr>
            <w:tcW w:w="550" w:type="pct"/>
            <w:tcMar>
              <w:top w:w="28" w:type="dxa"/>
              <w:left w:w="80" w:type="dxa"/>
              <w:bottom w:w="28" w:type="dxa"/>
              <w:right w:w="80" w:type="dxa"/>
            </w:tcMar>
            <w:vAlign w:val="center"/>
          </w:tcPr>
          <w:p w14:paraId="7ADD9808" w14:textId="77777777" w:rsidR="0042033D" w:rsidRDefault="00000000">
            <w:pPr>
              <w:spacing w:line="232" w:lineRule="auto"/>
              <w:jc w:val="center"/>
              <w:rPr>
                <w:sz w:val="24"/>
                <w:szCs w:val="24"/>
              </w:rPr>
            </w:pPr>
            <w:r>
              <w:rPr>
                <w:b/>
                <w:bCs/>
                <w:sz w:val="24"/>
                <w:szCs w:val="24"/>
              </w:rPr>
              <w:t>34</w:t>
            </w:r>
          </w:p>
        </w:tc>
        <w:tc>
          <w:tcPr>
            <w:tcW w:w="600" w:type="pct"/>
            <w:tcMar>
              <w:top w:w="28" w:type="dxa"/>
              <w:left w:w="80" w:type="dxa"/>
              <w:bottom w:w="28" w:type="dxa"/>
              <w:right w:w="80" w:type="dxa"/>
            </w:tcMar>
            <w:vAlign w:val="center"/>
          </w:tcPr>
          <w:p w14:paraId="221E577B" w14:textId="77777777" w:rsidR="0042033D" w:rsidRDefault="00000000">
            <w:pPr>
              <w:spacing w:line="232" w:lineRule="auto"/>
              <w:jc w:val="center"/>
              <w:rPr>
                <w:sz w:val="24"/>
                <w:szCs w:val="24"/>
              </w:rPr>
            </w:pPr>
            <w:r>
              <w:rPr>
                <w:b/>
                <w:bCs/>
                <w:sz w:val="24"/>
                <w:szCs w:val="24"/>
              </w:rPr>
              <w:t>47</w:t>
            </w:r>
          </w:p>
        </w:tc>
        <w:tc>
          <w:tcPr>
            <w:tcW w:w="600" w:type="pct"/>
            <w:tcMar>
              <w:top w:w="28" w:type="dxa"/>
              <w:left w:w="80" w:type="dxa"/>
              <w:bottom w:w="28" w:type="dxa"/>
              <w:right w:w="80" w:type="dxa"/>
            </w:tcMar>
            <w:vAlign w:val="center"/>
          </w:tcPr>
          <w:p w14:paraId="010EC4CE" w14:textId="77777777" w:rsidR="0042033D" w:rsidRDefault="00000000">
            <w:pPr>
              <w:spacing w:line="232" w:lineRule="auto"/>
              <w:jc w:val="center"/>
              <w:rPr>
                <w:sz w:val="24"/>
                <w:szCs w:val="24"/>
              </w:rPr>
            </w:pPr>
            <w:r>
              <w:rPr>
                <w:b/>
                <w:bCs/>
                <w:sz w:val="24"/>
                <w:szCs w:val="24"/>
              </w:rPr>
              <w:t>61</w:t>
            </w:r>
          </w:p>
        </w:tc>
        <w:tc>
          <w:tcPr>
            <w:tcW w:w="600" w:type="pct"/>
            <w:tcMar>
              <w:top w:w="28" w:type="dxa"/>
              <w:left w:w="80" w:type="dxa"/>
              <w:bottom w:w="28" w:type="dxa"/>
              <w:right w:w="80" w:type="dxa"/>
            </w:tcMar>
            <w:vAlign w:val="center"/>
          </w:tcPr>
          <w:p w14:paraId="2EA0D260" w14:textId="77777777" w:rsidR="0042033D" w:rsidRDefault="00000000">
            <w:pPr>
              <w:spacing w:line="232" w:lineRule="auto"/>
              <w:jc w:val="center"/>
              <w:rPr>
                <w:sz w:val="24"/>
                <w:szCs w:val="24"/>
              </w:rPr>
            </w:pPr>
            <w:r>
              <w:rPr>
                <w:b/>
                <w:bCs/>
                <w:sz w:val="24"/>
                <w:szCs w:val="24"/>
              </w:rPr>
              <w:t>83</w:t>
            </w:r>
          </w:p>
        </w:tc>
      </w:tr>
      <w:tr w:rsidR="0042033D" w14:paraId="0B6611E7" w14:textId="77777777" w:rsidTr="00AE3011">
        <w:trPr>
          <w:cantSplit/>
        </w:trPr>
        <w:tc>
          <w:tcPr>
            <w:tcW w:w="1278" w:type="pct"/>
            <w:tcMar>
              <w:top w:w="28" w:type="dxa"/>
              <w:left w:w="80" w:type="dxa"/>
              <w:bottom w:w="28" w:type="dxa"/>
              <w:right w:w="80" w:type="dxa"/>
            </w:tcMar>
            <w:vAlign w:val="center"/>
          </w:tcPr>
          <w:p w14:paraId="0471F597" w14:textId="77777777" w:rsidR="0042033D" w:rsidRDefault="00000000">
            <w:pPr>
              <w:spacing w:line="232" w:lineRule="auto"/>
              <w:rPr>
                <w:sz w:val="24"/>
                <w:szCs w:val="24"/>
              </w:rPr>
            </w:pPr>
            <w:r>
              <w:rPr>
                <w:b/>
                <w:bCs/>
                <w:sz w:val="24"/>
                <w:szCs w:val="24"/>
              </w:rPr>
              <w:t>EBITDA</w:t>
            </w:r>
          </w:p>
        </w:tc>
        <w:tc>
          <w:tcPr>
            <w:tcW w:w="822" w:type="pct"/>
            <w:tcMar>
              <w:top w:w="28" w:type="dxa"/>
              <w:left w:w="80" w:type="dxa"/>
              <w:bottom w:w="28" w:type="dxa"/>
              <w:right w:w="80" w:type="dxa"/>
            </w:tcMar>
            <w:vAlign w:val="center"/>
          </w:tcPr>
          <w:p w14:paraId="22E747EC" w14:textId="77777777" w:rsidR="0042033D" w:rsidRDefault="00000000">
            <w:pPr>
              <w:spacing w:line="232" w:lineRule="auto"/>
              <w:jc w:val="center"/>
              <w:rPr>
                <w:sz w:val="24"/>
                <w:szCs w:val="24"/>
              </w:rPr>
            </w:pPr>
            <w:r>
              <w:rPr>
                <w:b/>
                <w:bCs/>
                <w:sz w:val="24"/>
                <w:szCs w:val="24"/>
              </w:rPr>
              <w:t>12</w:t>
            </w:r>
          </w:p>
        </w:tc>
        <w:tc>
          <w:tcPr>
            <w:tcW w:w="550" w:type="pct"/>
            <w:tcMar>
              <w:top w:w="28" w:type="dxa"/>
              <w:left w:w="80" w:type="dxa"/>
              <w:bottom w:w="28" w:type="dxa"/>
              <w:right w:w="80" w:type="dxa"/>
            </w:tcMar>
            <w:vAlign w:val="center"/>
          </w:tcPr>
          <w:p w14:paraId="1DBEE6B4" w14:textId="77777777" w:rsidR="0042033D" w:rsidRDefault="00000000">
            <w:pPr>
              <w:spacing w:line="232" w:lineRule="auto"/>
              <w:jc w:val="center"/>
              <w:rPr>
                <w:sz w:val="24"/>
                <w:szCs w:val="24"/>
              </w:rPr>
            </w:pPr>
            <w:r>
              <w:rPr>
                <w:b/>
                <w:bCs/>
                <w:sz w:val="24"/>
                <w:szCs w:val="24"/>
              </w:rPr>
              <w:t>15</w:t>
            </w:r>
          </w:p>
        </w:tc>
        <w:tc>
          <w:tcPr>
            <w:tcW w:w="550" w:type="pct"/>
            <w:tcMar>
              <w:top w:w="28" w:type="dxa"/>
              <w:left w:w="80" w:type="dxa"/>
              <w:bottom w:w="28" w:type="dxa"/>
              <w:right w:w="80" w:type="dxa"/>
            </w:tcMar>
            <w:vAlign w:val="center"/>
          </w:tcPr>
          <w:p w14:paraId="3FA5432F" w14:textId="77777777" w:rsidR="0042033D" w:rsidRDefault="00000000">
            <w:pPr>
              <w:spacing w:line="232" w:lineRule="auto"/>
              <w:jc w:val="center"/>
              <w:rPr>
                <w:sz w:val="24"/>
                <w:szCs w:val="24"/>
              </w:rPr>
            </w:pPr>
            <w:r>
              <w:rPr>
                <w:b/>
                <w:bCs/>
                <w:sz w:val="24"/>
                <w:szCs w:val="24"/>
              </w:rPr>
              <w:t>34</w:t>
            </w:r>
          </w:p>
        </w:tc>
        <w:tc>
          <w:tcPr>
            <w:tcW w:w="600" w:type="pct"/>
            <w:tcMar>
              <w:top w:w="28" w:type="dxa"/>
              <w:left w:w="80" w:type="dxa"/>
              <w:bottom w:w="28" w:type="dxa"/>
              <w:right w:w="80" w:type="dxa"/>
            </w:tcMar>
            <w:vAlign w:val="center"/>
          </w:tcPr>
          <w:p w14:paraId="420F39F7" w14:textId="77777777" w:rsidR="0042033D" w:rsidRDefault="00000000">
            <w:pPr>
              <w:spacing w:line="232" w:lineRule="auto"/>
              <w:jc w:val="center"/>
              <w:rPr>
                <w:sz w:val="24"/>
                <w:szCs w:val="24"/>
              </w:rPr>
            </w:pPr>
            <w:r>
              <w:rPr>
                <w:b/>
                <w:bCs/>
                <w:sz w:val="24"/>
                <w:szCs w:val="24"/>
              </w:rPr>
              <w:t>62</w:t>
            </w:r>
          </w:p>
        </w:tc>
        <w:tc>
          <w:tcPr>
            <w:tcW w:w="600" w:type="pct"/>
            <w:tcMar>
              <w:top w:w="28" w:type="dxa"/>
              <w:left w:w="80" w:type="dxa"/>
              <w:bottom w:w="28" w:type="dxa"/>
              <w:right w:w="80" w:type="dxa"/>
            </w:tcMar>
            <w:vAlign w:val="center"/>
          </w:tcPr>
          <w:p w14:paraId="5D2F950A" w14:textId="77777777" w:rsidR="0042033D" w:rsidRDefault="00000000">
            <w:pPr>
              <w:spacing w:line="232" w:lineRule="auto"/>
              <w:jc w:val="center"/>
              <w:rPr>
                <w:sz w:val="24"/>
                <w:szCs w:val="24"/>
              </w:rPr>
            </w:pPr>
            <w:r>
              <w:rPr>
                <w:b/>
                <w:bCs/>
                <w:sz w:val="24"/>
                <w:szCs w:val="24"/>
              </w:rPr>
              <w:t>97</w:t>
            </w:r>
          </w:p>
        </w:tc>
        <w:tc>
          <w:tcPr>
            <w:tcW w:w="600" w:type="pct"/>
            <w:tcMar>
              <w:top w:w="28" w:type="dxa"/>
              <w:left w:w="80" w:type="dxa"/>
              <w:bottom w:w="28" w:type="dxa"/>
              <w:right w:w="80" w:type="dxa"/>
            </w:tcMar>
            <w:vAlign w:val="center"/>
          </w:tcPr>
          <w:p w14:paraId="05759872" w14:textId="77777777" w:rsidR="0042033D" w:rsidRDefault="00000000">
            <w:pPr>
              <w:spacing w:line="232" w:lineRule="auto"/>
              <w:jc w:val="center"/>
              <w:rPr>
                <w:sz w:val="24"/>
                <w:szCs w:val="24"/>
              </w:rPr>
            </w:pPr>
            <w:r>
              <w:rPr>
                <w:b/>
                <w:bCs/>
                <w:sz w:val="24"/>
                <w:szCs w:val="24"/>
              </w:rPr>
              <w:t>139</w:t>
            </w:r>
          </w:p>
        </w:tc>
      </w:tr>
      <w:tr w:rsidR="0042033D" w14:paraId="36364F4B" w14:textId="77777777" w:rsidTr="00AE3011">
        <w:trPr>
          <w:cantSplit/>
        </w:trPr>
        <w:tc>
          <w:tcPr>
            <w:tcW w:w="1278" w:type="pct"/>
            <w:tcMar>
              <w:top w:w="28" w:type="dxa"/>
              <w:left w:w="80" w:type="dxa"/>
              <w:bottom w:w="28" w:type="dxa"/>
              <w:right w:w="80" w:type="dxa"/>
            </w:tcMar>
            <w:vAlign w:val="center"/>
          </w:tcPr>
          <w:p w14:paraId="65C97F24" w14:textId="77777777" w:rsidR="0042033D" w:rsidRDefault="00000000">
            <w:pPr>
              <w:spacing w:line="232" w:lineRule="auto"/>
              <w:rPr>
                <w:sz w:val="24"/>
                <w:szCs w:val="24"/>
              </w:rPr>
            </w:pPr>
            <w:r>
              <w:rPr>
                <w:b/>
                <w:bCs/>
                <w:sz w:val="24"/>
                <w:szCs w:val="24"/>
              </w:rPr>
              <w:t>Marge EBITDA (%)</w:t>
            </w:r>
          </w:p>
        </w:tc>
        <w:tc>
          <w:tcPr>
            <w:tcW w:w="822" w:type="pct"/>
            <w:tcMar>
              <w:top w:w="28" w:type="dxa"/>
              <w:left w:w="80" w:type="dxa"/>
              <w:bottom w:w="28" w:type="dxa"/>
              <w:right w:w="80" w:type="dxa"/>
            </w:tcMar>
            <w:vAlign w:val="center"/>
          </w:tcPr>
          <w:p w14:paraId="7E1F7911" w14:textId="77777777" w:rsidR="0042033D" w:rsidRDefault="00000000">
            <w:pPr>
              <w:spacing w:line="232" w:lineRule="auto"/>
              <w:jc w:val="center"/>
              <w:rPr>
                <w:sz w:val="24"/>
                <w:szCs w:val="24"/>
              </w:rPr>
            </w:pPr>
            <w:r>
              <w:rPr>
                <w:b/>
                <w:bCs/>
                <w:sz w:val="24"/>
                <w:szCs w:val="24"/>
              </w:rPr>
              <w:t>20 %</w:t>
            </w:r>
          </w:p>
        </w:tc>
        <w:tc>
          <w:tcPr>
            <w:tcW w:w="550" w:type="pct"/>
            <w:tcMar>
              <w:top w:w="28" w:type="dxa"/>
              <w:left w:w="80" w:type="dxa"/>
              <w:bottom w:w="28" w:type="dxa"/>
              <w:right w:w="80" w:type="dxa"/>
            </w:tcMar>
            <w:vAlign w:val="center"/>
          </w:tcPr>
          <w:p w14:paraId="18747E16" w14:textId="77777777" w:rsidR="0042033D" w:rsidRDefault="00000000">
            <w:pPr>
              <w:spacing w:line="232" w:lineRule="auto"/>
              <w:jc w:val="center"/>
              <w:rPr>
                <w:sz w:val="24"/>
                <w:szCs w:val="24"/>
              </w:rPr>
            </w:pPr>
            <w:r>
              <w:rPr>
                <w:b/>
                <w:bCs/>
                <w:sz w:val="24"/>
                <w:szCs w:val="24"/>
              </w:rPr>
              <w:t>19 %</w:t>
            </w:r>
          </w:p>
        </w:tc>
        <w:tc>
          <w:tcPr>
            <w:tcW w:w="550" w:type="pct"/>
            <w:tcMar>
              <w:top w:w="28" w:type="dxa"/>
              <w:left w:w="80" w:type="dxa"/>
              <w:bottom w:w="28" w:type="dxa"/>
              <w:right w:w="80" w:type="dxa"/>
            </w:tcMar>
            <w:vAlign w:val="center"/>
          </w:tcPr>
          <w:p w14:paraId="4815BDAD" w14:textId="77777777" w:rsidR="0042033D" w:rsidRDefault="00000000">
            <w:pPr>
              <w:spacing w:line="232" w:lineRule="auto"/>
              <w:jc w:val="center"/>
              <w:rPr>
                <w:sz w:val="24"/>
                <w:szCs w:val="24"/>
              </w:rPr>
            </w:pPr>
            <w:r>
              <w:rPr>
                <w:b/>
                <w:bCs/>
                <w:sz w:val="24"/>
                <w:szCs w:val="24"/>
              </w:rPr>
              <w:t>23 %</w:t>
            </w:r>
          </w:p>
        </w:tc>
        <w:tc>
          <w:tcPr>
            <w:tcW w:w="600" w:type="pct"/>
            <w:tcMar>
              <w:top w:w="28" w:type="dxa"/>
              <w:left w:w="80" w:type="dxa"/>
              <w:bottom w:w="28" w:type="dxa"/>
              <w:right w:w="80" w:type="dxa"/>
            </w:tcMar>
            <w:vAlign w:val="center"/>
          </w:tcPr>
          <w:p w14:paraId="051A6BB8" w14:textId="77777777" w:rsidR="0042033D" w:rsidRDefault="00000000">
            <w:pPr>
              <w:spacing w:line="232" w:lineRule="auto"/>
              <w:jc w:val="center"/>
              <w:rPr>
                <w:sz w:val="24"/>
                <w:szCs w:val="24"/>
              </w:rPr>
            </w:pPr>
            <w:r>
              <w:rPr>
                <w:b/>
                <w:bCs/>
                <w:sz w:val="24"/>
                <w:szCs w:val="24"/>
              </w:rPr>
              <w:t>28 %</w:t>
            </w:r>
          </w:p>
        </w:tc>
        <w:tc>
          <w:tcPr>
            <w:tcW w:w="600" w:type="pct"/>
            <w:tcMar>
              <w:top w:w="28" w:type="dxa"/>
              <w:left w:w="80" w:type="dxa"/>
              <w:bottom w:w="28" w:type="dxa"/>
              <w:right w:w="80" w:type="dxa"/>
            </w:tcMar>
            <w:vAlign w:val="center"/>
          </w:tcPr>
          <w:p w14:paraId="61A32B76" w14:textId="77777777" w:rsidR="0042033D" w:rsidRDefault="00000000">
            <w:pPr>
              <w:spacing w:line="232" w:lineRule="auto"/>
              <w:jc w:val="center"/>
              <w:rPr>
                <w:sz w:val="24"/>
                <w:szCs w:val="24"/>
              </w:rPr>
            </w:pPr>
            <w:r>
              <w:rPr>
                <w:b/>
                <w:bCs/>
                <w:sz w:val="24"/>
                <w:szCs w:val="24"/>
              </w:rPr>
              <w:t>31 %</w:t>
            </w:r>
          </w:p>
        </w:tc>
        <w:tc>
          <w:tcPr>
            <w:tcW w:w="600" w:type="pct"/>
            <w:tcMar>
              <w:top w:w="28" w:type="dxa"/>
              <w:left w:w="80" w:type="dxa"/>
              <w:bottom w:w="28" w:type="dxa"/>
              <w:right w:w="80" w:type="dxa"/>
            </w:tcMar>
            <w:vAlign w:val="center"/>
          </w:tcPr>
          <w:p w14:paraId="4BC741DB" w14:textId="77777777" w:rsidR="0042033D" w:rsidRDefault="00000000">
            <w:pPr>
              <w:spacing w:line="232" w:lineRule="auto"/>
              <w:jc w:val="center"/>
              <w:rPr>
                <w:sz w:val="24"/>
                <w:szCs w:val="24"/>
              </w:rPr>
            </w:pPr>
            <w:r>
              <w:rPr>
                <w:b/>
                <w:bCs/>
                <w:sz w:val="24"/>
                <w:szCs w:val="24"/>
              </w:rPr>
              <w:t>33 %</w:t>
            </w:r>
          </w:p>
        </w:tc>
      </w:tr>
      <w:tr w:rsidR="0042033D" w14:paraId="0BAFAC12" w14:textId="77777777" w:rsidTr="00AE3011">
        <w:trPr>
          <w:cantSplit/>
        </w:trPr>
        <w:tc>
          <w:tcPr>
            <w:tcW w:w="1278" w:type="pct"/>
            <w:tcMar>
              <w:top w:w="28" w:type="dxa"/>
              <w:left w:w="80" w:type="dxa"/>
              <w:bottom w:w="28" w:type="dxa"/>
              <w:right w:w="80" w:type="dxa"/>
            </w:tcMar>
            <w:vAlign w:val="center"/>
          </w:tcPr>
          <w:p w14:paraId="5C8CB6D4" w14:textId="77777777" w:rsidR="0042033D" w:rsidRDefault="00000000">
            <w:pPr>
              <w:spacing w:line="232" w:lineRule="auto"/>
              <w:rPr>
                <w:sz w:val="24"/>
                <w:szCs w:val="24"/>
              </w:rPr>
            </w:pPr>
            <w:r>
              <w:rPr>
                <w:b/>
                <w:bCs/>
                <w:sz w:val="24"/>
                <w:szCs w:val="24"/>
              </w:rPr>
              <w:t>Amortissements (dotations)</w:t>
            </w:r>
          </w:p>
        </w:tc>
        <w:tc>
          <w:tcPr>
            <w:tcW w:w="822" w:type="pct"/>
            <w:tcMar>
              <w:top w:w="28" w:type="dxa"/>
              <w:left w:w="80" w:type="dxa"/>
              <w:bottom w:w="28" w:type="dxa"/>
              <w:right w:w="80" w:type="dxa"/>
            </w:tcMar>
            <w:vAlign w:val="center"/>
          </w:tcPr>
          <w:p w14:paraId="1D4EC0E7" w14:textId="77777777" w:rsidR="0042033D" w:rsidRDefault="00000000">
            <w:pPr>
              <w:spacing w:line="232" w:lineRule="auto"/>
              <w:jc w:val="center"/>
              <w:rPr>
                <w:sz w:val="24"/>
                <w:szCs w:val="24"/>
              </w:rPr>
            </w:pPr>
            <w:r>
              <w:rPr>
                <w:b/>
                <w:bCs/>
                <w:sz w:val="24"/>
                <w:szCs w:val="24"/>
              </w:rPr>
              <w:t>2</w:t>
            </w:r>
          </w:p>
        </w:tc>
        <w:tc>
          <w:tcPr>
            <w:tcW w:w="550" w:type="pct"/>
            <w:tcMar>
              <w:top w:w="28" w:type="dxa"/>
              <w:left w:w="80" w:type="dxa"/>
              <w:bottom w:w="28" w:type="dxa"/>
              <w:right w:w="80" w:type="dxa"/>
            </w:tcMar>
            <w:vAlign w:val="center"/>
          </w:tcPr>
          <w:p w14:paraId="714B283F" w14:textId="77777777" w:rsidR="0042033D" w:rsidRDefault="00000000">
            <w:pPr>
              <w:spacing w:line="232" w:lineRule="auto"/>
              <w:jc w:val="center"/>
              <w:rPr>
                <w:sz w:val="24"/>
                <w:szCs w:val="24"/>
              </w:rPr>
            </w:pPr>
            <w:r>
              <w:rPr>
                <w:b/>
                <w:bCs/>
                <w:sz w:val="24"/>
                <w:szCs w:val="24"/>
              </w:rPr>
              <w:t>8</w:t>
            </w:r>
          </w:p>
        </w:tc>
        <w:tc>
          <w:tcPr>
            <w:tcW w:w="550" w:type="pct"/>
            <w:tcMar>
              <w:top w:w="28" w:type="dxa"/>
              <w:left w:w="80" w:type="dxa"/>
              <w:bottom w:w="28" w:type="dxa"/>
              <w:right w:w="80" w:type="dxa"/>
            </w:tcMar>
            <w:vAlign w:val="center"/>
          </w:tcPr>
          <w:p w14:paraId="6B53D9EB" w14:textId="77777777" w:rsidR="0042033D" w:rsidRDefault="00000000">
            <w:pPr>
              <w:spacing w:line="232" w:lineRule="auto"/>
              <w:jc w:val="center"/>
              <w:rPr>
                <w:sz w:val="24"/>
                <w:szCs w:val="24"/>
              </w:rPr>
            </w:pPr>
            <w:r>
              <w:rPr>
                <w:b/>
                <w:bCs/>
                <w:sz w:val="24"/>
                <w:szCs w:val="24"/>
              </w:rPr>
              <w:t>14</w:t>
            </w:r>
          </w:p>
        </w:tc>
        <w:tc>
          <w:tcPr>
            <w:tcW w:w="600" w:type="pct"/>
            <w:tcMar>
              <w:top w:w="28" w:type="dxa"/>
              <w:left w:w="80" w:type="dxa"/>
              <w:bottom w:w="28" w:type="dxa"/>
              <w:right w:w="80" w:type="dxa"/>
            </w:tcMar>
            <w:vAlign w:val="center"/>
          </w:tcPr>
          <w:p w14:paraId="0ADBEEE8" w14:textId="77777777" w:rsidR="0042033D" w:rsidRDefault="00000000">
            <w:pPr>
              <w:spacing w:line="232" w:lineRule="auto"/>
              <w:jc w:val="center"/>
              <w:rPr>
                <w:sz w:val="24"/>
                <w:szCs w:val="24"/>
              </w:rPr>
            </w:pPr>
            <w:r>
              <w:rPr>
                <w:b/>
                <w:bCs/>
                <w:sz w:val="24"/>
                <w:szCs w:val="24"/>
              </w:rPr>
              <w:t>22</w:t>
            </w:r>
          </w:p>
        </w:tc>
        <w:tc>
          <w:tcPr>
            <w:tcW w:w="600" w:type="pct"/>
            <w:tcMar>
              <w:top w:w="28" w:type="dxa"/>
              <w:left w:w="80" w:type="dxa"/>
              <w:bottom w:w="28" w:type="dxa"/>
              <w:right w:w="80" w:type="dxa"/>
            </w:tcMar>
            <w:vAlign w:val="center"/>
          </w:tcPr>
          <w:p w14:paraId="3268E85D" w14:textId="77777777" w:rsidR="0042033D" w:rsidRDefault="00000000">
            <w:pPr>
              <w:spacing w:line="232" w:lineRule="auto"/>
              <w:jc w:val="center"/>
              <w:rPr>
                <w:sz w:val="24"/>
                <w:szCs w:val="24"/>
              </w:rPr>
            </w:pPr>
            <w:r>
              <w:rPr>
                <w:b/>
                <w:bCs/>
                <w:sz w:val="24"/>
                <w:szCs w:val="24"/>
              </w:rPr>
              <w:t>32</w:t>
            </w:r>
          </w:p>
        </w:tc>
        <w:tc>
          <w:tcPr>
            <w:tcW w:w="600" w:type="pct"/>
            <w:tcMar>
              <w:top w:w="28" w:type="dxa"/>
              <w:left w:w="80" w:type="dxa"/>
              <w:bottom w:w="28" w:type="dxa"/>
              <w:right w:w="80" w:type="dxa"/>
            </w:tcMar>
            <w:vAlign w:val="center"/>
          </w:tcPr>
          <w:p w14:paraId="7DA70675" w14:textId="77777777" w:rsidR="0042033D" w:rsidRDefault="00000000">
            <w:pPr>
              <w:spacing w:line="232" w:lineRule="auto"/>
              <w:jc w:val="center"/>
              <w:rPr>
                <w:sz w:val="24"/>
                <w:szCs w:val="24"/>
              </w:rPr>
            </w:pPr>
            <w:r>
              <w:rPr>
                <w:b/>
                <w:bCs/>
                <w:sz w:val="24"/>
                <w:szCs w:val="24"/>
              </w:rPr>
              <w:t>44</w:t>
            </w:r>
          </w:p>
        </w:tc>
      </w:tr>
      <w:tr w:rsidR="0042033D" w14:paraId="47CB7142" w14:textId="77777777" w:rsidTr="00AE3011">
        <w:trPr>
          <w:cantSplit/>
        </w:trPr>
        <w:tc>
          <w:tcPr>
            <w:tcW w:w="1278" w:type="pct"/>
            <w:tcMar>
              <w:top w:w="28" w:type="dxa"/>
              <w:left w:w="80" w:type="dxa"/>
              <w:bottom w:w="28" w:type="dxa"/>
              <w:right w:w="80" w:type="dxa"/>
            </w:tcMar>
            <w:vAlign w:val="center"/>
          </w:tcPr>
          <w:p w14:paraId="6D68E1DD" w14:textId="77777777" w:rsidR="0042033D" w:rsidRDefault="00000000">
            <w:pPr>
              <w:spacing w:line="232" w:lineRule="auto"/>
              <w:rPr>
                <w:sz w:val="24"/>
                <w:szCs w:val="24"/>
              </w:rPr>
            </w:pPr>
            <w:r>
              <w:rPr>
                <w:b/>
                <w:bCs/>
                <w:sz w:val="24"/>
                <w:szCs w:val="24"/>
              </w:rPr>
              <w:t>Résultat avant impôt</w:t>
            </w:r>
          </w:p>
        </w:tc>
        <w:tc>
          <w:tcPr>
            <w:tcW w:w="822" w:type="pct"/>
            <w:tcMar>
              <w:top w:w="28" w:type="dxa"/>
              <w:left w:w="80" w:type="dxa"/>
              <w:bottom w:w="28" w:type="dxa"/>
              <w:right w:w="80" w:type="dxa"/>
            </w:tcMar>
            <w:vAlign w:val="center"/>
          </w:tcPr>
          <w:p w14:paraId="6BADC562" w14:textId="77777777" w:rsidR="0042033D" w:rsidRDefault="00000000">
            <w:pPr>
              <w:spacing w:line="232" w:lineRule="auto"/>
              <w:jc w:val="center"/>
              <w:rPr>
                <w:sz w:val="24"/>
                <w:szCs w:val="24"/>
              </w:rPr>
            </w:pPr>
            <w:r>
              <w:rPr>
                <w:b/>
                <w:bCs/>
                <w:sz w:val="24"/>
                <w:szCs w:val="24"/>
              </w:rPr>
              <w:t>10</w:t>
            </w:r>
          </w:p>
        </w:tc>
        <w:tc>
          <w:tcPr>
            <w:tcW w:w="550" w:type="pct"/>
            <w:tcMar>
              <w:top w:w="28" w:type="dxa"/>
              <w:left w:w="80" w:type="dxa"/>
              <w:bottom w:w="28" w:type="dxa"/>
              <w:right w:w="80" w:type="dxa"/>
            </w:tcMar>
            <w:vAlign w:val="center"/>
          </w:tcPr>
          <w:p w14:paraId="047A223D" w14:textId="77777777" w:rsidR="0042033D" w:rsidRDefault="00000000">
            <w:pPr>
              <w:spacing w:line="232" w:lineRule="auto"/>
              <w:jc w:val="center"/>
              <w:rPr>
                <w:sz w:val="24"/>
                <w:szCs w:val="24"/>
              </w:rPr>
            </w:pPr>
            <w:r>
              <w:rPr>
                <w:b/>
                <w:bCs/>
                <w:sz w:val="24"/>
                <w:szCs w:val="24"/>
              </w:rPr>
              <w:t>7</w:t>
            </w:r>
          </w:p>
        </w:tc>
        <w:tc>
          <w:tcPr>
            <w:tcW w:w="550" w:type="pct"/>
            <w:tcMar>
              <w:top w:w="28" w:type="dxa"/>
              <w:left w:w="80" w:type="dxa"/>
              <w:bottom w:w="28" w:type="dxa"/>
              <w:right w:w="80" w:type="dxa"/>
            </w:tcMar>
            <w:vAlign w:val="center"/>
          </w:tcPr>
          <w:p w14:paraId="5C802559" w14:textId="77777777" w:rsidR="0042033D" w:rsidRDefault="00000000">
            <w:pPr>
              <w:spacing w:line="232" w:lineRule="auto"/>
              <w:jc w:val="center"/>
              <w:rPr>
                <w:sz w:val="24"/>
                <w:szCs w:val="24"/>
              </w:rPr>
            </w:pPr>
            <w:r>
              <w:rPr>
                <w:b/>
                <w:bCs/>
                <w:sz w:val="24"/>
                <w:szCs w:val="24"/>
              </w:rPr>
              <w:t>20</w:t>
            </w:r>
          </w:p>
        </w:tc>
        <w:tc>
          <w:tcPr>
            <w:tcW w:w="600" w:type="pct"/>
            <w:tcMar>
              <w:top w:w="28" w:type="dxa"/>
              <w:left w:w="80" w:type="dxa"/>
              <w:bottom w:w="28" w:type="dxa"/>
              <w:right w:w="80" w:type="dxa"/>
            </w:tcMar>
            <w:vAlign w:val="center"/>
          </w:tcPr>
          <w:p w14:paraId="3B25A119" w14:textId="77777777" w:rsidR="0042033D" w:rsidRDefault="00000000">
            <w:pPr>
              <w:spacing w:line="232" w:lineRule="auto"/>
              <w:jc w:val="center"/>
              <w:rPr>
                <w:sz w:val="24"/>
                <w:szCs w:val="24"/>
              </w:rPr>
            </w:pPr>
            <w:r>
              <w:rPr>
                <w:b/>
                <w:bCs/>
                <w:sz w:val="24"/>
                <w:szCs w:val="24"/>
              </w:rPr>
              <w:t>40</w:t>
            </w:r>
          </w:p>
        </w:tc>
        <w:tc>
          <w:tcPr>
            <w:tcW w:w="600" w:type="pct"/>
            <w:tcMar>
              <w:top w:w="28" w:type="dxa"/>
              <w:left w:w="80" w:type="dxa"/>
              <w:bottom w:w="28" w:type="dxa"/>
              <w:right w:w="80" w:type="dxa"/>
            </w:tcMar>
            <w:vAlign w:val="center"/>
          </w:tcPr>
          <w:p w14:paraId="2DA206C9" w14:textId="77777777" w:rsidR="0042033D" w:rsidRDefault="00000000">
            <w:pPr>
              <w:spacing w:line="232" w:lineRule="auto"/>
              <w:jc w:val="center"/>
              <w:rPr>
                <w:sz w:val="24"/>
                <w:szCs w:val="24"/>
              </w:rPr>
            </w:pPr>
            <w:r>
              <w:rPr>
                <w:b/>
                <w:bCs/>
                <w:sz w:val="24"/>
                <w:szCs w:val="24"/>
              </w:rPr>
              <w:t>65</w:t>
            </w:r>
          </w:p>
        </w:tc>
        <w:tc>
          <w:tcPr>
            <w:tcW w:w="600" w:type="pct"/>
            <w:tcMar>
              <w:top w:w="28" w:type="dxa"/>
              <w:left w:w="80" w:type="dxa"/>
              <w:bottom w:w="28" w:type="dxa"/>
              <w:right w:w="80" w:type="dxa"/>
            </w:tcMar>
            <w:vAlign w:val="center"/>
          </w:tcPr>
          <w:p w14:paraId="3BEB2A88" w14:textId="77777777" w:rsidR="0042033D" w:rsidRDefault="00000000">
            <w:pPr>
              <w:spacing w:line="232" w:lineRule="auto"/>
              <w:jc w:val="center"/>
              <w:rPr>
                <w:sz w:val="24"/>
                <w:szCs w:val="24"/>
              </w:rPr>
            </w:pPr>
            <w:r>
              <w:rPr>
                <w:b/>
                <w:bCs/>
                <w:sz w:val="24"/>
                <w:szCs w:val="24"/>
              </w:rPr>
              <w:t>95</w:t>
            </w:r>
          </w:p>
        </w:tc>
      </w:tr>
      <w:tr w:rsidR="0042033D" w14:paraId="38891165" w14:textId="77777777" w:rsidTr="00AE3011">
        <w:trPr>
          <w:cantSplit/>
        </w:trPr>
        <w:tc>
          <w:tcPr>
            <w:tcW w:w="1278" w:type="pct"/>
            <w:tcMar>
              <w:top w:w="28" w:type="dxa"/>
              <w:left w:w="80" w:type="dxa"/>
              <w:bottom w:w="28" w:type="dxa"/>
              <w:right w:w="80" w:type="dxa"/>
            </w:tcMar>
            <w:vAlign w:val="center"/>
          </w:tcPr>
          <w:p w14:paraId="62C4C040" w14:textId="77777777" w:rsidR="0042033D" w:rsidRDefault="00000000">
            <w:pPr>
              <w:spacing w:line="232" w:lineRule="auto"/>
              <w:rPr>
                <w:sz w:val="24"/>
                <w:szCs w:val="24"/>
              </w:rPr>
            </w:pPr>
            <w:r>
              <w:rPr>
                <w:b/>
                <w:bCs/>
                <w:sz w:val="24"/>
                <w:szCs w:val="24"/>
              </w:rPr>
              <w:t>Impôt sur les sociétés (20 %)</w:t>
            </w:r>
          </w:p>
        </w:tc>
        <w:tc>
          <w:tcPr>
            <w:tcW w:w="822" w:type="pct"/>
            <w:tcMar>
              <w:top w:w="28" w:type="dxa"/>
              <w:left w:w="80" w:type="dxa"/>
              <w:bottom w:w="28" w:type="dxa"/>
              <w:right w:w="80" w:type="dxa"/>
            </w:tcMar>
            <w:vAlign w:val="center"/>
          </w:tcPr>
          <w:p w14:paraId="311037D5" w14:textId="77777777" w:rsidR="0042033D" w:rsidRDefault="00000000">
            <w:pPr>
              <w:spacing w:line="232" w:lineRule="auto"/>
              <w:jc w:val="center"/>
              <w:rPr>
                <w:sz w:val="24"/>
                <w:szCs w:val="24"/>
              </w:rPr>
            </w:pPr>
            <w:r>
              <w:rPr>
                <w:b/>
                <w:bCs/>
                <w:sz w:val="24"/>
                <w:szCs w:val="24"/>
              </w:rPr>
              <w:t>2</w:t>
            </w:r>
          </w:p>
        </w:tc>
        <w:tc>
          <w:tcPr>
            <w:tcW w:w="550" w:type="pct"/>
            <w:tcMar>
              <w:top w:w="28" w:type="dxa"/>
              <w:left w:w="80" w:type="dxa"/>
              <w:bottom w:w="28" w:type="dxa"/>
              <w:right w:w="80" w:type="dxa"/>
            </w:tcMar>
            <w:vAlign w:val="center"/>
          </w:tcPr>
          <w:p w14:paraId="563AC563" w14:textId="77777777" w:rsidR="0042033D" w:rsidRDefault="00000000">
            <w:pPr>
              <w:spacing w:line="232" w:lineRule="auto"/>
              <w:jc w:val="center"/>
              <w:rPr>
                <w:sz w:val="24"/>
                <w:szCs w:val="24"/>
              </w:rPr>
            </w:pPr>
            <w:r>
              <w:rPr>
                <w:b/>
                <w:bCs/>
                <w:sz w:val="24"/>
                <w:szCs w:val="24"/>
              </w:rPr>
              <w:t>1</w:t>
            </w:r>
          </w:p>
        </w:tc>
        <w:tc>
          <w:tcPr>
            <w:tcW w:w="550" w:type="pct"/>
            <w:tcMar>
              <w:top w:w="28" w:type="dxa"/>
              <w:left w:w="80" w:type="dxa"/>
              <w:bottom w:w="28" w:type="dxa"/>
              <w:right w:w="80" w:type="dxa"/>
            </w:tcMar>
            <w:vAlign w:val="center"/>
          </w:tcPr>
          <w:p w14:paraId="27B34D18" w14:textId="77777777" w:rsidR="0042033D" w:rsidRDefault="00000000">
            <w:pPr>
              <w:spacing w:line="232" w:lineRule="auto"/>
              <w:jc w:val="center"/>
              <w:rPr>
                <w:sz w:val="24"/>
                <w:szCs w:val="24"/>
              </w:rPr>
            </w:pPr>
            <w:r>
              <w:rPr>
                <w:b/>
                <w:bCs/>
                <w:sz w:val="24"/>
                <w:szCs w:val="24"/>
              </w:rPr>
              <w:t>4</w:t>
            </w:r>
          </w:p>
        </w:tc>
        <w:tc>
          <w:tcPr>
            <w:tcW w:w="600" w:type="pct"/>
            <w:tcMar>
              <w:top w:w="28" w:type="dxa"/>
              <w:left w:w="80" w:type="dxa"/>
              <w:bottom w:w="28" w:type="dxa"/>
              <w:right w:w="80" w:type="dxa"/>
            </w:tcMar>
            <w:vAlign w:val="center"/>
          </w:tcPr>
          <w:p w14:paraId="24A15B4D" w14:textId="77777777" w:rsidR="0042033D" w:rsidRDefault="00000000">
            <w:pPr>
              <w:spacing w:line="232" w:lineRule="auto"/>
              <w:jc w:val="center"/>
              <w:rPr>
                <w:sz w:val="24"/>
                <w:szCs w:val="24"/>
              </w:rPr>
            </w:pPr>
            <w:r>
              <w:rPr>
                <w:b/>
                <w:bCs/>
                <w:sz w:val="24"/>
                <w:szCs w:val="24"/>
              </w:rPr>
              <w:t>8</w:t>
            </w:r>
          </w:p>
        </w:tc>
        <w:tc>
          <w:tcPr>
            <w:tcW w:w="600" w:type="pct"/>
            <w:tcMar>
              <w:top w:w="28" w:type="dxa"/>
              <w:left w:w="80" w:type="dxa"/>
              <w:bottom w:w="28" w:type="dxa"/>
              <w:right w:w="80" w:type="dxa"/>
            </w:tcMar>
            <w:vAlign w:val="center"/>
          </w:tcPr>
          <w:p w14:paraId="5D385AAF" w14:textId="77777777" w:rsidR="0042033D" w:rsidRDefault="00000000">
            <w:pPr>
              <w:spacing w:line="232" w:lineRule="auto"/>
              <w:jc w:val="center"/>
              <w:rPr>
                <w:sz w:val="24"/>
                <w:szCs w:val="24"/>
              </w:rPr>
            </w:pPr>
            <w:r>
              <w:rPr>
                <w:b/>
                <w:bCs/>
                <w:sz w:val="24"/>
                <w:szCs w:val="24"/>
              </w:rPr>
              <w:t>13</w:t>
            </w:r>
          </w:p>
        </w:tc>
        <w:tc>
          <w:tcPr>
            <w:tcW w:w="600" w:type="pct"/>
            <w:tcMar>
              <w:top w:w="28" w:type="dxa"/>
              <w:left w:w="80" w:type="dxa"/>
              <w:bottom w:w="28" w:type="dxa"/>
              <w:right w:w="80" w:type="dxa"/>
            </w:tcMar>
            <w:vAlign w:val="center"/>
          </w:tcPr>
          <w:p w14:paraId="55FBD0E0" w14:textId="77777777" w:rsidR="0042033D" w:rsidRDefault="00000000">
            <w:pPr>
              <w:spacing w:line="232" w:lineRule="auto"/>
              <w:jc w:val="center"/>
              <w:rPr>
                <w:sz w:val="24"/>
                <w:szCs w:val="24"/>
              </w:rPr>
            </w:pPr>
            <w:r>
              <w:rPr>
                <w:b/>
                <w:bCs/>
                <w:sz w:val="24"/>
                <w:szCs w:val="24"/>
              </w:rPr>
              <w:t>19</w:t>
            </w:r>
          </w:p>
        </w:tc>
      </w:tr>
      <w:tr w:rsidR="0042033D" w14:paraId="03162115" w14:textId="77777777" w:rsidTr="00AE3011">
        <w:trPr>
          <w:cantSplit/>
        </w:trPr>
        <w:tc>
          <w:tcPr>
            <w:tcW w:w="1278" w:type="pct"/>
            <w:tcMar>
              <w:top w:w="28" w:type="dxa"/>
              <w:left w:w="80" w:type="dxa"/>
              <w:bottom w:w="28" w:type="dxa"/>
              <w:right w:w="80" w:type="dxa"/>
            </w:tcMar>
            <w:vAlign w:val="center"/>
          </w:tcPr>
          <w:p w14:paraId="7D6D185E" w14:textId="77777777" w:rsidR="0042033D" w:rsidRDefault="00000000">
            <w:pPr>
              <w:spacing w:line="232" w:lineRule="auto"/>
              <w:rPr>
                <w:sz w:val="24"/>
                <w:szCs w:val="24"/>
              </w:rPr>
            </w:pPr>
            <w:r>
              <w:rPr>
                <w:b/>
                <w:bCs/>
                <w:sz w:val="24"/>
                <w:szCs w:val="24"/>
              </w:rPr>
              <w:t>Résultat net</w:t>
            </w:r>
          </w:p>
        </w:tc>
        <w:tc>
          <w:tcPr>
            <w:tcW w:w="822" w:type="pct"/>
            <w:tcMar>
              <w:top w:w="28" w:type="dxa"/>
              <w:left w:w="80" w:type="dxa"/>
              <w:bottom w:w="28" w:type="dxa"/>
              <w:right w:w="80" w:type="dxa"/>
            </w:tcMar>
            <w:vAlign w:val="center"/>
          </w:tcPr>
          <w:p w14:paraId="5D4CD5B1" w14:textId="77777777" w:rsidR="0042033D" w:rsidRDefault="00000000">
            <w:pPr>
              <w:spacing w:line="232" w:lineRule="auto"/>
              <w:jc w:val="center"/>
              <w:rPr>
                <w:sz w:val="24"/>
                <w:szCs w:val="24"/>
              </w:rPr>
            </w:pPr>
            <w:r>
              <w:rPr>
                <w:b/>
                <w:bCs/>
                <w:sz w:val="24"/>
                <w:szCs w:val="24"/>
              </w:rPr>
              <w:t>8</w:t>
            </w:r>
          </w:p>
        </w:tc>
        <w:tc>
          <w:tcPr>
            <w:tcW w:w="550" w:type="pct"/>
            <w:tcMar>
              <w:top w:w="28" w:type="dxa"/>
              <w:left w:w="80" w:type="dxa"/>
              <w:bottom w:w="28" w:type="dxa"/>
              <w:right w:w="80" w:type="dxa"/>
            </w:tcMar>
            <w:vAlign w:val="center"/>
          </w:tcPr>
          <w:p w14:paraId="67AED7C4" w14:textId="77777777" w:rsidR="0042033D" w:rsidRDefault="00000000">
            <w:pPr>
              <w:spacing w:line="232" w:lineRule="auto"/>
              <w:jc w:val="center"/>
              <w:rPr>
                <w:sz w:val="24"/>
                <w:szCs w:val="24"/>
              </w:rPr>
            </w:pPr>
            <w:r>
              <w:rPr>
                <w:b/>
                <w:bCs/>
                <w:sz w:val="24"/>
                <w:szCs w:val="24"/>
              </w:rPr>
              <w:t>6</w:t>
            </w:r>
          </w:p>
        </w:tc>
        <w:tc>
          <w:tcPr>
            <w:tcW w:w="550" w:type="pct"/>
            <w:tcMar>
              <w:top w:w="28" w:type="dxa"/>
              <w:left w:w="80" w:type="dxa"/>
              <w:bottom w:w="28" w:type="dxa"/>
              <w:right w:w="80" w:type="dxa"/>
            </w:tcMar>
            <w:vAlign w:val="center"/>
          </w:tcPr>
          <w:p w14:paraId="39986CB2" w14:textId="77777777" w:rsidR="0042033D" w:rsidRDefault="00000000">
            <w:pPr>
              <w:spacing w:line="232" w:lineRule="auto"/>
              <w:jc w:val="center"/>
              <w:rPr>
                <w:sz w:val="24"/>
                <w:szCs w:val="24"/>
              </w:rPr>
            </w:pPr>
            <w:r>
              <w:rPr>
                <w:b/>
                <w:bCs/>
                <w:sz w:val="24"/>
                <w:szCs w:val="24"/>
              </w:rPr>
              <w:t>16</w:t>
            </w:r>
          </w:p>
        </w:tc>
        <w:tc>
          <w:tcPr>
            <w:tcW w:w="600" w:type="pct"/>
            <w:tcMar>
              <w:top w:w="28" w:type="dxa"/>
              <w:left w:w="80" w:type="dxa"/>
              <w:bottom w:w="28" w:type="dxa"/>
              <w:right w:w="80" w:type="dxa"/>
            </w:tcMar>
            <w:vAlign w:val="center"/>
          </w:tcPr>
          <w:p w14:paraId="278EB11F" w14:textId="77777777" w:rsidR="0042033D" w:rsidRDefault="00000000">
            <w:pPr>
              <w:spacing w:line="232" w:lineRule="auto"/>
              <w:jc w:val="center"/>
              <w:rPr>
                <w:sz w:val="24"/>
                <w:szCs w:val="24"/>
              </w:rPr>
            </w:pPr>
            <w:r>
              <w:rPr>
                <w:b/>
                <w:bCs/>
                <w:sz w:val="24"/>
                <w:szCs w:val="24"/>
              </w:rPr>
              <w:t>32</w:t>
            </w:r>
          </w:p>
        </w:tc>
        <w:tc>
          <w:tcPr>
            <w:tcW w:w="600" w:type="pct"/>
            <w:tcMar>
              <w:top w:w="28" w:type="dxa"/>
              <w:left w:w="80" w:type="dxa"/>
              <w:bottom w:w="28" w:type="dxa"/>
              <w:right w:w="80" w:type="dxa"/>
            </w:tcMar>
            <w:vAlign w:val="center"/>
          </w:tcPr>
          <w:p w14:paraId="282DBE8A" w14:textId="77777777" w:rsidR="0042033D" w:rsidRDefault="00000000">
            <w:pPr>
              <w:spacing w:line="232" w:lineRule="auto"/>
              <w:jc w:val="center"/>
              <w:rPr>
                <w:sz w:val="24"/>
                <w:szCs w:val="24"/>
              </w:rPr>
            </w:pPr>
            <w:r>
              <w:rPr>
                <w:b/>
                <w:bCs/>
                <w:sz w:val="24"/>
                <w:szCs w:val="24"/>
              </w:rPr>
              <w:t>52</w:t>
            </w:r>
          </w:p>
        </w:tc>
        <w:tc>
          <w:tcPr>
            <w:tcW w:w="600" w:type="pct"/>
            <w:tcMar>
              <w:top w:w="28" w:type="dxa"/>
              <w:left w:w="80" w:type="dxa"/>
              <w:bottom w:w="28" w:type="dxa"/>
              <w:right w:w="80" w:type="dxa"/>
            </w:tcMar>
            <w:vAlign w:val="center"/>
          </w:tcPr>
          <w:p w14:paraId="7DF38A86" w14:textId="77777777" w:rsidR="0042033D" w:rsidRDefault="00000000">
            <w:pPr>
              <w:spacing w:line="232" w:lineRule="auto"/>
              <w:jc w:val="center"/>
              <w:rPr>
                <w:sz w:val="24"/>
                <w:szCs w:val="24"/>
              </w:rPr>
            </w:pPr>
            <w:r>
              <w:rPr>
                <w:b/>
                <w:bCs/>
                <w:sz w:val="24"/>
                <w:szCs w:val="24"/>
              </w:rPr>
              <w:t>76</w:t>
            </w:r>
          </w:p>
        </w:tc>
      </w:tr>
    </w:tbl>
    <w:p w14:paraId="02FFD369" w14:textId="77777777" w:rsidR="0042033D" w:rsidRDefault="00000000">
      <w:pPr>
        <w:spacing w:before="40" w:after="140" w:line="260" w:lineRule="auto"/>
        <w:jc w:val="both"/>
        <w:rPr>
          <w:sz w:val="24"/>
          <w:szCs w:val="24"/>
        </w:rPr>
      </w:pPr>
      <w:r>
        <w:t>(*) Le compte de gestion est une reconstitution analytique destinée à relier les états statutaires certifiés au modèle de gestion. Le résultat net statutaire 2024-2025 (14,8 K$) ne doit pas être assimilé mécaniquement à l’EBITDA de gestion : les différences proviennent de postes comptables / produits accessoires et traitements de clôture. La nature détaillée des écarts est documentée dans l’Annexe B ; aucun produit non récurrent n’est considéré comme récurrent dans le scénario opérationnel sans justificatif. Le chiffre d'affaires 2025 de 61 K$ du modèle correspond à l'année civile 2025 en gestion ; il n'est pas additionné aux 80,21 K$ certifiés pour former un cumul, car le premier semestre 2025 est déjà inclus dans l'exercice certifié 2024-2025.</w:t>
      </w:r>
    </w:p>
    <w:p w14:paraId="2B5E2024" w14:textId="77777777" w:rsidR="0042033D" w:rsidRDefault="00000000">
      <w:pPr>
        <w:keepNext/>
        <w:spacing w:before="140" w:after="50" w:line="260" w:lineRule="auto"/>
        <w:rPr>
          <w:sz w:val="24"/>
          <w:szCs w:val="24"/>
        </w:rPr>
      </w:pPr>
      <w:r>
        <w:rPr>
          <w:rFonts w:eastAsia="Arial"/>
          <w:b/>
          <w:bCs/>
          <w:color w:val="1A2330"/>
          <w:sz w:val="24"/>
          <w:szCs w:val="24"/>
        </w:rPr>
        <w:t>Tableau 16 bis — Compte de résultat historique pro forma : rémunération des fondateurs au niveau cible (k $)</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5128"/>
        <w:gridCol w:w="2014"/>
        <w:gridCol w:w="2014"/>
      </w:tblGrid>
      <w:tr w:rsidR="0042033D" w14:paraId="300BCCC1" w14:textId="77777777">
        <w:trPr>
          <w:cantSplit/>
          <w:tblHeader/>
        </w:trPr>
        <w:tc>
          <w:tcPr>
            <w:tcW w:w="2800" w:type="pct"/>
            <w:shd w:val="clear" w:color="auto" w:fill="D4875A"/>
            <w:tcMar>
              <w:top w:w="36" w:type="dxa"/>
              <w:left w:w="80" w:type="dxa"/>
              <w:bottom w:w="36" w:type="dxa"/>
              <w:right w:w="80" w:type="dxa"/>
            </w:tcMar>
            <w:vAlign w:val="center"/>
          </w:tcPr>
          <w:p w14:paraId="5503CA02" w14:textId="77777777" w:rsidR="0042033D" w:rsidRDefault="00000000">
            <w:pPr>
              <w:spacing w:line="232" w:lineRule="auto"/>
              <w:jc w:val="center"/>
              <w:rPr>
                <w:sz w:val="24"/>
                <w:szCs w:val="24"/>
              </w:rPr>
            </w:pPr>
            <w:r>
              <w:rPr>
                <w:b/>
                <w:bCs/>
                <w:color w:val="FFFFFF"/>
                <w:sz w:val="24"/>
                <w:szCs w:val="24"/>
              </w:rPr>
              <w:t>Indicateur (k $)</w:t>
            </w:r>
          </w:p>
        </w:tc>
        <w:tc>
          <w:tcPr>
            <w:tcW w:w="1100" w:type="pct"/>
            <w:shd w:val="clear" w:color="auto" w:fill="D4875A"/>
            <w:tcMar>
              <w:top w:w="36" w:type="dxa"/>
              <w:left w:w="80" w:type="dxa"/>
              <w:bottom w:w="36" w:type="dxa"/>
              <w:right w:w="80" w:type="dxa"/>
            </w:tcMar>
            <w:vAlign w:val="center"/>
          </w:tcPr>
          <w:p w14:paraId="0D69851F" w14:textId="77777777" w:rsidR="0042033D" w:rsidRPr="00AE3011" w:rsidRDefault="00000000">
            <w:pPr>
              <w:spacing w:line="232" w:lineRule="auto"/>
              <w:jc w:val="center"/>
              <w:rPr>
                <w:b/>
                <w:bCs/>
                <w:color w:val="FFFFFF"/>
                <w:sz w:val="24"/>
                <w:szCs w:val="24"/>
              </w:rPr>
            </w:pPr>
            <w:r w:rsidRPr="00AE3011">
              <w:rPr>
                <w:b/>
                <w:bCs/>
                <w:color w:val="FFFFFF"/>
                <w:sz w:val="24"/>
                <w:szCs w:val="24"/>
              </w:rPr>
              <w:t>Exercice 2023-2024</w:t>
            </w:r>
          </w:p>
        </w:tc>
        <w:tc>
          <w:tcPr>
            <w:tcW w:w="1100" w:type="pct"/>
            <w:shd w:val="clear" w:color="auto" w:fill="D4875A"/>
            <w:tcMar>
              <w:top w:w="36" w:type="dxa"/>
              <w:left w:w="80" w:type="dxa"/>
              <w:bottom w:w="36" w:type="dxa"/>
              <w:right w:w="80" w:type="dxa"/>
            </w:tcMar>
            <w:vAlign w:val="center"/>
          </w:tcPr>
          <w:p w14:paraId="2424BA4C" w14:textId="77777777" w:rsidR="0042033D" w:rsidRPr="00AE3011" w:rsidRDefault="00000000">
            <w:pPr>
              <w:spacing w:line="232" w:lineRule="auto"/>
              <w:jc w:val="center"/>
              <w:rPr>
                <w:b/>
                <w:bCs/>
                <w:color w:val="FFFFFF"/>
                <w:sz w:val="24"/>
                <w:szCs w:val="24"/>
              </w:rPr>
            </w:pPr>
            <w:r w:rsidRPr="00AE3011">
              <w:rPr>
                <w:b/>
                <w:bCs/>
                <w:color w:val="FFFFFF"/>
                <w:sz w:val="24"/>
                <w:szCs w:val="24"/>
              </w:rPr>
              <w:t>Exercice 2024-2025</w:t>
            </w:r>
          </w:p>
        </w:tc>
      </w:tr>
      <w:tr w:rsidR="0042033D" w14:paraId="1BB1A74E" w14:textId="77777777">
        <w:trPr>
          <w:cantSplit/>
        </w:trPr>
        <w:tc>
          <w:tcPr>
            <w:tcW w:w="2800" w:type="pct"/>
            <w:tcMar>
              <w:top w:w="28" w:type="dxa"/>
              <w:left w:w="80" w:type="dxa"/>
              <w:bottom w:w="28" w:type="dxa"/>
              <w:right w:w="80" w:type="dxa"/>
            </w:tcMar>
            <w:vAlign w:val="center"/>
          </w:tcPr>
          <w:p w14:paraId="4FBAC51B" w14:textId="77777777" w:rsidR="0042033D" w:rsidRDefault="00000000">
            <w:pPr>
              <w:spacing w:line="232" w:lineRule="auto"/>
              <w:rPr>
                <w:sz w:val="24"/>
                <w:szCs w:val="24"/>
              </w:rPr>
            </w:pPr>
            <w:r>
              <w:rPr>
                <w:b/>
                <w:bCs/>
                <w:sz w:val="24"/>
                <w:szCs w:val="24"/>
              </w:rPr>
              <w:t>Chiffre d'affaires certifié</w:t>
            </w:r>
          </w:p>
        </w:tc>
        <w:tc>
          <w:tcPr>
            <w:tcW w:w="1100" w:type="pct"/>
            <w:tcMar>
              <w:top w:w="28" w:type="dxa"/>
              <w:left w:w="80" w:type="dxa"/>
              <w:bottom w:w="28" w:type="dxa"/>
              <w:right w:w="80" w:type="dxa"/>
            </w:tcMar>
            <w:vAlign w:val="center"/>
          </w:tcPr>
          <w:p w14:paraId="4B28711A" w14:textId="77777777" w:rsidR="0042033D" w:rsidRDefault="00000000">
            <w:pPr>
              <w:spacing w:line="232" w:lineRule="auto"/>
              <w:jc w:val="center"/>
              <w:rPr>
                <w:sz w:val="24"/>
                <w:szCs w:val="24"/>
              </w:rPr>
            </w:pPr>
            <w:r>
              <w:rPr>
                <w:b/>
                <w:bCs/>
                <w:sz w:val="24"/>
                <w:szCs w:val="24"/>
              </w:rPr>
              <w:t>32,4</w:t>
            </w:r>
          </w:p>
        </w:tc>
        <w:tc>
          <w:tcPr>
            <w:tcW w:w="1100" w:type="pct"/>
            <w:tcMar>
              <w:top w:w="28" w:type="dxa"/>
              <w:left w:w="80" w:type="dxa"/>
              <w:bottom w:w="28" w:type="dxa"/>
              <w:right w:w="80" w:type="dxa"/>
            </w:tcMar>
            <w:vAlign w:val="center"/>
          </w:tcPr>
          <w:p w14:paraId="6987D98B" w14:textId="77777777" w:rsidR="0042033D" w:rsidRDefault="00000000">
            <w:pPr>
              <w:spacing w:line="232" w:lineRule="auto"/>
              <w:jc w:val="center"/>
              <w:rPr>
                <w:sz w:val="24"/>
                <w:szCs w:val="24"/>
              </w:rPr>
            </w:pPr>
            <w:r>
              <w:rPr>
                <w:b/>
                <w:bCs/>
                <w:sz w:val="24"/>
                <w:szCs w:val="24"/>
              </w:rPr>
              <w:t>47,8</w:t>
            </w:r>
          </w:p>
        </w:tc>
      </w:tr>
      <w:tr w:rsidR="0042033D" w14:paraId="3B6BF307" w14:textId="77777777">
        <w:trPr>
          <w:cantSplit/>
        </w:trPr>
        <w:tc>
          <w:tcPr>
            <w:tcW w:w="2800" w:type="pct"/>
            <w:tcMar>
              <w:top w:w="28" w:type="dxa"/>
              <w:left w:w="80" w:type="dxa"/>
              <w:bottom w:w="28" w:type="dxa"/>
              <w:right w:w="80" w:type="dxa"/>
            </w:tcMar>
            <w:vAlign w:val="center"/>
          </w:tcPr>
          <w:p w14:paraId="096C0DD7" w14:textId="77777777" w:rsidR="0042033D" w:rsidRDefault="00000000" w:rsidP="00AE3011">
            <w:pPr>
              <w:spacing w:line="232" w:lineRule="auto"/>
            </w:pPr>
            <w:r w:rsidRPr="00AE3011">
              <w:rPr>
                <w:b/>
                <w:bCs/>
                <w:sz w:val="24"/>
                <w:szCs w:val="24"/>
              </w:rPr>
              <w:t>Coût des matières et charges variables</w:t>
            </w:r>
          </w:p>
        </w:tc>
        <w:tc>
          <w:tcPr>
            <w:tcW w:w="1100" w:type="pct"/>
            <w:tcMar>
              <w:top w:w="28" w:type="dxa"/>
              <w:left w:w="80" w:type="dxa"/>
              <w:bottom w:w="28" w:type="dxa"/>
              <w:right w:w="80" w:type="dxa"/>
            </w:tcMar>
            <w:vAlign w:val="center"/>
          </w:tcPr>
          <w:p w14:paraId="115BB4EB" w14:textId="77777777" w:rsidR="0042033D" w:rsidRDefault="00000000">
            <w:pPr>
              <w:spacing w:line="232" w:lineRule="auto"/>
              <w:jc w:val="center"/>
              <w:rPr>
                <w:sz w:val="24"/>
                <w:szCs w:val="24"/>
              </w:rPr>
            </w:pPr>
            <w:r>
              <w:rPr>
                <w:b/>
                <w:bCs/>
                <w:sz w:val="24"/>
                <w:szCs w:val="24"/>
              </w:rPr>
              <w:t>12,9</w:t>
            </w:r>
          </w:p>
        </w:tc>
        <w:tc>
          <w:tcPr>
            <w:tcW w:w="1100" w:type="pct"/>
            <w:tcMar>
              <w:top w:w="28" w:type="dxa"/>
              <w:left w:w="80" w:type="dxa"/>
              <w:bottom w:w="28" w:type="dxa"/>
              <w:right w:w="80" w:type="dxa"/>
            </w:tcMar>
            <w:vAlign w:val="center"/>
          </w:tcPr>
          <w:p w14:paraId="06385D9D" w14:textId="77777777" w:rsidR="0042033D" w:rsidRDefault="00000000">
            <w:pPr>
              <w:spacing w:line="232" w:lineRule="auto"/>
              <w:jc w:val="center"/>
              <w:rPr>
                <w:sz w:val="24"/>
                <w:szCs w:val="24"/>
              </w:rPr>
            </w:pPr>
            <w:r>
              <w:rPr>
                <w:b/>
                <w:bCs/>
                <w:sz w:val="24"/>
                <w:szCs w:val="24"/>
              </w:rPr>
              <w:t>18,6</w:t>
            </w:r>
          </w:p>
        </w:tc>
      </w:tr>
      <w:tr w:rsidR="0042033D" w14:paraId="6093CC77" w14:textId="77777777">
        <w:trPr>
          <w:cantSplit/>
        </w:trPr>
        <w:tc>
          <w:tcPr>
            <w:tcW w:w="2800" w:type="pct"/>
            <w:tcMar>
              <w:top w:w="28" w:type="dxa"/>
              <w:left w:w="80" w:type="dxa"/>
              <w:bottom w:w="28" w:type="dxa"/>
              <w:right w:w="80" w:type="dxa"/>
            </w:tcMar>
            <w:vAlign w:val="center"/>
          </w:tcPr>
          <w:p w14:paraId="375726B7" w14:textId="77777777" w:rsidR="0042033D" w:rsidRDefault="00000000">
            <w:pPr>
              <w:spacing w:line="232" w:lineRule="auto"/>
              <w:rPr>
                <w:sz w:val="24"/>
                <w:szCs w:val="24"/>
              </w:rPr>
            </w:pPr>
            <w:r>
              <w:rPr>
                <w:b/>
                <w:bCs/>
                <w:sz w:val="24"/>
                <w:szCs w:val="24"/>
              </w:rPr>
              <w:t>Marge brute</w:t>
            </w:r>
          </w:p>
        </w:tc>
        <w:tc>
          <w:tcPr>
            <w:tcW w:w="1100" w:type="pct"/>
            <w:tcMar>
              <w:top w:w="28" w:type="dxa"/>
              <w:left w:w="80" w:type="dxa"/>
              <w:bottom w:w="28" w:type="dxa"/>
              <w:right w:w="80" w:type="dxa"/>
            </w:tcMar>
            <w:vAlign w:val="center"/>
          </w:tcPr>
          <w:p w14:paraId="257505C9" w14:textId="77777777" w:rsidR="0042033D" w:rsidRDefault="00000000">
            <w:pPr>
              <w:spacing w:line="232" w:lineRule="auto"/>
              <w:jc w:val="center"/>
              <w:rPr>
                <w:sz w:val="24"/>
                <w:szCs w:val="24"/>
              </w:rPr>
            </w:pPr>
            <w:r>
              <w:rPr>
                <w:b/>
                <w:bCs/>
                <w:sz w:val="24"/>
                <w:szCs w:val="24"/>
              </w:rPr>
              <w:t>19,5</w:t>
            </w:r>
          </w:p>
        </w:tc>
        <w:tc>
          <w:tcPr>
            <w:tcW w:w="1100" w:type="pct"/>
            <w:tcMar>
              <w:top w:w="28" w:type="dxa"/>
              <w:left w:w="80" w:type="dxa"/>
              <w:bottom w:w="28" w:type="dxa"/>
              <w:right w:w="80" w:type="dxa"/>
            </w:tcMar>
            <w:vAlign w:val="center"/>
          </w:tcPr>
          <w:p w14:paraId="156BB88E" w14:textId="77777777" w:rsidR="0042033D" w:rsidRDefault="00000000">
            <w:pPr>
              <w:spacing w:line="232" w:lineRule="auto"/>
              <w:jc w:val="center"/>
              <w:rPr>
                <w:sz w:val="24"/>
                <w:szCs w:val="24"/>
              </w:rPr>
            </w:pPr>
            <w:r>
              <w:rPr>
                <w:b/>
                <w:bCs/>
                <w:sz w:val="24"/>
                <w:szCs w:val="24"/>
              </w:rPr>
              <w:t>29,2</w:t>
            </w:r>
          </w:p>
        </w:tc>
      </w:tr>
      <w:tr w:rsidR="0042033D" w14:paraId="15A5064B" w14:textId="77777777">
        <w:trPr>
          <w:cantSplit/>
        </w:trPr>
        <w:tc>
          <w:tcPr>
            <w:tcW w:w="2800" w:type="pct"/>
            <w:tcMar>
              <w:top w:w="28" w:type="dxa"/>
              <w:left w:w="80" w:type="dxa"/>
              <w:bottom w:w="28" w:type="dxa"/>
              <w:right w:w="80" w:type="dxa"/>
            </w:tcMar>
            <w:vAlign w:val="center"/>
          </w:tcPr>
          <w:p w14:paraId="2117E9DE" w14:textId="77777777" w:rsidR="0042033D" w:rsidRDefault="00000000">
            <w:pPr>
              <w:spacing w:line="232" w:lineRule="auto"/>
              <w:rPr>
                <w:sz w:val="24"/>
                <w:szCs w:val="24"/>
              </w:rPr>
            </w:pPr>
            <w:r>
              <w:rPr>
                <w:b/>
                <w:bCs/>
                <w:sz w:val="24"/>
                <w:szCs w:val="24"/>
              </w:rPr>
              <w:t>Personnel salarié déclaré</w:t>
            </w:r>
          </w:p>
        </w:tc>
        <w:tc>
          <w:tcPr>
            <w:tcW w:w="1100" w:type="pct"/>
            <w:tcMar>
              <w:top w:w="28" w:type="dxa"/>
              <w:left w:w="80" w:type="dxa"/>
              <w:bottom w:w="28" w:type="dxa"/>
              <w:right w:w="80" w:type="dxa"/>
            </w:tcMar>
            <w:vAlign w:val="center"/>
          </w:tcPr>
          <w:p w14:paraId="2D73AE0F" w14:textId="77777777" w:rsidR="0042033D" w:rsidRDefault="00000000">
            <w:pPr>
              <w:spacing w:line="232" w:lineRule="auto"/>
              <w:jc w:val="center"/>
              <w:rPr>
                <w:sz w:val="24"/>
                <w:szCs w:val="24"/>
              </w:rPr>
            </w:pPr>
            <w:r>
              <w:rPr>
                <w:b/>
                <w:bCs/>
                <w:sz w:val="24"/>
                <w:szCs w:val="24"/>
              </w:rPr>
              <w:t>8,5</w:t>
            </w:r>
          </w:p>
        </w:tc>
        <w:tc>
          <w:tcPr>
            <w:tcW w:w="1100" w:type="pct"/>
            <w:tcMar>
              <w:top w:w="28" w:type="dxa"/>
              <w:left w:w="80" w:type="dxa"/>
              <w:bottom w:w="28" w:type="dxa"/>
              <w:right w:w="80" w:type="dxa"/>
            </w:tcMar>
            <w:vAlign w:val="center"/>
          </w:tcPr>
          <w:p w14:paraId="49E94912" w14:textId="77777777" w:rsidR="0042033D" w:rsidRDefault="00000000">
            <w:pPr>
              <w:spacing w:line="232" w:lineRule="auto"/>
              <w:jc w:val="center"/>
              <w:rPr>
                <w:sz w:val="24"/>
                <w:szCs w:val="24"/>
              </w:rPr>
            </w:pPr>
            <w:r>
              <w:rPr>
                <w:b/>
                <w:bCs/>
                <w:sz w:val="24"/>
                <w:szCs w:val="24"/>
              </w:rPr>
              <w:t>11,5</w:t>
            </w:r>
          </w:p>
        </w:tc>
      </w:tr>
      <w:tr w:rsidR="0042033D" w14:paraId="55BBE326" w14:textId="77777777">
        <w:trPr>
          <w:cantSplit/>
        </w:trPr>
        <w:tc>
          <w:tcPr>
            <w:tcW w:w="2800" w:type="pct"/>
            <w:tcMar>
              <w:top w:w="28" w:type="dxa"/>
              <w:left w:w="80" w:type="dxa"/>
              <w:bottom w:w="28" w:type="dxa"/>
              <w:right w:w="80" w:type="dxa"/>
            </w:tcMar>
            <w:vAlign w:val="center"/>
          </w:tcPr>
          <w:p w14:paraId="76EF1B0C" w14:textId="77777777" w:rsidR="0042033D" w:rsidRDefault="00000000">
            <w:pPr>
              <w:spacing w:line="232" w:lineRule="auto"/>
              <w:rPr>
                <w:sz w:val="24"/>
                <w:szCs w:val="24"/>
              </w:rPr>
            </w:pPr>
            <w:r>
              <w:rPr>
                <w:b/>
                <w:bCs/>
                <w:sz w:val="24"/>
                <w:szCs w:val="24"/>
              </w:rPr>
              <w:t>Rémunérations fondateurs au niveau cible (pro forma, 16,0 K $/an)</w:t>
            </w:r>
          </w:p>
        </w:tc>
        <w:tc>
          <w:tcPr>
            <w:tcW w:w="1100" w:type="pct"/>
            <w:tcMar>
              <w:top w:w="28" w:type="dxa"/>
              <w:left w:w="80" w:type="dxa"/>
              <w:bottom w:w="28" w:type="dxa"/>
              <w:right w:w="80" w:type="dxa"/>
            </w:tcMar>
            <w:vAlign w:val="center"/>
          </w:tcPr>
          <w:p w14:paraId="4DED9737" w14:textId="77777777" w:rsidR="0042033D" w:rsidRDefault="00000000">
            <w:pPr>
              <w:spacing w:line="232" w:lineRule="auto"/>
              <w:jc w:val="center"/>
              <w:rPr>
                <w:sz w:val="24"/>
                <w:szCs w:val="24"/>
              </w:rPr>
            </w:pPr>
            <w:r>
              <w:rPr>
                <w:b/>
                <w:bCs/>
                <w:sz w:val="24"/>
                <w:szCs w:val="24"/>
              </w:rPr>
              <w:t>16,0</w:t>
            </w:r>
          </w:p>
        </w:tc>
        <w:tc>
          <w:tcPr>
            <w:tcW w:w="1100" w:type="pct"/>
            <w:tcMar>
              <w:top w:w="28" w:type="dxa"/>
              <w:left w:w="80" w:type="dxa"/>
              <w:bottom w:w="28" w:type="dxa"/>
              <w:right w:w="80" w:type="dxa"/>
            </w:tcMar>
            <w:vAlign w:val="center"/>
          </w:tcPr>
          <w:p w14:paraId="2ECEFC90" w14:textId="77777777" w:rsidR="0042033D" w:rsidRDefault="00000000">
            <w:pPr>
              <w:spacing w:line="232" w:lineRule="auto"/>
              <w:jc w:val="center"/>
              <w:rPr>
                <w:sz w:val="24"/>
                <w:szCs w:val="24"/>
              </w:rPr>
            </w:pPr>
            <w:r>
              <w:rPr>
                <w:b/>
                <w:bCs/>
                <w:sz w:val="24"/>
                <w:szCs w:val="24"/>
              </w:rPr>
              <w:t>16,0</w:t>
            </w:r>
          </w:p>
        </w:tc>
      </w:tr>
      <w:tr w:rsidR="0042033D" w14:paraId="4DEEF341" w14:textId="77777777">
        <w:trPr>
          <w:cantSplit/>
        </w:trPr>
        <w:tc>
          <w:tcPr>
            <w:tcW w:w="2800" w:type="pct"/>
            <w:tcMar>
              <w:top w:w="28" w:type="dxa"/>
              <w:left w:w="80" w:type="dxa"/>
              <w:bottom w:w="28" w:type="dxa"/>
              <w:right w:w="80" w:type="dxa"/>
            </w:tcMar>
            <w:vAlign w:val="center"/>
          </w:tcPr>
          <w:p w14:paraId="2406038B" w14:textId="77777777" w:rsidR="0042033D" w:rsidRDefault="00000000">
            <w:pPr>
              <w:spacing w:line="232" w:lineRule="auto"/>
              <w:rPr>
                <w:sz w:val="24"/>
                <w:szCs w:val="24"/>
              </w:rPr>
            </w:pPr>
            <w:r>
              <w:rPr>
                <w:b/>
                <w:bCs/>
                <w:sz w:val="24"/>
                <w:szCs w:val="24"/>
              </w:rPr>
              <w:t>Autres charges opérationnelles</w:t>
            </w:r>
          </w:p>
        </w:tc>
        <w:tc>
          <w:tcPr>
            <w:tcW w:w="1100" w:type="pct"/>
            <w:tcMar>
              <w:top w:w="28" w:type="dxa"/>
              <w:left w:w="80" w:type="dxa"/>
              <w:bottom w:w="28" w:type="dxa"/>
              <w:right w:w="80" w:type="dxa"/>
            </w:tcMar>
            <w:vAlign w:val="center"/>
          </w:tcPr>
          <w:p w14:paraId="15C2C410" w14:textId="77777777" w:rsidR="0042033D" w:rsidRDefault="00000000">
            <w:pPr>
              <w:spacing w:line="232" w:lineRule="auto"/>
              <w:jc w:val="center"/>
              <w:rPr>
                <w:sz w:val="24"/>
                <w:szCs w:val="24"/>
              </w:rPr>
            </w:pPr>
            <w:r>
              <w:rPr>
                <w:b/>
                <w:bCs/>
                <w:sz w:val="24"/>
                <w:szCs w:val="24"/>
              </w:rPr>
              <w:t>2,3</w:t>
            </w:r>
          </w:p>
        </w:tc>
        <w:tc>
          <w:tcPr>
            <w:tcW w:w="1100" w:type="pct"/>
            <w:tcMar>
              <w:top w:w="28" w:type="dxa"/>
              <w:left w:w="80" w:type="dxa"/>
              <w:bottom w:w="28" w:type="dxa"/>
              <w:right w:w="80" w:type="dxa"/>
            </w:tcMar>
            <w:vAlign w:val="center"/>
          </w:tcPr>
          <w:p w14:paraId="6BE8681C" w14:textId="77777777" w:rsidR="0042033D" w:rsidRDefault="00000000">
            <w:pPr>
              <w:spacing w:line="232" w:lineRule="auto"/>
              <w:jc w:val="center"/>
              <w:rPr>
                <w:sz w:val="24"/>
                <w:szCs w:val="24"/>
              </w:rPr>
            </w:pPr>
            <w:r>
              <w:rPr>
                <w:b/>
                <w:bCs/>
                <w:sz w:val="24"/>
                <w:szCs w:val="24"/>
              </w:rPr>
              <w:t>3,3</w:t>
            </w:r>
          </w:p>
        </w:tc>
      </w:tr>
      <w:tr w:rsidR="0042033D" w14:paraId="6D7B6B04" w14:textId="77777777">
        <w:trPr>
          <w:cantSplit/>
        </w:trPr>
        <w:tc>
          <w:tcPr>
            <w:tcW w:w="2800" w:type="pct"/>
            <w:tcMar>
              <w:top w:w="28" w:type="dxa"/>
              <w:left w:w="80" w:type="dxa"/>
              <w:bottom w:w="28" w:type="dxa"/>
              <w:right w:w="80" w:type="dxa"/>
            </w:tcMar>
            <w:vAlign w:val="center"/>
          </w:tcPr>
          <w:p w14:paraId="62F6F2D5" w14:textId="77777777" w:rsidR="0042033D" w:rsidRDefault="00000000">
            <w:pPr>
              <w:spacing w:line="232" w:lineRule="auto"/>
              <w:rPr>
                <w:sz w:val="24"/>
                <w:szCs w:val="24"/>
              </w:rPr>
            </w:pPr>
            <w:r>
              <w:rPr>
                <w:b/>
                <w:bCs/>
                <w:sz w:val="24"/>
                <w:szCs w:val="24"/>
              </w:rPr>
              <w:t>Résultat net pro forma</w:t>
            </w:r>
          </w:p>
        </w:tc>
        <w:tc>
          <w:tcPr>
            <w:tcW w:w="1100" w:type="pct"/>
            <w:tcMar>
              <w:top w:w="28" w:type="dxa"/>
              <w:left w:w="80" w:type="dxa"/>
              <w:bottom w:w="28" w:type="dxa"/>
              <w:right w:w="80" w:type="dxa"/>
            </w:tcMar>
            <w:vAlign w:val="center"/>
          </w:tcPr>
          <w:p w14:paraId="36CEB6A3" w14:textId="77777777" w:rsidR="0042033D" w:rsidRDefault="00000000">
            <w:pPr>
              <w:spacing w:line="232" w:lineRule="auto"/>
              <w:jc w:val="center"/>
              <w:rPr>
                <w:sz w:val="24"/>
                <w:szCs w:val="24"/>
              </w:rPr>
            </w:pPr>
            <w:r>
              <w:rPr>
                <w:b/>
                <w:bCs/>
                <w:sz w:val="24"/>
                <w:szCs w:val="24"/>
              </w:rPr>
              <w:t>−7,3</w:t>
            </w:r>
          </w:p>
        </w:tc>
        <w:tc>
          <w:tcPr>
            <w:tcW w:w="1100" w:type="pct"/>
            <w:tcMar>
              <w:top w:w="28" w:type="dxa"/>
              <w:left w:w="80" w:type="dxa"/>
              <w:bottom w:w="28" w:type="dxa"/>
              <w:right w:w="80" w:type="dxa"/>
            </w:tcMar>
            <w:vAlign w:val="center"/>
          </w:tcPr>
          <w:p w14:paraId="33415C37" w14:textId="77777777" w:rsidR="0042033D" w:rsidRDefault="00000000">
            <w:pPr>
              <w:spacing w:line="232" w:lineRule="auto"/>
              <w:jc w:val="center"/>
              <w:rPr>
                <w:sz w:val="24"/>
                <w:szCs w:val="24"/>
              </w:rPr>
            </w:pPr>
            <w:r>
              <w:rPr>
                <w:b/>
                <w:bCs/>
                <w:sz w:val="24"/>
                <w:szCs w:val="24"/>
              </w:rPr>
              <w:t>−1,6</w:t>
            </w:r>
          </w:p>
        </w:tc>
      </w:tr>
      <w:tr w:rsidR="0042033D" w14:paraId="23C45DE6" w14:textId="77777777">
        <w:trPr>
          <w:cantSplit/>
        </w:trPr>
        <w:tc>
          <w:tcPr>
            <w:tcW w:w="2800" w:type="pct"/>
            <w:tcMar>
              <w:top w:w="28" w:type="dxa"/>
              <w:left w:w="80" w:type="dxa"/>
              <w:bottom w:w="28" w:type="dxa"/>
              <w:right w:w="80" w:type="dxa"/>
            </w:tcMar>
            <w:vAlign w:val="center"/>
          </w:tcPr>
          <w:p w14:paraId="32C56BC5" w14:textId="77777777" w:rsidR="0042033D" w:rsidRDefault="00000000">
            <w:pPr>
              <w:spacing w:line="232" w:lineRule="auto"/>
              <w:rPr>
                <w:sz w:val="24"/>
                <w:szCs w:val="24"/>
              </w:rPr>
            </w:pPr>
            <w:r>
              <w:rPr>
                <w:b/>
                <w:bCs/>
                <w:sz w:val="24"/>
                <w:szCs w:val="24"/>
              </w:rPr>
              <w:t>Marge nette pro forma</w:t>
            </w:r>
          </w:p>
        </w:tc>
        <w:tc>
          <w:tcPr>
            <w:tcW w:w="1100" w:type="pct"/>
            <w:tcMar>
              <w:top w:w="28" w:type="dxa"/>
              <w:left w:w="80" w:type="dxa"/>
              <w:bottom w:w="28" w:type="dxa"/>
              <w:right w:w="80" w:type="dxa"/>
            </w:tcMar>
            <w:vAlign w:val="center"/>
          </w:tcPr>
          <w:p w14:paraId="5AC42D05" w14:textId="77777777" w:rsidR="0042033D" w:rsidRDefault="00000000">
            <w:pPr>
              <w:spacing w:line="232" w:lineRule="auto"/>
              <w:jc w:val="center"/>
              <w:rPr>
                <w:sz w:val="24"/>
                <w:szCs w:val="24"/>
              </w:rPr>
            </w:pPr>
            <w:r>
              <w:rPr>
                <w:b/>
                <w:bCs/>
                <w:sz w:val="24"/>
                <w:szCs w:val="24"/>
              </w:rPr>
              <w:t>−23 %</w:t>
            </w:r>
          </w:p>
        </w:tc>
        <w:tc>
          <w:tcPr>
            <w:tcW w:w="1100" w:type="pct"/>
            <w:tcMar>
              <w:top w:w="28" w:type="dxa"/>
              <w:left w:w="80" w:type="dxa"/>
              <w:bottom w:w="28" w:type="dxa"/>
              <w:right w:w="80" w:type="dxa"/>
            </w:tcMar>
            <w:vAlign w:val="center"/>
          </w:tcPr>
          <w:p w14:paraId="33000B75" w14:textId="77777777" w:rsidR="0042033D" w:rsidRDefault="00000000">
            <w:pPr>
              <w:spacing w:line="232" w:lineRule="auto"/>
              <w:jc w:val="center"/>
              <w:rPr>
                <w:sz w:val="24"/>
                <w:szCs w:val="24"/>
              </w:rPr>
            </w:pPr>
            <w:r>
              <w:rPr>
                <w:b/>
                <w:bCs/>
                <w:sz w:val="24"/>
                <w:szCs w:val="24"/>
              </w:rPr>
              <w:t>−3 %</w:t>
            </w:r>
          </w:p>
        </w:tc>
      </w:tr>
    </w:tbl>
    <w:p w14:paraId="3F530497" w14:textId="77777777" w:rsidR="0042033D" w:rsidRDefault="00000000">
      <w:pPr>
        <w:spacing w:after="60"/>
        <w:jc w:val="both"/>
        <w:rPr>
          <w:sz w:val="24"/>
          <w:szCs w:val="24"/>
        </w:rPr>
      </w:pPr>
      <w:r>
        <w:t>Cette reconstitution répond à une question essentielle pour un financeur : la rentabilité subsiste-t-elle lorsque les dirigeants sont rémunérés ? Avec la rémunération cible de 6 millions de MGA par mois cumulés, les exercices historiques deviennent proches de l'équilibre en pro forma, mais le modèle prévisionnel intègre cette charge dès 2027 et conserve une marge nette de 11 % en 2027 et de 18 % en 2030. La croissance attendue vient donc principalement de la hausse des volumes, de la productivité et du mix de revenus, et non d'un travail dirigeant durablement non rémunéré.</w:t>
      </w:r>
    </w:p>
    <w:p w14:paraId="6EE3EBFF" w14:textId="77777777" w:rsidR="0042033D" w:rsidRDefault="00000000">
      <w:pPr>
        <w:pStyle w:val="Heading2"/>
        <w:spacing w:before="150" w:after="60"/>
        <w:rPr>
          <w:rFonts w:ascii="Times New Roman" w:hAnsi="Times New Roman"/>
        </w:rPr>
      </w:pPr>
      <w:bookmarkStart w:id="91" w:name="_Toc100091"/>
      <w:r>
        <w:rPr>
          <w:rFonts w:ascii="Times New Roman" w:hAnsi="Times New Roman"/>
        </w:rPr>
        <w:lastRenderedPageBreak/>
        <w:t>21.2 Décomposition du chiffre d'affaires par canal et par produit</w:t>
      </w:r>
      <w:bookmarkEnd w:id="91"/>
    </w:p>
    <w:p w14:paraId="38E178FE" w14:textId="77777777" w:rsidR="0042033D" w:rsidRDefault="00000000">
      <w:pPr>
        <w:spacing w:after="60"/>
        <w:jc w:val="both"/>
        <w:rPr>
          <w:sz w:val="24"/>
          <w:szCs w:val="24"/>
        </w:rPr>
      </w:pPr>
      <w:r>
        <w:rPr>
          <w:sz w:val="24"/>
          <w:szCs w:val="24"/>
        </w:rPr>
        <w:t xml:space="preserve">La décomposition du chiffre d'affaires met en évidence la diversification accélérée au sein d'un scénario central strictement domestique : la part des contrats FDA descend de 70 % en 2026 à </w:t>
      </w:r>
      <w:r>
        <w:rPr>
          <w:b/>
          <w:bCs/>
          <w:sz w:val="24"/>
          <w:szCs w:val="24"/>
        </w:rPr>
        <w:t>58 % en 2027 (42 % hors FDA)</w:t>
      </w:r>
      <w:r>
        <w:rPr>
          <w:sz w:val="24"/>
          <w:szCs w:val="24"/>
        </w:rPr>
        <w:t xml:space="preserve"> — objectif rehaussé par rapport à la trajectoire initiale de 35 %, jugée insuffisante au regard du risque de concentration — puis vers 46 % en 2030, les ventes directes de frass montant à environ 31 % et la ligne protéines animales à 23 % à l'échéance. L'exportation ne figure pas dans ce scénario central conformément à la discipline de phase décrite en section 24.</w:t>
      </w:r>
    </w:p>
    <w:p w14:paraId="3CEB7CB8" w14:textId="77777777" w:rsidR="0042033D" w:rsidRDefault="00000000">
      <w:pPr>
        <w:keepNext/>
        <w:spacing w:before="140" w:after="50" w:line="260" w:lineRule="auto"/>
        <w:rPr>
          <w:sz w:val="24"/>
          <w:szCs w:val="24"/>
        </w:rPr>
      </w:pPr>
      <w:r>
        <w:rPr>
          <w:rFonts w:eastAsia="Arial"/>
          <w:b/>
          <w:bCs/>
          <w:color w:val="1A2330"/>
          <w:sz w:val="24"/>
          <w:szCs w:val="24"/>
        </w:rPr>
        <w:t>Tableau 17 — Décomposition du chiffre d'affaires par canal et produit (k $)</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3661"/>
        <w:gridCol w:w="1099"/>
        <w:gridCol w:w="1099"/>
        <w:gridCol w:w="1099"/>
        <w:gridCol w:w="1099"/>
        <w:gridCol w:w="1099"/>
      </w:tblGrid>
      <w:tr w:rsidR="0042033D" w14:paraId="1D802A53" w14:textId="77777777">
        <w:trPr>
          <w:cantSplit/>
          <w:tblHeader/>
        </w:trPr>
        <w:tc>
          <w:tcPr>
            <w:tcW w:w="2000" w:type="pct"/>
            <w:shd w:val="clear" w:color="auto" w:fill="D4875A"/>
            <w:tcMar>
              <w:top w:w="36" w:type="dxa"/>
              <w:left w:w="80" w:type="dxa"/>
              <w:bottom w:w="36" w:type="dxa"/>
              <w:right w:w="80" w:type="dxa"/>
            </w:tcMar>
            <w:vAlign w:val="center"/>
          </w:tcPr>
          <w:p w14:paraId="311C6D85" w14:textId="77777777" w:rsidR="0042033D" w:rsidRDefault="00000000">
            <w:pPr>
              <w:spacing w:line="232" w:lineRule="auto"/>
              <w:jc w:val="center"/>
              <w:rPr>
                <w:sz w:val="24"/>
                <w:szCs w:val="24"/>
              </w:rPr>
            </w:pPr>
            <w:r>
              <w:rPr>
                <w:b/>
                <w:bCs/>
                <w:color w:val="FFFFFF"/>
                <w:sz w:val="24"/>
                <w:szCs w:val="24"/>
              </w:rPr>
              <w:t>Canal / produit</w:t>
            </w:r>
          </w:p>
        </w:tc>
        <w:tc>
          <w:tcPr>
            <w:tcW w:w="600" w:type="pct"/>
            <w:shd w:val="clear" w:color="auto" w:fill="D4875A"/>
            <w:tcMar>
              <w:top w:w="36" w:type="dxa"/>
              <w:left w:w="80" w:type="dxa"/>
              <w:bottom w:w="36" w:type="dxa"/>
              <w:right w:w="80" w:type="dxa"/>
            </w:tcMar>
            <w:vAlign w:val="center"/>
          </w:tcPr>
          <w:p w14:paraId="2AA25684" w14:textId="77777777" w:rsidR="0042033D" w:rsidRDefault="00000000">
            <w:pPr>
              <w:spacing w:line="232" w:lineRule="auto"/>
              <w:jc w:val="center"/>
              <w:rPr>
                <w:sz w:val="24"/>
                <w:szCs w:val="24"/>
              </w:rPr>
            </w:pPr>
            <w:r>
              <w:rPr>
                <w:b/>
                <w:bCs/>
                <w:color w:val="FFFFFF"/>
                <w:sz w:val="24"/>
                <w:szCs w:val="24"/>
              </w:rPr>
              <w:t>2026</w:t>
            </w:r>
          </w:p>
        </w:tc>
        <w:tc>
          <w:tcPr>
            <w:tcW w:w="600" w:type="pct"/>
            <w:shd w:val="clear" w:color="auto" w:fill="D4875A"/>
            <w:tcMar>
              <w:top w:w="36" w:type="dxa"/>
              <w:left w:w="80" w:type="dxa"/>
              <w:bottom w:w="36" w:type="dxa"/>
              <w:right w:w="80" w:type="dxa"/>
            </w:tcMar>
            <w:vAlign w:val="center"/>
          </w:tcPr>
          <w:p w14:paraId="30DDDF92" w14:textId="77777777" w:rsidR="0042033D" w:rsidRDefault="00000000">
            <w:pPr>
              <w:spacing w:line="232" w:lineRule="auto"/>
              <w:jc w:val="center"/>
              <w:rPr>
                <w:sz w:val="24"/>
                <w:szCs w:val="24"/>
              </w:rPr>
            </w:pPr>
            <w:r>
              <w:rPr>
                <w:b/>
                <w:bCs/>
                <w:color w:val="FFFFFF"/>
                <w:sz w:val="24"/>
                <w:szCs w:val="24"/>
              </w:rPr>
              <w:t>2027</w:t>
            </w:r>
          </w:p>
        </w:tc>
        <w:tc>
          <w:tcPr>
            <w:tcW w:w="600" w:type="pct"/>
            <w:shd w:val="clear" w:color="auto" w:fill="D4875A"/>
            <w:tcMar>
              <w:top w:w="36" w:type="dxa"/>
              <w:left w:w="80" w:type="dxa"/>
              <w:bottom w:w="36" w:type="dxa"/>
              <w:right w:w="80" w:type="dxa"/>
            </w:tcMar>
            <w:vAlign w:val="center"/>
          </w:tcPr>
          <w:p w14:paraId="4AD6A0CE" w14:textId="77777777" w:rsidR="0042033D" w:rsidRDefault="00000000">
            <w:pPr>
              <w:spacing w:line="232" w:lineRule="auto"/>
              <w:jc w:val="center"/>
              <w:rPr>
                <w:sz w:val="24"/>
                <w:szCs w:val="24"/>
              </w:rPr>
            </w:pPr>
            <w:r>
              <w:rPr>
                <w:b/>
                <w:bCs/>
                <w:color w:val="FFFFFF"/>
                <w:sz w:val="24"/>
                <w:szCs w:val="24"/>
              </w:rPr>
              <w:t>2028</w:t>
            </w:r>
          </w:p>
        </w:tc>
        <w:tc>
          <w:tcPr>
            <w:tcW w:w="600" w:type="pct"/>
            <w:shd w:val="clear" w:color="auto" w:fill="D4875A"/>
            <w:tcMar>
              <w:top w:w="36" w:type="dxa"/>
              <w:left w:w="80" w:type="dxa"/>
              <w:bottom w:w="36" w:type="dxa"/>
              <w:right w:w="80" w:type="dxa"/>
            </w:tcMar>
            <w:vAlign w:val="center"/>
          </w:tcPr>
          <w:p w14:paraId="26E3E497" w14:textId="77777777" w:rsidR="0042033D" w:rsidRDefault="00000000">
            <w:pPr>
              <w:spacing w:line="232" w:lineRule="auto"/>
              <w:jc w:val="center"/>
              <w:rPr>
                <w:sz w:val="24"/>
                <w:szCs w:val="24"/>
              </w:rPr>
            </w:pPr>
            <w:r>
              <w:rPr>
                <w:b/>
                <w:bCs/>
                <w:color w:val="FFFFFF"/>
                <w:sz w:val="24"/>
                <w:szCs w:val="24"/>
              </w:rPr>
              <w:t>2029</w:t>
            </w:r>
          </w:p>
        </w:tc>
        <w:tc>
          <w:tcPr>
            <w:tcW w:w="600" w:type="pct"/>
            <w:shd w:val="clear" w:color="auto" w:fill="D4875A"/>
            <w:tcMar>
              <w:top w:w="36" w:type="dxa"/>
              <w:left w:w="80" w:type="dxa"/>
              <w:bottom w:w="36" w:type="dxa"/>
              <w:right w:w="80" w:type="dxa"/>
            </w:tcMar>
            <w:vAlign w:val="center"/>
          </w:tcPr>
          <w:p w14:paraId="0FC541F6" w14:textId="77777777" w:rsidR="0042033D" w:rsidRDefault="00000000">
            <w:pPr>
              <w:spacing w:line="232" w:lineRule="auto"/>
              <w:jc w:val="center"/>
              <w:rPr>
                <w:sz w:val="24"/>
                <w:szCs w:val="24"/>
              </w:rPr>
            </w:pPr>
            <w:r>
              <w:rPr>
                <w:b/>
                <w:bCs/>
                <w:color w:val="FFFFFF"/>
                <w:sz w:val="24"/>
                <w:szCs w:val="24"/>
              </w:rPr>
              <w:t>2030</w:t>
            </w:r>
          </w:p>
        </w:tc>
      </w:tr>
      <w:tr w:rsidR="0042033D" w14:paraId="0FBBB89D" w14:textId="77777777">
        <w:trPr>
          <w:cantSplit/>
        </w:trPr>
        <w:tc>
          <w:tcPr>
            <w:tcW w:w="2000" w:type="pct"/>
            <w:tcMar>
              <w:top w:w="28" w:type="dxa"/>
              <w:left w:w="80" w:type="dxa"/>
              <w:bottom w:w="28" w:type="dxa"/>
              <w:right w:w="80" w:type="dxa"/>
            </w:tcMar>
            <w:vAlign w:val="center"/>
          </w:tcPr>
          <w:p w14:paraId="58E46F38" w14:textId="77777777" w:rsidR="0042033D" w:rsidRDefault="00000000">
            <w:pPr>
              <w:spacing w:line="232" w:lineRule="auto"/>
              <w:rPr>
                <w:sz w:val="24"/>
                <w:szCs w:val="24"/>
              </w:rPr>
            </w:pPr>
            <w:r>
              <w:rPr>
                <w:b/>
                <w:bCs/>
                <w:sz w:val="24"/>
                <w:szCs w:val="24"/>
              </w:rPr>
              <w:t>Contrats FDA — frass (institutionnel)</w:t>
            </w:r>
          </w:p>
        </w:tc>
        <w:tc>
          <w:tcPr>
            <w:tcW w:w="600" w:type="pct"/>
            <w:tcMar>
              <w:top w:w="28" w:type="dxa"/>
              <w:left w:w="80" w:type="dxa"/>
              <w:bottom w:w="28" w:type="dxa"/>
              <w:right w:w="80" w:type="dxa"/>
            </w:tcMar>
            <w:vAlign w:val="center"/>
          </w:tcPr>
          <w:p w14:paraId="4E8B929B" w14:textId="77777777" w:rsidR="0042033D" w:rsidRDefault="00000000">
            <w:pPr>
              <w:spacing w:line="232" w:lineRule="auto"/>
              <w:jc w:val="center"/>
              <w:rPr>
                <w:sz w:val="24"/>
                <w:szCs w:val="24"/>
              </w:rPr>
            </w:pPr>
            <w:r>
              <w:rPr>
                <w:b/>
                <w:bCs/>
                <w:sz w:val="24"/>
                <w:szCs w:val="24"/>
              </w:rPr>
              <w:t>56</w:t>
            </w:r>
          </w:p>
        </w:tc>
        <w:tc>
          <w:tcPr>
            <w:tcW w:w="600" w:type="pct"/>
            <w:tcMar>
              <w:top w:w="28" w:type="dxa"/>
              <w:left w:w="80" w:type="dxa"/>
              <w:bottom w:w="28" w:type="dxa"/>
              <w:right w:w="80" w:type="dxa"/>
            </w:tcMar>
            <w:vAlign w:val="center"/>
          </w:tcPr>
          <w:p w14:paraId="5B84274A" w14:textId="77777777" w:rsidR="0042033D" w:rsidRDefault="00000000">
            <w:pPr>
              <w:spacing w:line="232" w:lineRule="auto"/>
              <w:jc w:val="center"/>
              <w:rPr>
                <w:sz w:val="24"/>
                <w:szCs w:val="24"/>
              </w:rPr>
            </w:pPr>
            <w:r>
              <w:rPr>
                <w:b/>
                <w:bCs/>
                <w:sz w:val="24"/>
                <w:szCs w:val="24"/>
              </w:rPr>
              <w:t>84</w:t>
            </w:r>
          </w:p>
        </w:tc>
        <w:tc>
          <w:tcPr>
            <w:tcW w:w="600" w:type="pct"/>
            <w:tcMar>
              <w:top w:w="28" w:type="dxa"/>
              <w:left w:w="80" w:type="dxa"/>
              <w:bottom w:w="28" w:type="dxa"/>
              <w:right w:w="80" w:type="dxa"/>
            </w:tcMar>
            <w:vAlign w:val="center"/>
          </w:tcPr>
          <w:p w14:paraId="77E419B2" w14:textId="77777777" w:rsidR="0042033D" w:rsidRDefault="00000000">
            <w:pPr>
              <w:spacing w:line="232" w:lineRule="auto"/>
              <w:jc w:val="center"/>
              <w:rPr>
                <w:sz w:val="24"/>
                <w:szCs w:val="24"/>
              </w:rPr>
            </w:pPr>
            <w:r>
              <w:rPr>
                <w:b/>
                <w:bCs/>
                <w:sz w:val="24"/>
                <w:szCs w:val="24"/>
              </w:rPr>
              <w:t>123</w:t>
            </w:r>
          </w:p>
        </w:tc>
        <w:tc>
          <w:tcPr>
            <w:tcW w:w="600" w:type="pct"/>
            <w:tcMar>
              <w:top w:w="28" w:type="dxa"/>
              <w:left w:w="80" w:type="dxa"/>
              <w:bottom w:w="28" w:type="dxa"/>
              <w:right w:w="80" w:type="dxa"/>
            </w:tcMar>
            <w:vAlign w:val="center"/>
          </w:tcPr>
          <w:p w14:paraId="04BABD60" w14:textId="77777777" w:rsidR="0042033D" w:rsidRDefault="00000000">
            <w:pPr>
              <w:spacing w:line="232" w:lineRule="auto"/>
              <w:jc w:val="center"/>
              <w:rPr>
                <w:sz w:val="24"/>
                <w:szCs w:val="24"/>
              </w:rPr>
            </w:pPr>
            <w:r>
              <w:rPr>
                <w:b/>
                <w:bCs/>
                <w:sz w:val="24"/>
                <w:szCs w:val="24"/>
              </w:rPr>
              <w:t>154</w:t>
            </w:r>
          </w:p>
        </w:tc>
        <w:tc>
          <w:tcPr>
            <w:tcW w:w="600" w:type="pct"/>
            <w:tcMar>
              <w:top w:w="28" w:type="dxa"/>
              <w:left w:w="80" w:type="dxa"/>
              <w:bottom w:w="28" w:type="dxa"/>
              <w:right w:w="80" w:type="dxa"/>
            </w:tcMar>
            <w:vAlign w:val="center"/>
          </w:tcPr>
          <w:p w14:paraId="0AFFBB29" w14:textId="77777777" w:rsidR="0042033D" w:rsidRDefault="00000000">
            <w:pPr>
              <w:spacing w:line="232" w:lineRule="auto"/>
              <w:jc w:val="center"/>
              <w:rPr>
                <w:sz w:val="24"/>
                <w:szCs w:val="24"/>
              </w:rPr>
            </w:pPr>
            <w:r>
              <w:rPr>
                <w:b/>
                <w:bCs/>
                <w:sz w:val="24"/>
                <w:szCs w:val="24"/>
              </w:rPr>
              <w:t>193</w:t>
            </w:r>
          </w:p>
        </w:tc>
      </w:tr>
      <w:tr w:rsidR="0042033D" w14:paraId="3A50A738" w14:textId="77777777">
        <w:trPr>
          <w:cantSplit/>
        </w:trPr>
        <w:tc>
          <w:tcPr>
            <w:tcW w:w="2000" w:type="pct"/>
            <w:tcMar>
              <w:top w:w="28" w:type="dxa"/>
              <w:left w:w="80" w:type="dxa"/>
              <w:bottom w:w="28" w:type="dxa"/>
              <w:right w:w="80" w:type="dxa"/>
            </w:tcMar>
            <w:vAlign w:val="center"/>
          </w:tcPr>
          <w:p w14:paraId="2FA612A9" w14:textId="77777777" w:rsidR="0042033D" w:rsidRDefault="00000000">
            <w:pPr>
              <w:spacing w:line="232" w:lineRule="auto"/>
              <w:rPr>
                <w:sz w:val="24"/>
                <w:szCs w:val="24"/>
              </w:rPr>
            </w:pPr>
            <w:r>
              <w:rPr>
                <w:b/>
                <w:bCs/>
                <w:sz w:val="24"/>
                <w:szCs w:val="24"/>
              </w:rPr>
              <w:t>Ventes directes B2B/B2C — frass</w:t>
            </w:r>
          </w:p>
        </w:tc>
        <w:tc>
          <w:tcPr>
            <w:tcW w:w="600" w:type="pct"/>
            <w:tcMar>
              <w:top w:w="28" w:type="dxa"/>
              <w:left w:w="80" w:type="dxa"/>
              <w:bottom w:w="28" w:type="dxa"/>
              <w:right w:w="80" w:type="dxa"/>
            </w:tcMar>
            <w:vAlign w:val="center"/>
          </w:tcPr>
          <w:p w14:paraId="1126BD02" w14:textId="77777777" w:rsidR="0042033D" w:rsidRDefault="00000000">
            <w:pPr>
              <w:spacing w:line="232" w:lineRule="auto"/>
              <w:jc w:val="center"/>
              <w:rPr>
                <w:sz w:val="24"/>
                <w:szCs w:val="24"/>
              </w:rPr>
            </w:pPr>
            <w:r>
              <w:rPr>
                <w:b/>
                <w:bCs/>
                <w:sz w:val="24"/>
                <w:szCs w:val="24"/>
              </w:rPr>
              <w:t>24</w:t>
            </w:r>
          </w:p>
        </w:tc>
        <w:tc>
          <w:tcPr>
            <w:tcW w:w="600" w:type="pct"/>
            <w:tcMar>
              <w:top w:w="28" w:type="dxa"/>
              <w:left w:w="80" w:type="dxa"/>
              <w:bottom w:w="28" w:type="dxa"/>
              <w:right w:w="80" w:type="dxa"/>
            </w:tcMar>
            <w:vAlign w:val="center"/>
          </w:tcPr>
          <w:p w14:paraId="162DA083" w14:textId="77777777" w:rsidR="0042033D" w:rsidRDefault="00000000">
            <w:pPr>
              <w:spacing w:line="232" w:lineRule="auto"/>
              <w:jc w:val="center"/>
              <w:rPr>
                <w:sz w:val="24"/>
                <w:szCs w:val="24"/>
              </w:rPr>
            </w:pPr>
            <w:r>
              <w:rPr>
                <w:b/>
                <w:bCs/>
                <w:sz w:val="24"/>
                <w:szCs w:val="24"/>
              </w:rPr>
              <w:t>46</w:t>
            </w:r>
          </w:p>
        </w:tc>
        <w:tc>
          <w:tcPr>
            <w:tcW w:w="600" w:type="pct"/>
            <w:tcMar>
              <w:top w:w="28" w:type="dxa"/>
              <w:left w:w="80" w:type="dxa"/>
              <w:bottom w:w="28" w:type="dxa"/>
              <w:right w:w="80" w:type="dxa"/>
            </w:tcMar>
            <w:vAlign w:val="center"/>
          </w:tcPr>
          <w:p w14:paraId="6F739090" w14:textId="77777777" w:rsidR="0042033D" w:rsidRDefault="00000000">
            <w:pPr>
              <w:spacing w:line="232" w:lineRule="auto"/>
              <w:jc w:val="center"/>
              <w:rPr>
                <w:sz w:val="24"/>
                <w:szCs w:val="24"/>
              </w:rPr>
            </w:pPr>
            <w:r>
              <w:rPr>
                <w:b/>
                <w:bCs/>
                <w:sz w:val="24"/>
                <w:szCs w:val="24"/>
              </w:rPr>
              <w:t>64</w:t>
            </w:r>
          </w:p>
        </w:tc>
        <w:tc>
          <w:tcPr>
            <w:tcW w:w="600" w:type="pct"/>
            <w:tcMar>
              <w:top w:w="28" w:type="dxa"/>
              <w:left w:w="80" w:type="dxa"/>
              <w:bottom w:w="28" w:type="dxa"/>
              <w:right w:w="80" w:type="dxa"/>
            </w:tcMar>
            <w:vAlign w:val="center"/>
          </w:tcPr>
          <w:p w14:paraId="3F7DCF63" w14:textId="77777777" w:rsidR="0042033D" w:rsidRDefault="00000000">
            <w:pPr>
              <w:spacing w:line="232" w:lineRule="auto"/>
              <w:jc w:val="center"/>
              <w:rPr>
                <w:sz w:val="24"/>
                <w:szCs w:val="24"/>
              </w:rPr>
            </w:pPr>
            <w:r>
              <w:rPr>
                <w:b/>
                <w:bCs/>
                <w:sz w:val="24"/>
                <w:szCs w:val="24"/>
              </w:rPr>
              <w:t>98</w:t>
            </w:r>
          </w:p>
        </w:tc>
        <w:tc>
          <w:tcPr>
            <w:tcW w:w="600" w:type="pct"/>
            <w:tcMar>
              <w:top w:w="28" w:type="dxa"/>
              <w:left w:w="80" w:type="dxa"/>
              <w:bottom w:w="28" w:type="dxa"/>
              <w:right w:w="80" w:type="dxa"/>
            </w:tcMar>
            <w:vAlign w:val="center"/>
          </w:tcPr>
          <w:p w14:paraId="5889D22B" w14:textId="77777777" w:rsidR="0042033D" w:rsidRDefault="00000000">
            <w:pPr>
              <w:spacing w:line="232" w:lineRule="auto"/>
              <w:jc w:val="center"/>
              <w:rPr>
                <w:sz w:val="24"/>
                <w:szCs w:val="24"/>
              </w:rPr>
            </w:pPr>
            <w:r>
              <w:rPr>
                <w:b/>
                <w:bCs/>
                <w:sz w:val="24"/>
                <w:szCs w:val="24"/>
              </w:rPr>
              <w:t>132</w:t>
            </w:r>
          </w:p>
        </w:tc>
      </w:tr>
      <w:tr w:rsidR="0042033D" w14:paraId="1F2EF0DD" w14:textId="77777777">
        <w:trPr>
          <w:cantSplit/>
        </w:trPr>
        <w:tc>
          <w:tcPr>
            <w:tcW w:w="2000" w:type="pct"/>
            <w:tcMar>
              <w:top w:w="28" w:type="dxa"/>
              <w:left w:w="80" w:type="dxa"/>
              <w:bottom w:w="28" w:type="dxa"/>
              <w:right w:w="80" w:type="dxa"/>
            </w:tcMar>
            <w:vAlign w:val="center"/>
          </w:tcPr>
          <w:p w14:paraId="432BE2E4" w14:textId="77777777" w:rsidR="0042033D" w:rsidRDefault="00000000">
            <w:pPr>
              <w:spacing w:line="232" w:lineRule="auto"/>
              <w:rPr>
                <w:sz w:val="24"/>
                <w:szCs w:val="24"/>
              </w:rPr>
            </w:pPr>
            <w:r>
              <w:rPr>
                <w:b/>
                <w:bCs/>
                <w:sz w:val="24"/>
                <w:szCs w:val="24"/>
              </w:rPr>
              <w:t>Protéines animales (larves séchées)</w:t>
            </w:r>
          </w:p>
        </w:tc>
        <w:tc>
          <w:tcPr>
            <w:tcW w:w="600" w:type="pct"/>
            <w:tcMar>
              <w:top w:w="28" w:type="dxa"/>
              <w:left w:w="80" w:type="dxa"/>
              <w:bottom w:w="28" w:type="dxa"/>
              <w:right w:w="80" w:type="dxa"/>
            </w:tcMar>
            <w:vAlign w:val="center"/>
          </w:tcPr>
          <w:p w14:paraId="05AC0C9D" w14:textId="77777777" w:rsidR="0042033D" w:rsidRDefault="00000000">
            <w:pPr>
              <w:spacing w:line="232" w:lineRule="auto"/>
              <w:jc w:val="center"/>
              <w:rPr>
                <w:sz w:val="24"/>
                <w:szCs w:val="24"/>
              </w:rPr>
            </w:pPr>
            <w:r>
              <w:rPr>
                <w:b/>
                <w:bCs/>
                <w:sz w:val="24"/>
                <w:szCs w:val="24"/>
              </w:rPr>
              <w:t>0</w:t>
            </w:r>
          </w:p>
        </w:tc>
        <w:tc>
          <w:tcPr>
            <w:tcW w:w="600" w:type="pct"/>
            <w:tcMar>
              <w:top w:w="28" w:type="dxa"/>
              <w:left w:w="80" w:type="dxa"/>
              <w:bottom w:w="28" w:type="dxa"/>
              <w:right w:w="80" w:type="dxa"/>
            </w:tcMar>
            <w:vAlign w:val="center"/>
          </w:tcPr>
          <w:p w14:paraId="346C96F6" w14:textId="77777777" w:rsidR="0042033D" w:rsidRDefault="00000000">
            <w:pPr>
              <w:spacing w:line="232" w:lineRule="auto"/>
              <w:jc w:val="center"/>
              <w:rPr>
                <w:sz w:val="24"/>
                <w:szCs w:val="24"/>
              </w:rPr>
            </w:pPr>
            <w:r>
              <w:rPr>
                <w:b/>
                <w:bCs/>
                <w:sz w:val="24"/>
                <w:szCs w:val="24"/>
              </w:rPr>
              <w:t>15</w:t>
            </w:r>
          </w:p>
        </w:tc>
        <w:tc>
          <w:tcPr>
            <w:tcW w:w="600" w:type="pct"/>
            <w:tcMar>
              <w:top w:w="28" w:type="dxa"/>
              <w:left w:w="80" w:type="dxa"/>
              <w:bottom w:w="28" w:type="dxa"/>
              <w:right w:w="80" w:type="dxa"/>
            </w:tcMar>
            <w:vAlign w:val="center"/>
          </w:tcPr>
          <w:p w14:paraId="44E8307C" w14:textId="77777777" w:rsidR="0042033D" w:rsidRDefault="00000000">
            <w:pPr>
              <w:spacing w:line="232" w:lineRule="auto"/>
              <w:jc w:val="center"/>
              <w:rPr>
                <w:sz w:val="24"/>
                <w:szCs w:val="24"/>
              </w:rPr>
            </w:pPr>
            <w:r>
              <w:rPr>
                <w:b/>
                <w:bCs/>
                <w:sz w:val="24"/>
                <w:szCs w:val="24"/>
              </w:rPr>
              <w:t>38</w:t>
            </w:r>
          </w:p>
        </w:tc>
        <w:tc>
          <w:tcPr>
            <w:tcW w:w="600" w:type="pct"/>
            <w:tcMar>
              <w:top w:w="28" w:type="dxa"/>
              <w:left w:w="80" w:type="dxa"/>
              <w:bottom w:w="28" w:type="dxa"/>
              <w:right w:w="80" w:type="dxa"/>
            </w:tcMar>
            <w:vAlign w:val="center"/>
          </w:tcPr>
          <w:p w14:paraId="1A98EC13" w14:textId="77777777" w:rsidR="0042033D" w:rsidRDefault="00000000">
            <w:pPr>
              <w:spacing w:line="232" w:lineRule="auto"/>
              <w:jc w:val="center"/>
              <w:rPr>
                <w:sz w:val="24"/>
                <w:szCs w:val="24"/>
              </w:rPr>
            </w:pPr>
            <w:r>
              <w:rPr>
                <w:b/>
                <w:bCs/>
                <w:sz w:val="24"/>
                <w:szCs w:val="24"/>
              </w:rPr>
              <w:t>63</w:t>
            </w:r>
          </w:p>
        </w:tc>
        <w:tc>
          <w:tcPr>
            <w:tcW w:w="600" w:type="pct"/>
            <w:tcMar>
              <w:top w:w="28" w:type="dxa"/>
              <w:left w:w="80" w:type="dxa"/>
              <w:bottom w:w="28" w:type="dxa"/>
              <w:right w:w="80" w:type="dxa"/>
            </w:tcMar>
            <w:vAlign w:val="center"/>
          </w:tcPr>
          <w:p w14:paraId="77A5655F" w14:textId="77777777" w:rsidR="0042033D" w:rsidRDefault="00000000">
            <w:pPr>
              <w:spacing w:line="232" w:lineRule="auto"/>
              <w:jc w:val="center"/>
              <w:rPr>
                <w:sz w:val="24"/>
                <w:szCs w:val="24"/>
              </w:rPr>
            </w:pPr>
            <w:r>
              <w:rPr>
                <w:b/>
                <w:bCs/>
                <w:sz w:val="24"/>
                <w:szCs w:val="24"/>
              </w:rPr>
              <w:t>95</w:t>
            </w:r>
          </w:p>
        </w:tc>
      </w:tr>
      <w:tr w:rsidR="0042033D" w14:paraId="5D98958B" w14:textId="77777777">
        <w:trPr>
          <w:cantSplit/>
        </w:trPr>
        <w:tc>
          <w:tcPr>
            <w:tcW w:w="2000" w:type="pct"/>
            <w:tcMar>
              <w:top w:w="28" w:type="dxa"/>
              <w:left w:w="80" w:type="dxa"/>
              <w:bottom w:w="28" w:type="dxa"/>
              <w:right w:w="80" w:type="dxa"/>
            </w:tcMar>
            <w:vAlign w:val="center"/>
          </w:tcPr>
          <w:p w14:paraId="66DB11CB" w14:textId="77777777" w:rsidR="0042033D" w:rsidRDefault="00000000">
            <w:pPr>
              <w:spacing w:line="232" w:lineRule="auto"/>
              <w:rPr>
                <w:sz w:val="24"/>
                <w:szCs w:val="24"/>
              </w:rPr>
            </w:pPr>
            <w:r>
              <w:rPr>
                <w:b/>
                <w:bCs/>
                <w:sz w:val="24"/>
                <w:szCs w:val="24"/>
              </w:rPr>
              <w:t>Exportation régionale (option conditionnelle, hors scénario central)</w:t>
            </w:r>
          </w:p>
        </w:tc>
        <w:tc>
          <w:tcPr>
            <w:tcW w:w="600" w:type="pct"/>
            <w:tcMar>
              <w:top w:w="28" w:type="dxa"/>
              <w:left w:w="80" w:type="dxa"/>
              <w:bottom w:w="28" w:type="dxa"/>
              <w:right w:w="80" w:type="dxa"/>
            </w:tcMar>
            <w:vAlign w:val="center"/>
          </w:tcPr>
          <w:p w14:paraId="7D468BD5" w14:textId="77777777" w:rsidR="0042033D" w:rsidRDefault="00000000">
            <w:pPr>
              <w:spacing w:line="232" w:lineRule="auto"/>
              <w:jc w:val="center"/>
              <w:rPr>
                <w:sz w:val="24"/>
                <w:szCs w:val="24"/>
              </w:rPr>
            </w:pPr>
            <w:r>
              <w:rPr>
                <w:b/>
                <w:bCs/>
                <w:sz w:val="24"/>
                <w:szCs w:val="24"/>
              </w:rPr>
              <w:t>0</w:t>
            </w:r>
          </w:p>
        </w:tc>
        <w:tc>
          <w:tcPr>
            <w:tcW w:w="600" w:type="pct"/>
            <w:tcMar>
              <w:top w:w="28" w:type="dxa"/>
              <w:left w:w="80" w:type="dxa"/>
              <w:bottom w:w="28" w:type="dxa"/>
              <w:right w:w="80" w:type="dxa"/>
            </w:tcMar>
            <w:vAlign w:val="center"/>
          </w:tcPr>
          <w:p w14:paraId="166F6A96" w14:textId="77777777" w:rsidR="0042033D" w:rsidRDefault="00000000">
            <w:pPr>
              <w:spacing w:line="232" w:lineRule="auto"/>
              <w:jc w:val="center"/>
              <w:rPr>
                <w:sz w:val="24"/>
                <w:szCs w:val="24"/>
              </w:rPr>
            </w:pPr>
            <w:r>
              <w:rPr>
                <w:b/>
                <w:bCs/>
                <w:sz w:val="24"/>
                <w:szCs w:val="24"/>
              </w:rPr>
              <w:t>0</w:t>
            </w:r>
          </w:p>
        </w:tc>
        <w:tc>
          <w:tcPr>
            <w:tcW w:w="600" w:type="pct"/>
            <w:tcMar>
              <w:top w:w="28" w:type="dxa"/>
              <w:left w:w="80" w:type="dxa"/>
              <w:bottom w:w="28" w:type="dxa"/>
              <w:right w:w="80" w:type="dxa"/>
            </w:tcMar>
            <w:vAlign w:val="center"/>
          </w:tcPr>
          <w:p w14:paraId="4B58A7E0" w14:textId="77777777" w:rsidR="0042033D" w:rsidRDefault="00000000">
            <w:pPr>
              <w:spacing w:line="232" w:lineRule="auto"/>
              <w:jc w:val="center"/>
              <w:rPr>
                <w:sz w:val="24"/>
                <w:szCs w:val="24"/>
              </w:rPr>
            </w:pPr>
            <w:r>
              <w:rPr>
                <w:b/>
                <w:bCs/>
                <w:sz w:val="24"/>
                <w:szCs w:val="24"/>
              </w:rPr>
              <w:t>0</w:t>
            </w:r>
          </w:p>
        </w:tc>
        <w:tc>
          <w:tcPr>
            <w:tcW w:w="600" w:type="pct"/>
            <w:tcMar>
              <w:top w:w="28" w:type="dxa"/>
              <w:left w:w="80" w:type="dxa"/>
              <w:bottom w:w="28" w:type="dxa"/>
              <w:right w:w="80" w:type="dxa"/>
            </w:tcMar>
            <w:vAlign w:val="center"/>
          </w:tcPr>
          <w:p w14:paraId="232D1CBC" w14:textId="77777777" w:rsidR="0042033D" w:rsidRDefault="00000000">
            <w:pPr>
              <w:spacing w:line="232" w:lineRule="auto"/>
              <w:jc w:val="center"/>
              <w:rPr>
                <w:sz w:val="24"/>
                <w:szCs w:val="24"/>
              </w:rPr>
            </w:pPr>
            <w:r>
              <w:rPr>
                <w:b/>
                <w:bCs/>
                <w:sz w:val="24"/>
                <w:szCs w:val="24"/>
              </w:rPr>
              <w:t>0</w:t>
            </w:r>
          </w:p>
        </w:tc>
        <w:tc>
          <w:tcPr>
            <w:tcW w:w="600" w:type="pct"/>
            <w:tcMar>
              <w:top w:w="28" w:type="dxa"/>
              <w:left w:w="80" w:type="dxa"/>
              <w:bottom w:w="28" w:type="dxa"/>
              <w:right w:w="80" w:type="dxa"/>
            </w:tcMar>
            <w:vAlign w:val="center"/>
          </w:tcPr>
          <w:p w14:paraId="14B42267" w14:textId="77777777" w:rsidR="0042033D" w:rsidRDefault="00000000">
            <w:pPr>
              <w:spacing w:line="232" w:lineRule="auto"/>
              <w:jc w:val="center"/>
              <w:rPr>
                <w:sz w:val="24"/>
                <w:szCs w:val="24"/>
              </w:rPr>
            </w:pPr>
            <w:r>
              <w:rPr>
                <w:b/>
                <w:bCs/>
                <w:sz w:val="24"/>
                <w:szCs w:val="24"/>
              </w:rPr>
              <w:t>0</w:t>
            </w:r>
          </w:p>
        </w:tc>
      </w:tr>
      <w:tr w:rsidR="0042033D" w14:paraId="2CA532C4" w14:textId="77777777">
        <w:trPr>
          <w:cantSplit/>
        </w:trPr>
        <w:tc>
          <w:tcPr>
            <w:tcW w:w="2000" w:type="pct"/>
            <w:tcMar>
              <w:top w:w="28" w:type="dxa"/>
              <w:left w:w="80" w:type="dxa"/>
              <w:bottom w:w="28" w:type="dxa"/>
              <w:right w:w="80" w:type="dxa"/>
            </w:tcMar>
            <w:vAlign w:val="center"/>
          </w:tcPr>
          <w:p w14:paraId="41ADE451" w14:textId="77777777" w:rsidR="0042033D" w:rsidRDefault="00000000">
            <w:pPr>
              <w:spacing w:line="232" w:lineRule="auto"/>
              <w:rPr>
                <w:sz w:val="24"/>
                <w:szCs w:val="24"/>
              </w:rPr>
            </w:pPr>
            <w:r>
              <w:rPr>
                <w:b/>
                <w:bCs/>
                <w:sz w:val="24"/>
                <w:szCs w:val="24"/>
              </w:rPr>
              <w:t>Total chiffre d'affaires (scénario central)</w:t>
            </w:r>
          </w:p>
        </w:tc>
        <w:tc>
          <w:tcPr>
            <w:tcW w:w="600" w:type="pct"/>
            <w:tcMar>
              <w:top w:w="28" w:type="dxa"/>
              <w:left w:w="80" w:type="dxa"/>
              <w:bottom w:w="28" w:type="dxa"/>
              <w:right w:w="80" w:type="dxa"/>
            </w:tcMar>
            <w:vAlign w:val="center"/>
          </w:tcPr>
          <w:p w14:paraId="471CC3B4" w14:textId="77777777" w:rsidR="0042033D" w:rsidRDefault="00000000">
            <w:pPr>
              <w:spacing w:line="232" w:lineRule="auto"/>
              <w:jc w:val="center"/>
              <w:rPr>
                <w:sz w:val="24"/>
                <w:szCs w:val="24"/>
              </w:rPr>
            </w:pPr>
            <w:r>
              <w:rPr>
                <w:b/>
                <w:bCs/>
                <w:sz w:val="24"/>
                <w:szCs w:val="24"/>
              </w:rPr>
              <w:t>80</w:t>
            </w:r>
          </w:p>
        </w:tc>
        <w:tc>
          <w:tcPr>
            <w:tcW w:w="600" w:type="pct"/>
            <w:tcMar>
              <w:top w:w="28" w:type="dxa"/>
              <w:left w:w="80" w:type="dxa"/>
              <w:bottom w:w="28" w:type="dxa"/>
              <w:right w:w="80" w:type="dxa"/>
            </w:tcMar>
            <w:vAlign w:val="center"/>
          </w:tcPr>
          <w:p w14:paraId="358CA6C9" w14:textId="77777777" w:rsidR="0042033D" w:rsidRDefault="00000000">
            <w:pPr>
              <w:spacing w:line="232" w:lineRule="auto"/>
              <w:jc w:val="center"/>
              <w:rPr>
                <w:sz w:val="24"/>
                <w:szCs w:val="24"/>
              </w:rPr>
            </w:pPr>
            <w:r>
              <w:rPr>
                <w:b/>
                <w:bCs/>
                <w:sz w:val="24"/>
                <w:szCs w:val="24"/>
              </w:rPr>
              <w:t>145</w:t>
            </w:r>
          </w:p>
        </w:tc>
        <w:tc>
          <w:tcPr>
            <w:tcW w:w="600" w:type="pct"/>
            <w:tcMar>
              <w:top w:w="28" w:type="dxa"/>
              <w:left w:w="80" w:type="dxa"/>
              <w:bottom w:w="28" w:type="dxa"/>
              <w:right w:w="80" w:type="dxa"/>
            </w:tcMar>
            <w:vAlign w:val="center"/>
          </w:tcPr>
          <w:p w14:paraId="6FE7310D" w14:textId="77777777" w:rsidR="0042033D" w:rsidRDefault="00000000">
            <w:pPr>
              <w:spacing w:line="232" w:lineRule="auto"/>
              <w:jc w:val="center"/>
              <w:rPr>
                <w:sz w:val="24"/>
                <w:szCs w:val="24"/>
              </w:rPr>
            </w:pPr>
            <w:r>
              <w:rPr>
                <w:b/>
                <w:bCs/>
                <w:sz w:val="24"/>
                <w:szCs w:val="24"/>
              </w:rPr>
              <w:t>225</w:t>
            </w:r>
          </w:p>
        </w:tc>
        <w:tc>
          <w:tcPr>
            <w:tcW w:w="600" w:type="pct"/>
            <w:tcMar>
              <w:top w:w="28" w:type="dxa"/>
              <w:left w:w="80" w:type="dxa"/>
              <w:bottom w:w="28" w:type="dxa"/>
              <w:right w:w="80" w:type="dxa"/>
            </w:tcMar>
            <w:vAlign w:val="center"/>
          </w:tcPr>
          <w:p w14:paraId="1351BD3B" w14:textId="77777777" w:rsidR="0042033D" w:rsidRDefault="00000000">
            <w:pPr>
              <w:spacing w:line="232" w:lineRule="auto"/>
              <w:jc w:val="center"/>
              <w:rPr>
                <w:sz w:val="24"/>
                <w:szCs w:val="24"/>
              </w:rPr>
            </w:pPr>
            <w:r>
              <w:rPr>
                <w:b/>
                <w:bCs/>
                <w:sz w:val="24"/>
                <w:szCs w:val="24"/>
              </w:rPr>
              <w:t>315</w:t>
            </w:r>
          </w:p>
        </w:tc>
        <w:tc>
          <w:tcPr>
            <w:tcW w:w="600" w:type="pct"/>
            <w:tcMar>
              <w:top w:w="28" w:type="dxa"/>
              <w:left w:w="80" w:type="dxa"/>
              <w:bottom w:w="28" w:type="dxa"/>
              <w:right w:w="80" w:type="dxa"/>
            </w:tcMar>
            <w:vAlign w:val="center"/>
          </w:tcPr>
          <w:p w14:paraId="41D53D80" w14:textId="77777777" w:rsidR="0042033D" w:rsidRDefault="00000000">
            <w:pPr>
              <w:spacing w:line="232" w:lineRule="auto"/>
              <w:jc w:val="center"/>
              <w:rPr>
                <w:sz w:val="24"/>
                <w:szCs w:val="24"/>
              </w:rPr>
            </w:pPr>
            <w:r>
              <w:rPr>
                <w:b/>
                <w:bCs/>
                <w:sz w:val="24"/>
                <w:szCs w:val="24"/>
              </w:rPr>
              <w:t>420</w:t>
            </w:r>
          </w:p>
        </w:tc>
      </w:tr>
      <w:tr w:rsidR="0042033D" w14:paraId="2A60E816" w14:textId="77777777">
        <w:trPr>
          <w:cantSplit/>
        </w:trPr>
        <w:tc>
          <w:tcPr>
            <w:tcW w:w="2000" w:type="pct"/>
            <w:tcMar>
              <w:top w:w="28" w:type="dxa"/>
              <w:left w:w="80" w:type="dxa"/>
              <w:bottom w:w="28" w:type="dxa"/>
              <w:right w:w="80" w:type="dxa"/>
            </w:tcMar>
            <w:vAlign w:val="center"/>
          </w:tcPr>
          <w:p w14:paraId="589945D2" w14:textId="77777777" w:rsidR="0042033D" w:rsidRDefault="00000000">
            <w:pPr>
              <w:spacing w:line="232" w:lineRule="auto"/>
              <w:rPr>
                <w:sz w:val="24"/>
                <w:szCs w:val="24"/>
              </w:rPr>
            </w:pPr>
            <w:r>
              <w:rPr>
                <w:b/>
                <w:bCs/>
                <w:sz w:val="24"/>
                <w:szCs w:val="24"/>
              </w:rPr>
              <w:t>Part hors FDA</w:t>
            </w:r>
          </w:p>
        </w:tc>
        <w:tc>
          <w:tcPr>
            <w:tcW w:w="600" w:type="pct"/>
            <w:tcMar>
              <w:top w:w="28" w:type="dxa"/>
              <w:left w:w="80" w:type="dxa"/>
              <w:bottom w:w="28" w:type="dxa"/>
              <w:right w:w="80" w:type="dxa"/>
            </w:tcMar>
            <w:vAlign w:val="center"/>
          </w:tcPr>
          <w:p w14:paraId="0B18611C" w14:textId="77777777" w:rsidR="0042033D" w:rsidRDefault="00000000">
            <w:pPr>
              <w:spacing w:line="232" w:lineRule="auto"/>
              <w:jc w:val="center"/>
              <w:rPr>
                <w:sz w:val="24"/>
                <w:szCs w:val="24"/>
              </w:rPr>
            </w:pPr>
            <w:r>
              <w:rPr>
                <w:b/>
                <w:bCs/>
                <w:sz w:val="24"/>
                <w:szCs w:val="24"/>
              </w:rPr>
              <w:t>30 %</w:t>
            </w:r>
          </w:p>
        </w:tc>
        <w:tc>
          <w:tcPr>
            <w:tcW w:w="600" w:type="pct"/>
            <w:tcMar>
              <w:top w:w="28" w:type="dxa"/>
              <w:left w:w="80" w:type="dxa"/>
              <w:bottom w:w="28" w:type="dxa"/>
              <w:right w:w="80" w:type="dxa"/>
            </w:tcMar>
            <w:vAlign w:val="center"/>
          </w:tcPr>
          <w:p w14:paraId="41521E27" w14:textId="77777777" w:rsidR="0042033D" w:rsidRDefault="00000000">
            <w:pPr>
              <w:spacing w:line="232" w:lineRule="auto"/>
              <w:jc w:val="center"/>
              <w:rPr>
                <w:sz w:val="24"/>
                <w:szCs w:val="24"/>
              </w:rPr>
            </w:pPr>
            <w:r>
              <w:rPr>
                <w:b/>
                <w:bCs/>
                <w:sz w:val="24"/>
                <w:szCs w:val="24"/>
              </w:rPr>
              <w:t>42 %</w:t>
            </w:r>
          </w:p>
        </w:tc>
        <w:tc>
          <w:tcPr>
            <w:tcW w:w="600" w:type="pct"/>
            <w:tcMar>
              <w:top w:w="28" w:type="dxa"/>
              <w:left w:w="80" w:type="dxa"/>
              <w:bottom w:w="28" w:type="dxa"/>
              <w:right w:w="80" w:type="dxa"/>
            </w:tcMar>
            <w:vAlign w:val="center"/>
          </w:tcPr>
          <w:p w14:paraId="065B93BD" w14:textId="77777777" w:rsidR="0042033D" w:rsidRDefault="00000000">
            <w:pPr>
              <w:spacing w:line="232" w:lineRule="auto"/>
              <w:jc w:val="center"/>
              <w:rPr>
                <w:sz w:val="24"/>
                <w:szCs w:val="24"/>
              </w:rPr>
            </w:pPr>
            <w:r>
              <w:rPr>
                <w:b/>
                <w:bCs/>
                <w:sz w:val="24"/>
                <w:szCs w:val="24"/>
              </w:rPr>
              <w:t>45 %</w:t>
            </w:r>
          </w:p>
        </w:tc>
        <w:tc>
          <w:tcPr>
            <w:tcW w:w="600" w:type="pct"/>
            <w:tcMar>
              <w:top w:w="28" w:type="dxa"/>
              <w:left w:w="80" w:type="dxa"/>
              <w:bottom w:w="28" w:type="dxa"/>
              <w:right w:w="80" w:type="dxa"/>
            </w:tcMar>
            <w:vAlign w:val="center"/>
          </w:tcPr>
          <w:p w14:paraId="023F7DC6" w14:textId="77777777" w:rsidR="0042033D" w:rsidRDefault="00000000">
            <w:pPr>
              <w:spacing w:line="232" w:lineRule="auto"/>
              <w:jc w:val="center"/>
              <w:rPr>
                <w:sz w:val="24"/>
                <w:szCs w:val="24"/>
              </w:rPr>
            </w:pPr>
            <w:r>
              <w:rPr>
                <w:b/>
                <w:bCs/>
                <w:sz w:val="24"/>
                <w:szCs w:val="24"/>
              </w:rPr>
              <w:t>51 %</w:t>
            </w:r>
          </w:p>
        </w:tc>
        <w:tc>
          <w:tcPr>
            <w:tcW w:w="600" w:type="pct"/>
            <w:tcMar>
              <w:top w:w="28" w:type="dxa"/>
              <w:left w:w="80" w:type="dxa"/>
              <w:bottom w:w="28" w:type="dxa"/>
              <w:right w:w="80" w:type="dxa"/>
            </w:tcMar>
            <w:vAlign w:val="center"/>
          </w:tcPr>
          <w:p w14:paraId="58C8CCAD" w14:textId="77777777" w:rsidR="0042033D" w:rsidRDefault="00000000">
            <w:pPr>
              <w:spacing w:line="232" w:lineRule="auto"/>
              <w:jc w:val="center"/>
              <w:rPr>
                <w:sz w:val="24"/>
                <w:szCs w:val="24"/>
              </w:rPr>
            </w:pPr>
            <w:r>
              <w:rPr>
                <w:b/>
                <w:bCs/>
                <w:sz w:val="24"/>
                <w:szCs w:val="24"/>
              </w:rPr>
              <w:t>54 %</w:t>
            </w:r>
          </w:p>
        </w:tc>
      </w:tr>
    </w:tbl>
    <w:p w14:paraId="62B4594D" w14:textId="449F91F7" w:rsidR="0042033D" w:rsidRDefault="00AE3011">
      <w:pPr>
        <w:pStyle w:val="Heading2"/>
        <w:spacing w:before="150" w:after="60"/>
        <w:rPr>
          <w:rFonts w:ascii="Times New Roman" w:hAnsi="Times New Roman"/>
        </w:rPr>
      </w:pPr>
      <w:bookmarkStart w:id="92" w:name="_Toc100092"/>
      <w:r>
        <w:rPr>
          <w:noProof/>
        </w:rPr>
        <w:drawing>
          <wp:anchor distT="0" distB="0" distL="114300" distR="114300" simplePos="0" relativeHeight="251668480" behindDoc="0" locked="0" layoutInCell="1" allowOverlap="1" wp14:anchorId="5B2F4D5E" wp14:editId="5660769D">
            <wp:simplePos x="0" y="0"/>
            <wp:positionH relativeFrom="column">
              <wp:posOffset>7620</wp:posOffset>
            </wp:positionH>
            <wp:positionV relativeFrom="paragraph">
              <wp:posOffset>426085</wp:posOffset>
            </wp:positionV>
            <wp:extent cx="5852160" cy="2823845"/>
            <wp:effectExtent l="0" t="0" r="0" b="0"/>
            <wp:wrapTopAndBottom/>
            <wp:docPr id="9" name="Picture 9" descr="Illustration du Business Plan Bio Source Farm — élément graphique 9" title="Graphique ou illustr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52160" cy="28238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rPr>
        <w:t>21.3 Évolution de l'EBITDA et de la marge opérationnelle</w:t>
      </w:r>
      <w:bookmarkEnd w:id="92"/>
    </w:p>
    <w:p w14:paraId="3BD2B97D" w14:textId="4254A736" w:rsidR="0042033D" w:rsidRDefault="0042033D">
      <w:pPr>
        <w:spacing w:before="80" w:after="30"/>
        <w:jc w:val="center"/>
        <w:rPr>
          <w:sz w:val="24"/>
          <w:szCs w:val="24"/>
        </w:rPr>
      </w:pPr>
    </w:p>
    <w:p w14:paraId="1E22B413" w14:textId="77777777" w:rsidR="0042033D" w:rsidRDefault="00000000">
      <w:pPr>
        <w:spacing w:after="140" w:line="240" w:lineRule="auto"/>
        <w:jc w:val="center"/>
        <w:rPr>
          <w:sz w:val="24"/>
          <w:szCs w:val="24"/>
        </w:rPr>
      </w:pPr>
      <w:r>
        <w:rPr>
          <w:i/>
          <w:iCs/>
          <w:color w:val="5A6472"/>
          <w:sz w:val="24"/>
          <w:szCs w:val="24"/>
        </w:rPr>
        <w:t>Figure 10 — Évolution de l'EBITDA et de la marge EBITDA 2026-2030 (source : modèle financier interne)</w:t>
      </w:r>
    </w:p>
    <w:p w14:paraId="3462F134" w14:textId="77777777" w:rsidR="0042033D" w:rsidRDefault="00000000">
      <w:pPr>
        <w:spacing w:after="60"/>
        <w:jc w:val="both"/>
        <w:rPr>
          <w:sz w:val="24"/>
          <w:szCs w:val="24"/>
        </w:rPr>
      </w:pPr>
      <w:r>
        <w:rPr>
          <w:sz w:val="24"/>
          <w:szCs w:val="24"/>
        </w:rPr>
        <w:t xml:space="preserve">L'EBITDA progresse de 15 K $ en 2026 à 139 K $ en 2030. La marge EBITDA franchit un palier de transition à 19 % en 2026, année de montée en cadence post-investissement pendant laquelle les coûts fixes — dotations aux amortissements des équipements financés et salaire du </w:t>
      </w:r>
      <w:r>
        <w:rPr>
          <w:sz w:val="24"/>
          <w:szCs w:val="24"/>
        </w:rPr>
        <w:lastRenderedPageBreak/>
        <w:t>commercial B2B recruté dès le deuxième mois — pèsent pleinement avant que les volumes ne les absorbent (cf. § 9.2), puis remonte de trois à cinq points par an : 23 % en 2027 — année qui intègre la rémunération des fondateurs dans les charges opérationnelles —, 28 % en 2028, 31 % en 2029 et 33 % en 2030. Cette trajectoire traduit les économies d'échelle sur la structure de coûts (mécanisation du criblage et du séchage, productivité des équipes portée de 0,63 à plus d'une tonne par mois et par ETP, mutualisation des charges fixes), la part croissante des ventes directes à meilleur prix unitaire et l'enrichissement du mix par la ligne protéines.</w:t>
      </w:r>
    </w:p>
    <w:p w14:paraId="52CC297D" w14:textId="0540E0C6" w:rsidR="0042033D" w:rsidRDefault="00AE3011">
      <w:pPr>
        <w:pStyle w:val="Heading2"/>
        <w:spacing w:before="150" w:after="60"/>
        <w:rPr>
          <w:rFonts w:ascii="Times New Roman" w:hAnsi="Times New Roman"/>
        </w:rPr>
      </w:pPr>
      <w:bookmarkStart w:id="93" w:name="_Toc100093"/>
      <w:r>
        <w:rPr>
          <w:noProof/>
        </w:rPr>
        <w:drawing>
          <wp:anchor distT="0" distB="0" distL="114300" distR="114300" simplePos="0" relativeHeight="251669504" behindDoc="0" locked="0" layoutInCell="1" allowOverlap="1" wp14:anchorId="6B6EF833" wp14:editId="22313F92">
            <wp:simplePos x="0" y="0"/>
            <wp:positionH relativeFrom="column">
              <wp:posOffset>15240</wp:posOffset>
            </wp:positionH>
            <wp:positionV relativeFrom="paragraph">
              <wp:posOffset>376555</wp:posOffset>
            </wp:positionV>
            <wp:extent cx="5783580" cy="2919095"/>
            <wp:effectExtent l="0" t="0" r="7620" b="0"/>
            <wp:wrapTopAndBottom/>
            <wp:docPr id="10" name="Picture 10" descr="Illustration du Business Plan Bio Source Farm — élément graphique 10" title="Graphique ou illustr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83580" cy="29190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rPr>
        <w:t>21.4 Évolution du chiffre d'affaires et scénarios</w:t>
      </w:r>
      <w:bookmarkEnd w:id="93"/>
    </w:p>
    <w:p w14:paraId="7D6072D4" w14:textId="4EC561AC" w:rsidR="0042033D" w:rsidRDefault="0042033D">
      <w:pPr>
        <w:spacing w:before="80" w:after="30"/>
        <w:jc w:val="center"/>
        <w:rPr>
          <w:sz w:val="24"/>
          <w:szCs w:val="24"/>
        </w:rPr>
      </w:pPr>
    </w:p>
    <w:p w14:paraId="782227B9" w14:textId="77777777" w:rsidR="0042033D" w:rsidRDefault="00000000">
      <w:pPr>
        <w:spacing w:after="140" w:line="240" w:lineRule="auto"/>
        <w:jc w:val="center"/>
        <w:rPr>
          <w:sz w:val="24"/>
          <w:szCs w:val="24"/>
        </w:rPr>
      </w:pPr>
      <w:r>
        <w:rPr>
          <w:i/>
          <w:iCs/>
          <w:color w:val="5A6472"/>
          <w:sz w:val="24"/>
          <w:szCs w:val="24"/>
        </w:rPr>
        <w:t>Figure 11 — Évolution du chiffre d'affaires 2024-2030 avec scénarios prudent, central et ambitieux (source : modèle financier interne)</w:t>
      </w:r>
    </w:p>
    <w:p w14:paraId="515AD606" w14:textId="77777777" w:rsidR="0042033D" w:rsidRPr="00AE3011" w:rsidRDefault="00000000">
      <w:pPr>
        <w:spacing w:after="60"/>
        <w:jc w:val="both"/>
        <w:rPr>
          <w:sz w:val="32"/>
          <w:szCs w:val="32"/>
        </w:rPr>
      </w:pPr>
      <w:r w:rsidRPr="00AE3011">
        <w:rPr>
          <w:sz w:val="24"/>
          <w:szCs w:val="24"/>
        </w:rPr>
        <w:t>Le scénario central correspond à une croissance soutenue mais séquencée, construite hors export. Le scénario prudent retient 260 K$ de chiffre d'affaires en 2030 ; le scénario central 420 K$ ; le scénario ambitieux 600 K$, dont la réalisation suppose une accélération commerciale et l'activation réussie d'un relais export après les validations requises. L'écart entre les scénarios doit être lu comme un écart d'exécution sur les volumes, le mix et le calendrier de commercialisation, et non comme une certitude de marché.</w:t>
      </w:r>
    </w:p>
    <w:p w14:paraId="24D17AB9" w14:textId="77777777" w:rsidR="0042033D" w:rsidRDefault="00000000">
      <w:pPr>
        <w:pStyle w:val="Heading2"/>
        <w:spacing w:before="150" w:after="60"/>
        <w:rPr>
          <w:rFonts w:ascii="Times New Roman" w:hAnsi="Times New Roman"/>
        </w:rPr>
      </w:pPr>
      <w:bookmarkStart w:id="94" w:name="_Toc100094"/>
      <w:r>
        <w:rPr>
          <w:rFonts w:ascii="Times New Roman" w:hAnsi="Times New Roman"/>
        </w:rPr>
        <w:t>21.5 Saisonnalité mensuelle des revenus et des charges</w:t>
      </w:r>
      <w:bookmarkEnd w:id="94"/>
    </w:p>
    <w:p w14:paraId="135DDD2E" w14:textId="7E9C8B79" w:rsidR="0042033D" w:rsidRDefault="00000000">
      <w:pPr>
        <w:spacing w:after="60"/>
        <w:jc w:val="both"/>
        <w:rPr>
          <w:sz w:val="24"/>
          <w:szCs w:val="24"/>
        </w:rPr>
      </w:pPr>
      <w:r>
        <w:rPr>
          <w:sz w:val="24"/>
          <w:szCs w:val="24"/>
        </w:rPr>
        <w:t xml:space="preserve">L'activité présente une saisonnalité marquée, jusqu'ici implicite dans les comptes annuels et désormais explicitée. Quatre facteurs se combinent : </w:t>
      </w:r>
      <w:r>
        <w:rPr>
          <w:b/>
          <w:bCs/>
          <w:sz w:val="24"/>
          <w:szCs w:val="24"/>
        </w:rPr>
        <w:t>les programmes FDA sont liés aux campagnes agricoles</w:t>
      </w:r>
      <w:r>
        <w:rPr>
          <w:sz w:val="24"/>
          <w:szCs w:val="24"/>
        </w:rPr>
        <w:t xml:space="preserve"> (pics de livraisons en fin de campagne principale et aux semis de contre-saison) ; </w:t>
      </w:r>
      <w:r>
        <w:rPr>
          <w:b/>
          <w:bCs/>
          <w:sz w:val="24"/>
          <w:szCs w:val="24"/>
        </w:rPr>
        <w:t>la saison du litchi (novembre-janvier) affecte l'approvisionnement</w:t>
      </w:r>
      <w:r>
        <w:rPr>
          <w:sz w:val="24"/>
          <w:szCs w:val="24"/>
        </w:rPr>
        <w:t xml:space="preserve"> (abondance de substrats, logistique renforcée) ; </w:t>
      </w:r>
      <w:r>
        <w:rPr>
          <w:b/>
          <w:bCs/>
          <w:sz w:val="24"/>
          <w:szCs w:val="24"/>
        </w:rPr>
        <w:t>la saison cyclonique (novembre-avril) affecte la production et la logistique</w:t>
      </w:r>
      <w:r>
        <w:rPr>
          <w:sz w:val="24"/>
          <w:szCs w:val="24"/>
        </w:rPr>
        <w:t xml:space="preserve">, comme l'a illustré le cyclone Gezani en février 2026 ; </w:t>
      </w:r>
      <w:r>
        <w:rPr>
          <w:b/>
          <w:bCs/>
          <w:sz w:val="24"/>
          <w:szCs w:val="24"/>
        </w:rPr>
        <w:t>les paiements FDA à 90 jours créent des décalages de trésorerie prévisibles</w:t>
      </w:r>
      <w:r>
        <w:rPr>
          <w:sz w:val="24"/>
          <w:szCs w:val="24"/>
        </w:rPr>
        <w:t xml:space="preserve">, les encaissements suivant les livraisons </w:t>
      </w:r>
      <w:r>
        <w:rPr>
          <w:sz w:val="24"/>
          <w:szCs w:val="24"/>
        </w:rPr>
        <w:lastRenderedPageBreak/>
        <w:t xml:space="preserve">d'environ un trimestre. Le profil mensuel type ci-dessous (année pleine calibrée sur le compte 2027) montre des encaissements de 9,8 K à 15,6 K $ par mois, avec un pic en février-mars et un creux de juillet à octobre, les charges demeurant stables avec une légère hausse en saison </w:t>
      </w:r>
      <w:r w:rsidR="00AE3011">
        <w:rPr>
          <w:noProof/>
          <w:sz w:val="24"/>
          <w:szCs w:val="24"/>
        </w:rPr>
        <w:drawing>
          <wp:anchor distT="0" distB="0" distL="114300" distR="114300" simplePos="0" relativeHeight="251670528" behindDoc="0" locked="0" layoutInCell="1" allowOverlap="1" wp14:anchorId="4E8D0276" wp14:editId="4B05378F">
            <wp:simplePos x="0" y="0"/>
            <wp:positionH relativeFrom="column">
              <wp:posOffset>0</wp:posOffset>
            </wp:positionH>
            <wp:positionV relativeFrom="paragraph">
              <wp:posOffset>965200</wp:posOffset>
            </wp:positionV>
            <wp:extent cx="5914390" cy="2842260"/>
            <wp:effectExtent l="0" t="0" r="0" b="0"/>
            <wp:wrapTopAndBottom/>
            <wp:docPr id="11" name="Picture 11" descr="Illustration du Business Plan Bio Source Farm — élément graphique 11" title="Graphique ou illustr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14390" cy="284226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cyclonique et litchi. Cette saisonnalité est intégrée au plan de trésorerie du Tableau 15 bis.</w:t>
      </w:r>
    </w:p>
    <w:p w14:paraId="12FAFC9D" w14:textId="188698B1" w:rsidR="0042033D" w:rsidRDefault="0042033D">
      <w:pPr>
        <w:spacing w:before="80" w:after="30"/>
        <w:jc w:val="center"/>
        <w:rPr>
          <w:sz w:val="24"/>
          <w:szCs w:val="24"/>
        </w:rPr>
      </w:pPr>
    </w:p>
    <w:p w14:paraId="41B9D0C7" w14:textId="77777777" w:rsidR="0042033D" w:rsidRDefault="00000000">
      <w:pPr>
        <w:spacing w:after="140" w:line="240" w:lineRule="auto"/>
        <w:jc w:val="center"/>
        <w:rPr>
          <w:sz w:val="24"/>
          <w:szCs w:val="24"/>
        </w:rPr>
      </w:pPr>
      <w:r>
        <w:rPr>
          <w:i/>
          <w:iCs/>
          <w:color w:val="5A6472"/>
          <w:sz w:val="24"/>
          <w:szCs w:val="24"/>
        </w:rPr>
        <w:t>Figure 12 — Saisonnalité mensuelle des revenus et des charges sur 12 mois (année pleine type calibrée sur le compte prévisionnel 2027 ; source : modèle financier interne)</w:t>
      </w:r>
    </w:p>
    <w:p w14:paraId="108B2F8C" w14:textId="77777777" w:rsidR="0042033D" w:rsidRDefault="00000000">
      <w:pPr>
        <w:pStyle w:val="Heading2"/>
        <w:spacing w:before="150" w:after="60"/>
        <w:rPr>
          <w:rFonts w:ascii="Times New Roman" w:hAnsi="Times New Roman"/>
        </w:rPr>
      </w:pPr>
      <w:bookmarkStart w:id="95" w:name="_Toc100095"/>
      <w:r>
        <w:rPr>
          <w:rFonts w:ascii="Times New Roman" w:hAnsi="Times New Roman"/>
        </w:rPr>
        <w:t>21.6 Bilan prévisionnel simplifié</w:t>
      </w:r>
      <w:bookmarkEnd w:id="95"/>
    </w:p>
    <w:p w14:paraId="46ABCBC0" w14:textId="77777777" w:rsidR="0042033D" w:rsidRDefault="00000000">
      <w:pPr>
        <w:spacing w:after="60"/>
        <w:jc w:val="both"/>
        <w:rPr>
          <w:sz w:val="24"/>
          <w:szCs w:val="24"/>
        </w:rPr>
      </w:pPr>
      <w:r>
        <w:rPr>
          <w:sz w:val="24"/>
          <w:szCs w:val="24"/>
        </w:rPr>
        <w:t>Le bilan prévisionnel simplifié à l'horizon 2030 met en évidence une structure financière saine : un total de bilan qui progresse vers environ 660 K $, des capitaux propres représentant plus de trois quarts du financement permanent (capital de la SARL et réserves), des immobilisations corporelles d'environ 180 K $ (second hangar, ligne de séchage, équipements industriels), un actif circulant maîtrisé autour de 110 K $ de stocks et créances et une trésorerie disponible supérieure à 100 K $. La dette financière demeure contenue : l'entreprise est financée par son autofinancement, par le financement catalytique actuel et par les instruments de scale-up non dilutifs adossés aux actifs productifs qu'ils financent.</w:t>
      </w:r>
    </w:p>
    <w:p w14:paraId="47B45FF0" w14:textId="77777777" w:rsidR="0042033D" w:rsidRDefault="00000000">
      <w:pPr>
        <w:pStyle w:val="Heading2"/>
        <w:spacing w:before="150" w:after="60"/>
        <w:rPr>
          <w:rFonts w:ascii="Times New Roman" w:hAnsi="Times New Roman"/>
        </w:rPr>
      </w:pPr>
      <w:bookmarkStart w:id="96" w:name="_Toc100096"/>
      <w:r>
        <w:rPr>
          <w:rFonts w:ascii="Times New Roman" w:hAnsi="Times New Roman"/>
        </w:rPr>
        <w:t>21.7 Flux de trésorerie prévisionnels et continuité de pilotage</w:t>
      </w:r>
      <w:bookmarkEnd w:id="96"/>
    </w:p>
    <w:p w14:paraId="6DD15632" w14:textId="115FA8A6" w:rsidR="0042033D" w:rsidRPr="00AE3011" w:rsidRDefault="00000000">
      <w:pPr>
        <w:spacing w:after="60"/>
        <w:jc w:val="both"/>
        <w:rPr>
          <w:sz w:val="32"/>
          <w:szCs w:val="32"/>
        </w:rPr>
      </w:pPr>
      <w:r w:rsidRPr="00AE3011">
        <w:rPr>
          <w:sz w:val="24"/>
          <w:szCs w:val="24"/>
        </w:rPr>
        <w:t xml:space="preserve">La trésorerie générée après impôts, variation du BFR et CAPEX de maintenance progresse selon le tableau de flux de 12 K$ en 2026 à 103 K$ en 2030. Cette génération de cash permet de financer une partie croissante des investissements d'infrastructure à partir de 2027-2028, complétée si nécessaire par des instruments de scale-up. La politique de distribution reste conservatrice, avec réinvestissement prioritaire des bénéfices ; la rémunération cumulée des fondateurs de 6 millions de MGA par mois à partir de 2027 constitue la principale ponction récurrente. Le BFR est suivi en nombre de jours de chiffre d'affaires et en créances par échéance, avec une réserve initiale de 18 000 $ et une ligne </w:t>
      </w:r>
      <w:r w:rsidR="00ED4AD3">
        <w:rPr>
          <w:sz w:val="24"/>
          <w:szCs w:val="24"/>
        </w:rPr>
        <w:t>BNI</w:t>
      </w:r>
      <w:r w:rsidRPr="00AE3011">
        <w:rPr>
          <w:sz w:val="24"/>
          <w:szCs w:val="24"/>
        </w:rPr>
        <w:t xml:space="preserve"> de sécurité non intégrée comme ressource indispensable au scénario central.</w:t>
      </w:r>
    </w:p>
    <w:p w14:paraId="12E4BE78" w14:textId="77777777" w:rsidR="0042033D" w:rsidRPr="008E425A" w:rsidRDefault="00000000">
      <w:pPr>
        <w:pStyle w:val="Heading1"/>
        <w:pBdr>
          <w:bottom w:val="single" w:sz="6" w:space="4" w:color="D4875A"/>
        </w:pBdr>
        <w:spacing w:before="200" w:after="90"/>
        <w:rPr>
          <w:rFonts w:ascii="League Spartan" w:hAnsi="League Spartan"/>
          <w:sz w:val="40"/>
          <w:szCs w:val="40"/>
        </w:rPr>
      </w:pPr>
      <w:bookmarkStart w:id="97" w:name="_Toc238821301"/>
      <w:r w:rsidRPr="008E425A">
        <w:rPr>
          <w:rFonts w:ascii="League Spartan" w:hAnsi="League Spartan"/>
          <w:sz w:val="40"/>
          <w:szCs w:val="40"/>
        </w:rPr>
        <w:lastRenderedPageBreak/>
        <w:t>22. Hypothèses financières</w:t>
      </w:r>
      <w:bookmarkEnd w:id="97"/>
    </w:p>
    <w:p w14:paraId="6C6BB046" w14:textId="77777777" w:rsidR="0042033D" w:rsidRDefault="00000000">
      <w:pPr>
        <w:spacing w:after="60"/>
        <w:jc w:val="both"/>
        <w:rPr>
          <w:sz w:val="24"/>
          <w:szCs w:val="24"/>
        </w:rPr>
      </w:pPr>
      <w:r>
        <w:rPr>
          <w:sz w:val="24"/>
          <w:szCs w:val="24"/>
        </w:rPr>
        <w:t>Le modèle financier repose sur un ensemble d'hypothèses explicites, documentées et défendables, calibrées à partir des données opérationnelles observées sur trente mois — dont l'effectif réel de 16 ETP et les salaires CNAPS associés —, des référentiels sectoriels nommés (Banque mondiale, FAO, IFC, études académiques sur la bioconversion BSF) et des contraintes macroéconomiques de Madagascar (inflation, fiscalité, taux de change). Chaque hypothèse importante est identifiée comme telle et sa sensibilité est analysée en section 23.</w:t>
      </w:r>
    </w:p>
    <w:p w14:paraId="7A564D7C" w14:textId="77777777" w:rsidR="0042033D" w:rsidRDefault="00000000">
      <w:pPr>
        <w:pStyle w:val="Heading2"/>
        <w:spacing w:before="150" w:after="60"/>
        <w:rPr>
          <w:rFonts w:ascii="Times New Roman" w:hAnsi="Times New Roman"/>
        </w:rPr>
      </w:pPr>
      <w:bookmarkStart w:id="98" w:name="_Toc100098"/>
      <w:r>
        <w:rPr>
          <w:rFonts w:ascii="Times New Roman" w:hAnsi="Times New Roman"/>
        </w:rPr>
        <w:t>22.1 Hypothèses opérationnelles</w:t>
      </w:r>
      <w:bookmarkEnd w:id="98"/>
    </w:p>
    <w:p w14:paraId="5BE78927" w14:textId="77777777" w:rsidR="0042033D" w:rsidRDefault="00000000">
      <w:pPr>
        <w:keepNext/>
        <w:spacing w:before="140" w:after="50" w:line="260" w:lineRule="auto"/>
        <w:rPr>
          <w:sz w:val="24"/>
          <w:szCs w:val="24"/>
        </w:rPr>
      </w:pPr>
      <w:r>
        <w:rPr>
          <w:rFonts w:eastAsia="Arial"/>
          <w:b/>
          <w:bCs/>
          <w:color w:val="1A2330"/>
          <w:sz w:val="24"/>
          <w:szCs w:val="24"/>
        </w:rPr>
        <w:t>Tableau 18 — Hypothèses opérationnelles du modèle</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746"/>
        <w:gridCol w:w="2381"/>
        <w:gridCol w:w="4029"/>
      </w:tblGrid>
      <w:tr w:rsidR="0042033D" w14:paraId="7B2E4C0E" w14:textId="77777777">
        <w:trPr>
          <w:cantSplit/>
          <w:tblHeader/>
        </w:trPr>
        <w:tc>
          <w:tcPr>
            <w:tcW w:w="1500" w:type="pct"/>
            <w:shd w:val="clear" w:color="auto" w:fill="D4875A"/>
            <w:tcMar>
              <w:top w:w="36" w:type="dxa"/>
              <w:left w:w="80" w:type="dxa"/>
              <w:bottom w:w="36" w:type="dxa"/>
              <w:right w:w="80" w:type="dxa"/>
            </w:tcMar>
            <w:vAlign w:val="center"/>
          </w:tcPr>
          <w:p w14:paraId="5C8587CA" w14:textId="77777777" w:rsidR="0042033D" w:rsidRDefault="00000000">
            <w:pPr>
              <w:spacing w:line="232" w:lineRule="auto"/>
              <w:jc w:val="center"/>
              <w:rPr>
                <w:sz w:val="24"/>
                <w:szCs w:val="24"/>
              </w:rPr>
            </w:pPr>
            <w:r>
              <w:rPr>
                <w:b/>
                <w:bCs/>
                <w:color w:val="FFFFFF"/>
                <w:sz w:val="24"/>
                <w:szCs w:val="24"/>
              </w:rPr>
              <w:t>Hypothèse</w:t>
            </w:r>
          </w:p>
        </w:tc>
        <w:tc>
          <w:tcPr>
            <w:tcW w:w="1300" w:type="pct"/>
            <w:shd w:val="clear" w:color="auto" w:fill="D4875A"/>
            <w:tcMar>
              <w:top w:w="36" w:type="dxa"/>
              <w:left w:w="80" w:type="dxa"/>
              <w:bottom w:w="36" w:type="dxa"/>
              <w:right w:w="80" w:type="dxa"/>
            </w:tcMar>
            <w:vAlign w:val="center"/>
          </w:tcPr>
          <w:p w14:paraId="09B73C6F" w14:textId="77777777" w:rsidR="0042033D" w:rsidRDefault="00000000">
            <w:pPr>
              <w:spacing w:line="232" w:lineRule="auto"/>
              <w:jc w:val="center"/>
              <w:rPr>
                <w:sz w:val="24"/>
                <w:szCs w:val="24"/>
              </w:rPr>
            </w:pPr>
            <w:r>
              <w:rPr>
                <w:b/>
                <w:bCs/>
                <w:color w:val="FFFFFF"/>
                <w:sz w:val="24"/>
                <w:szCs w:val="24"/>
              </w:rPr>
              <w:t>Valeur retenue</w:t>
            </w:r>
          </w:p>
        </w:tc>
        <w:tc>
          <w:tcPr>
            <w:tcW w:w="2200" w:type="pct"/>
            <w:shd w:val="clear" w:color="auto" w:fill="D4875A"/>
            <w:tcMar>
              <w:top w:w="36" w:type="dxa"/>
              <w:left w:w="80" w:type="dxa"/>
              <w:bottom w:w="36" w:type="dxa"/>
              <w:right w:w="80" w:type="dxa"/>
            </w:tcMar>
            <w:vAlign w:val="center"/>
          </w:tcPr>
          <w:p w14:paraId="55961EF4" w14:textId="77777777" w:rsidR="0042033D" w:rsidRDefault="00000000">
            <w:pPr>
              <w:spacing w:line="232" w:lineRule="auto"/>
              <w:jc w:val="center"/>
              <w:rPr>
                <w:sz w:val="24"/>
                <w:szCs w:val="24"/>
              </w:rPr>
            </w:pPr>
            <w:r>
              <w:rPr>
                <w:b/>
                <w:bCs/>
                <w:color w:val="FFFFFF"/>
                <w:sz w:val="24"/>
                <w:szCs w:val="24"/>
              </w:rPr>
              <w:t>Justification</w:t>
            </w:r>
          </w:p>
        </w:tc>
      </w:tr>
      <w:tr w:rsidR="0042033D" w14:paraId="0F9A473D" w14:textId="77777777">
        <w:trPr>
          <w:cantSplit/>
        </w:trPr>
        <w:tc>
          <w:tcPr>
            <w:tcW w:w="1500" w:type="pct"/>
            <w:tcMar>
              <w:top w:w="28" w:type="dxa"/>
              <w:left w:w="80" w:type="dxa"/>
              <w:bottom w:w="28" w:type="dxa"/>
              <w:right w:w="80" w:type="dxa"/>
            </w:tcMar>
            <w:vAlign w:val="center"/>
          </w:tcPr>
          <w:p w14:paraId="3A28B7FD" w14:textId="77777777" w:rsidR="0042033D" w:rsidRDefault="00000000">
            <w:pPr>
              <w:spacing w:line="232" w:lineRule="auto"/>
              <w:rPr>
                <w:sz w:val="24"/>
                <w:szCs w:val="24"/>
              </w:rPr>
            </w:pPr>
            <w:r>
              <w:rPr>
                <w:b/>
                <w:bCs/>
                <w:sz w:val="24"/>
                <w:szCs w:val="24"/>
              </w:rPr>
              <w:t>Capacité de production mensuelle 2025 (réalisée)</w:t>
            </w:r>
          </w:p>
        </w:tc>
        <w:tc>
          <w:tcPr>
            <w:tcW w:w="1300" w:type="pct"/>
            <w:tcMar>
              <w:top w:w="28" w:type="dxa"/>
              <w:left w:w="80" w:type="dxa"/>
              <w:bottom w:w="28" w:type="dxa"/>
              <w:right w:w="80" w:type="dxa"/>
            </w:tcMar>
            <w:vAlign w:val="center"/>
          </w:tcPr>
          <w:p w14:paraId="472724F9" w14:textId="77777777" w:rsidR="0042033D" w:rsidRDefault="00000000">
            <w:pPr>
              <w:spacing w:line="232" w:lineRule="auto"/>
              <w:rPr>
                <w:sz w:val="24"/>
                <w:szCs w:val="24"/>
              </w:rPr>
            </w:pPr>
            <w:r>
              <w:rPr>
                <w:b/>
                <w:bCs/>
                <w:sz w:val="24"/>
                <w:szCs w:val="24"/>
              </w:rPr>
              <w:t>10 T/mois</w:t>
            </w:r>
          </w:p>
        </w:tc>
        <w:tc>
          <w:tcPr>
            <w:tcW w:w="2200" w:type="pct"/>
            <w:tcMar>
              <w:top w:w="28" w:type="dxa"/>
              <w:left w:w="80" w:type="dxa"/>
              <w:bottom w:w="28" w:type="dxa"/>
              <w:right w:w="80" w:type="dxa"/>
            </w:tcMar>
            <w:vAlign w:val="center"/>
          </w:tcPr>
          <w:p w14:paraId="43C249E9" w14:textId="77777777" w:rsidR="0042033D" w:rsidRDefault="00000000">
            <w:pPr>
              <w:spacing w:line="232" w:lineRule="auto"/>
              <w:rPr>
                <w:sz w:val="24"/>
                <w:szCs w:val="24"/>
              </w:rPr>
            </w:pPr>
            <w:r>
              <w:rPr>
                <w:sz w:val="24"/>
                <w:szCs w:val="24"/>
              </w:rPr>
              <w:t>Capacité installée observée, taux d'utilisation de 100 %</w:t>
            </w:r>
          </w:p>
        </w:tc>
      </w:tr>
      <w:tr w:rsidR="0042033D" w14:paraId="3781F3DD" w14:textId="77777777">
        <w:trPr>
          <w:cantSplit/>
        </w:trPr>
        <w:tc>
          <w:tcPr>
            <w:tcW w:w="1500" w:type="pct"/>
            <w:tcMar>
              <w:top w:w="28" w:type="dxa"/>
              <w:left w:w="80" w:type="dxa"/>
              <w:bottom w:w="28" w:type="dxa"/>
              <w:right w:w="80" w:type="dxa"/>
            </w:tcMar>
            <w:vAlign w:val="center"/>
          </w:tcPr>
          <w:p w14:paraId="2CABAF9A" w14:textId="77777777" w:rsidR="0042033D" w:rsidRDefault="00000000">
            <w:pPr>
              <w:spacing w:line="232" w:lineRule="auto"/>
              <w:rPr>
                <w:sz w:val="24"/>
                <w:szCs w:val="24"/>
              </w:rPr>
            </w:pPr>
            <w:r>
              <w:rPr>
                <w:b/>
                <w:bCs/>
                <w:sz w:val="24"/>
                <w:szCs w:val="24"/>
              </w:rPr>
              <w:t>Capacité de production mensuelle 2026</w:t>
            </w:r>
          </w:p>
        </w:tc>
        <w:tc>
          <w:tcPr>
            <w:tcW w:w="1300" w:type="pct"/>
            <w:tcMar>
              <w:top w:w="28" w:type="dxa"/>
              <w:left w:w="80" w:type="dxa"/>
              <w:bottom w:w="28" w:type="dxa"/>
              <w:right w:w="80" w:type="dxa"/>
            </w:tcMar>
            <w:vAlign w:val="center"/>
          </w:tcPr>
          <w:p w14:paraId="517C6283" w14:textId="77777777" w:rsidR="0042033D" w:rsidRDefault="00000000">
            <w:pPr>
              <w:spacing w:line="232" w:lineRule="auto"/>
              <w:rPr>
                <w:sz w:val="24"/>
                <w:szCs w:val="24"/>
              </w:rPr>
            </w:pPr>
            <w:r>
              <w:rPr>
                <w:b/>
                <w:bCs/>
                <w:sz w:val="24"/>
                <w:szCs w:val="24"/>
              </w:rPr>
              <w:t>18 à 22 T/mois</w:t>
            </w:r>
          </w:p>
        </w:tc>
        <w:tc>
          <w:tcPr>
            <w:tcW w:w="2200" w:type="pct"/>
            <w:tcMar>
              <w:top w:w="28" w:type="dxa"/>
              <w:left w:w="80" w:type="dxa"/>
              <w:bottom w:w="28" w:type="dxa"/>
              <w:right w:w="80" w:type="dxa"/>
            </w:tcMar>
            <w:vAlign w:val="center"/>
          </w:tcPr>
          <w:p w14:paraId="2BDC24F1" w14:textId="77777777" w:rsidR="0042033D" w:rsidRDefault="00000000">
            <w:pPr>
              <w:spacing w:line="232" w:lineRule="auto"/>
              <w:rPr>
                <w:sz w:val="24"/>
                <w:szCs w:val="24"/>
              </w:rPr>
            </w:pPr>
            <w:r>
              <w:rPr>
                <w:sz w:val="24"/>
                <w:szCs w:val="24"/>
              </w:rPr>
              <w:t>Effet du CAPEX et de l'expansion financés ; fourchette positionnée au-dessus du point mort recalculé (§ 23.3)</w:t>
            </w:r>
          </w:p>
        </w:tc>
      </w:tr>
      <w:tr w:rsidR="0042033D" w14:paraId="214CAD7A" w14:textId="77777777">
        <w:trPr>
          <w:cantSplit/>
        </w:trPr>
        <w:tc>
          <w:tcPr>
            <w:tcW w:w="1500" w:type="pct"/>
            <w:tcMar>
              <w:top w:w="28" w:type="dxa"/>
              <w:left w:w="80" w:type="dxa"/>
              <w:bottom w:w="28" w:type="dxa"/>
              <w:right w:w="80" w:type="dxa"/>
            </w:tcMar>
            <w:vAlign w:val="center"/>
          </w:tcPr>
          <w:p w14:paraId="0F75359D" w14:textId="77777777" w:rsidR="0042033D" w:rsidRDefault="00000000">
            <w:pPr>
              <w:spacing w:line="232" w:lineRule="auto"/>
              <w:rPr>
                <w:sz w:val="24"/>
                <w:szCs w:val="24"/>
              </w:rPr>
            </w:pPr>
            <w:r>
              <w:rPr>
                <w:b/>
                <w:bCs/>
                <w:sz w:val="24"/>
                <w:szCs w:val="24"/>
              </w:rPr>
              <w:t>Capacité de production mensuelle 2030</w:t>
            </w:r>
          </w:p>
        </w:tc>
        <w:tc>
          <w:tcPr>
            <w:tcW w:w="1300" w:type="pct"/>
            <w:tcMar>
              <w:top w:w="28" w:type="dxa"/>
              <w:left w:w="80" w:type="dxa"/>
              <w:bottom w:w="28" w:type="dxa"/>
              <w:right w:w="80" w:type="dxa"/>
            </w:tcMar>
            <w:vAlign w:val="center"/>
          </w:tcPr>
          <w:p w14:paraId="1E9670B9" w14:textId="77777777" w:rsidR="0042033D" w:rsidRDefault="00000000">
            <w:pPr>
              <w:spacing w:line="232" w:lineRule="auto"/>
              <w:rPr>
                <w:sz w:val="24"/>
                <w:szCs w:val="24"/>
              </w:rPr>
            </w:pPr>
            <w:r>
              <w:rPr>
                <w:b/>
                <w:bCs/>
                <w:sz w:val="24"/>
                <w:szCs w:val="24"/>
              </w:rPr>
              <w:t>56 T/mois</w:t>
            </w:r>
          </w:p>
        </w:tc>
        <w:tc>
          <w:tcPr>
            <w:tcW w:w="2200" w:type="pct"/>
            <w:tcMar>
              <w:top w:w="28" w:type="dxa"/>
              <w:left w:w="80" w:type="dxa"/>
              <w:bottom w:w="28" w:type="dxa"/>
              <w:right w:w="80" w:type="dxa"/>
            </w:tcMar>
            <w:vAlign w:val="center"/>
          </w:tcPr>
          <w:p w14:paraId="0C6F34E3" w14:textId="77777777" w:rsidR="0042033D" w:rsidRDefault="00000000">
            <w:pPr>
              <w:spacing w:line="232" w:lineRule="auto"/>
              <w:rPr>
                <w:sz w:val="24"/>
                <w:szCs w:val="24"/>
              </w:rPr>
            </w:pPr>
            <w:r>
              <w:rPr>
                <w:sz w:val="24"/>
                <w:szCs w:val="24"/>
              </w:rPr>
              <w:t>Trajectoire semi-industrielle ; architecture du site compatible avec une configuration future de 3 T/jour</w:t>
            </w:r>
          </w:p>
        </w:tc>
      </w:tr>
      <w:tr w:rsidR="0042033D" w14:paraId="404271CC" w14:textId="77777777">
        <w:trPr>
          <w:cantSplit/>
        </w:trPr>
        <w:tc>
          <w:tcPr>
            <w:tcW w:w="1500" w:type="pct"/>
            <w:tcMar>
              <w:top w:w="28" w:type="dxa"/>
              <w:left w:w="80" w:type="dxa"/>
              <w:bottom w:w="28" w:type="dxa"/>
              <w:right w:w="80" w:type="dxa"/>
            </w:tcMar>
            <w:vAlign w:val="center"/>
          </w:tcPr>
          <w:p w14:paraId="15A7DFF7" w14:textId="77777777" w:rsidR="0042033D" w:rsidRDefault="00000000">
            <w:pPr>
              <w:spacing w:line="232" w:lineRule="auto"/>
              <w:rPr>
                <w:sz w:val="24"/>
                <w:szCs w:val="24"/>
              </w:rPr>
            </w:pPr>
            <w:r>
              <w:rPr>
                <w:b/>
                <w:bCs/>
                <w:sz w:val="24"/>
                <w:szCs w:val="24"/>
              </w:rPr>
              <w:t>Effectif opérationnel 2025-2026</w:t>
            </w:r>
          </w:p>
        </w:tc>
        <w:tc>
          <w:tcPr>
            <w:tcW w:w="1300" w:type="pct"/>
            <w:tcMar>
              <w:top w:w="28" w:type="dxa"/>
              <w:left w:w="80" w:type="dxa"/>
              <w:bottom w:w="28" w:type="dxa"/>
              <w:right w:w="80" w:type="dxa"/>
            </w:tcMar>
            <w:vAlign w:val="center"/>
          </w:tcPr>
          <w:p w14:paraId="6447B483" w14:textId="77777777" w:rsidR="0042033D" w:rsidRDefault="00000000">
            <w:pPr>
              <w:spacing w:line="232" w:lineRule="auto"/>
              <w:rPr>
                <w:sz w:val="24"/>
                <w:szCs w:val="24"/>
              </w:rPr>
            </w:pPr>
            <w:r>
              <w:rPr>
                <w:b/>
                <w:bCs/>
                <w:sz w:val="24"/>
                <w:szCs w:val="24"/>
              </w:rPr>
              <w:t>16 ETP (CNAPS)</w:t>
            </w:r>
          </w:p>
        </w:tc>
        <w:tc>
          <w:tcPr>
            <w:tcW w:w="2200" w:type="pct"/>
            <w:tcMar>
              <w:top w:w="28" w:type="dxa"/>
              <w:left w:w="80" w:type="dxa"/>
              <w:bottom w:w="28" w:type="dxa"/>
              <w:right w:w="80" w:type="dxa"/>
            </w:tcMar>
            <w:vAlign w:val="center"/>
          </w:tcPr>
          <w:p w14:paraId="2DE4DEC2" w14:textId="77777777" w:rsidR="0042033D" w:rsidRDefault="00000000">
            <w:pPr>
              <w:spacing w:line="232" w:lineRule="auto"/>
              <w:rPr>
                <w:sz w:val="24"/>
                <w:szCs w:val="24"/>
              </w:rPr>
            </w:pPr>
            <w:r>
              <w:rPr>
                <w:sz w:val="24"/>
                <w:szCs w:val="24"/>
              </w:rPr>
              <w:t>14 ouvriers à 267 000 MGA/mois et 2 chefs ouvriers à 287 000 MGA/mois, en place depuis 2024 (bulletins de paie en salle de données)</w:t>
            </w:r>
          </w:p>
        </w:tc>
      </w:tr>
      <w:tr w:rsidR="0042033D" w14:paraId="2D7F3BAF" w14:textId="77777777">
        <w:trPr>
          <w:cantSplit/>
        </w:trPr>
        <w:tc>
          <w:tcPr>
            <w:tcW w:w="1500" w:type="pct"/>
            <w:tcMar>
              <w:top w:w="28" w:type="dxa"/>
              <w:left w:w="80" w:type="dxa"/>
              <w:bottom w:w="28" w:type="dxa"/>
              <w:right w:w="80" w:type="dxa"/>
            </w:tcMar>
            <w:vAlign w:val="center"/>
          </w:tcPr>
          <w:p w14:paraId="50147739" w14:textId="77777777" w:rsidR="0042033D" w:rsidRDefault="00000000">
            <w:pPr>
              <w:spacing w:line="232" w:lineRule="auto"/>
              <w:rPr>
                <w:sz w:val="24"/>
                <w:szCs w:val="24"/>
              </w:rPr>
            </w:pPr>
            <w:r>
              <w:rPr>
                <w:b/>
                <w:bCs/>
                <w:sz w:val="24"/>
                <w:szCs w:val="24"/>
              </w:rPr>
              <w:t>Trajectoire d'effectifs</w:t>
            </w:r>
          </w:p>
        </w:tc>
        <w:tc>
          <w:tcPr>
            <w:tcW w:w="1300" w:type="pct"/>
            <w:tcMar>
              <w:top w:w="28" w:type="dxa"/>
              <w:left w:w="80" w:type="dxa"/>
              <w:bottom w:w="28" w:type="dxa"/>
              <w:right w:w="80" w:type="dxa"/>
            </w:tcMar>
            <w:vAlign w:val="center"/>
          </w:tcPr>
          <w:p w14:paraId="3C2EB6ED" w14:textId="77777777" w:rsidR="0042033D" w:rsidRDefault="00000000">
            <w:pPr>
              <w:spacing w:line="232" w:lineRule="auto"/>
              <w:rPr>
                <w:sz w:val="24"/>
                <w:szCs w:val="24"/>
              </w:rPr>
            </w:pPr>
            <w:r>
              <w:rPr>
                <w:b/>
                <w:bCs/>
                <w:sz w:val="24"/>
                <w:szCs w:val="24"/>
              </w:rPr>
              <w:t>19 (fin 2026), 26 (2027), 34 (2028), 43 (2029), 52 (2030)</w:t>
            </w:r>
          </w:p>
        </w:tc>
        <w:tc>
          <w:tcPr>
            <w:tcW w:w="2200" w:type="pct"/>
            <w:tcMar>
              <w:top w:w="28" w:type="dxa"/>
              <w:left w:w="80" w:type="dxa"/>
              <w:bottom w:w="28" w:type="dxa"/>
              <w:right w:w="80" w:type="dxa"/>
            </w:tcMar>
            <w:vAlign w:val="center"/>
          </w:tcPr>
          <w:p w14:paraId="672C672E" w14:textId="77777777" w:rsidR="0042033D" w:rsidRDefault="00000000">
            <w:pPr>
              <w:spacing w:line="232" w:lineRule="auto"/>
              <w:rPr>
                <w:sz w:val="24"/>
                <w:szCs w:val="24"/>
              </w:rPr>
            </w:pPr>
            <w:r>
              <w:rPr>
                <w:sz w:val="24"/>
                <w:szCs w:val="24"/>
              </w:rPr>
              <w:t>Calée sur la capacité et la productivité ; commercial B2B recruté au M+2</w:t>
            </w:r>
          </w:p>
        </w:tc>
      </w:tr>
      <w:tr w:rsidR="0042033D" w14:paraId="63088D42" w14:textId="77777777">
        <w:trPr>
          <w:cantSplit/>
        </w:trPr>
        <w:tc>
          <w:tcPr>
            <w:tcW w:w="1500" w:type="pct"/>
            <w:tcMar>
              <w:top w:w="28" w:type="dxa"/>
              <w:left w:w="80" w:type="dxa"/>
              <w:bottom w:w="28" w:type="dxa"/>
              <w:right w:w="80" w:type="dxa"/>
            </w:tcMar>
            <w:vAlign w:val="center"/>
          </w:tcPr>
          <w:p w14:paraId="0521789A" w14:textId="77777777" w:rsidR="0042033D" w:rsidRDefault="00000000">
            <w:pPr>
              <w:spacing w:line="232" w:lineRule="auto"/>
              <w:rPr>
                <w:sz w:val="24"/>
                <w:szCs w:val="24"/>
              </w:rPr>
            </w:pPr>
            <w:r>
              <w:rPr>
                <w:b/>
                <w:bCs/>
                <w:sz w:val="24"/>
                <w:szCs w:val="24"/>
              </w:rPr>
              <w:t>Productivité par ETP</w:t>
            </w:r>
          </w:p>
        </w:tc>
        <w:tc>
          <w:tcPr>
            <w:tcW w:w="1300" w:type="pct"/>
            <w:tcMar>
              <w:top w:w="28" w:type="dxa"/>
              <w:left w:w="80" w:type="dxa"/>
              <w:bottom w:w="28" w:type="dxa"/>
              <w:right w:w="80" w:type="dxa"/>
            </w:tcMar>
            <w:vAlign w:val="center"/>
          </w:tcPr>
          <w:p w14:paraId="701C5F1E" w14:textId="77777777" w:rsidR="0042033D" w:rsidRDefault="00000000">
            <w:pPr>
              <w:spacing w:line="232" w:lineRule="auto"/>
              <w:rPr>
                <w:sz w:val="24"/>
                <w:szCs w:val="24"/>
              </w:rPr>
            </w:pPr>
            <w:r>
              <w:rPr>
                <w:b/>
                <w:bCs/>
                <w:sz w:val="24"/>
                <w:szCs w:val="24"/>
              </w:rPr>
              <w:t>0,63 T/mois actuelle ; 1,0 à 1,1 T/mois après mécanisation</w:t>
            </w:r>
          </w:p>
        </w:tc>
        <w:tc>
          <w:tcPr>
            <w:tcW w:w="2200" w:type="pct"/>
            <w:tcMar>
              <w:top w:w="28" w:type="dxa"/>
              <w:left w:w="80" w:type="dxa"/>
              <w:bottom w:w="28" w:type="dxa"/>
              <w:right w:w="80" w:type="dxa"/>
            </w:tcMar>
            <w:vAlign w:val="center"/>
          </w:tcPr>
          <w:p w14:paraId="0B7A046D" w14:textId="77777777" w:rsidR="0042033D" w:rsidRDefault="00000000">
            <w:pPr>
              <w:spacing w:line="232" w:lineRule="auto"/>
              <w:rPr>
                <w:sz w:val="24"/>
                <w:szCs w:val="24"/>
              </w:rPr>
            </w:pPr>
            <w:r>
              <w:rPr>
                <w:sz w:val="24"/>
                <w:szCs w:val="24"/>
              </w:rPr>
              <w:t>Gain porté par la mécanisation du criblage et du séchage financée par le ticket</w:t>
            </w:r>
          </w:p>
        </w:tc>
      </w:tr>
      <w:tr w:rsidR="0042033D" w14:paraId="702AC7E9" w14:textId="77777777">
        <w:trPr>
          <w:cantSplit/>
        </w:trPr>
        <w:tc>
          <w:tcPr>
            <w:tcW w:w="1500" w:type="pct"/>
            <w:tcMar>
              <w:top w:w="28" w:type="dxa"/>
              <w:left w:w="80" w:type="dxa"/>
              <w:bottom w:w="28" w:type="dxa"/>
              <w:right w:w="80" w:type="dxa"/>
            </w:tcMar>
            <w:vAlign w:val="center"/>
          </w:tcPr>
          <w:p w14:paraId="5A1FF7A3" w14:textId="77777777" w:rsidR="0042033D" w:rsidRDefault="00000000">
            <w:pPr>
              <w:spacing w:line="232" w:lineRule="auto"/>
              <w:rPr>
                <w:sz w:val="24"/>
                <w:szCs w:val="24"/>
              </w:rPr>
            </w:pPr>
            <w:r>
              <w:rPr>
                <w:b/>
                <w:bCs/>
                <w:sz w:val="24"/>
                <w:szCs w:val="24"/>
              </w:rPr>
              <w:t>Taux d'utilisation moyen</w:t>
            </w:r>
          </w:p>
        </w:tc>
        <w:tc>
          <w:tcPr>
            <w:tcW w:w="1300" w:type="pct"/>
            <w:tcMar>
              <w:top w:w="28" w:type="dxa"/>
              <w:left w:w="80" w:type="dxa"/>
              <w:bottom w:w="28" w:type="dxa"/>
              <w:right w:w="80" w:type="dxa"/>
            </w:tcMar>
            <w:vAlign w:val="center"/>
          </w:tcPr>
          <w:p w14:paraId="176C202E" w14:textId="77777777" w:rsidR="0042033D" w:rsidRDefault="00000000">
            <w:pPr>
              <w:spacing w:line="232" w:lineRule="auto"/>
              <w:rPr>
                <w:sz w:val="24"/>
                <w:szCs w:val="24"/>
              </w:rPr>
            </w:pPr>
            <w:r>
              <w:rPr>
                <w:b/>
                <w:bCs/>
                <w:sz w:val="24"/>
                <w:szCs w:val="24"/>
              </w:rPr>
              <w:t>83 à 88 %</w:t>
            </w:r>
          </w:p>
        </w:tc>
        <w:tc>
          <w:tcPr>
            <w:tcW w:w="2200" w:type="pct"/>
            <w:tcMar>
              <w:top w:w="28" w:type="dxa"/>
              <w:left w:w="80" w:type="dxa"/>
              <w:bottom w:w="28" w:type="dxa"/>
              <w:right w:w="80" w:type="dxa"/>
            </w:tcMar>
            <w:vAlign w:val="center"/>
          </w:tcPr>
          <w:p w14:paraId="2A1B30C5" w14:textId="77777777" w:rsidR="0042033D" w:rsidRDefault="00000000">
            <w:pPr>
              <w:spacing w:line="232" w:lineRule="auto"/>
              <w:rPr>
                <w:sz w:val="24"/>
                <w:szCs w:val="24"/>
              </w:rPr>
            </w:pPr>
            <w:r>
              <w:rPr>
                <w:sz w:val="24"/>
                <w:szCs w:val="24"/>
              </w:rPr>
              <w:t>Calibré sur les standards du secteur agro-industriel</w:t>
            </w:r>
          </w:p>
        </w:tc>
      </w:tr>
      <w:tr w:rsidR="0042033D" w14:paraId="13732D7D" w14:textId="77777777">
        <w:trPr>
          <w:cantSplit/>
        </w:trPr>
        <w:tc>
          <w:tcPr>
            <w:tcW w:w="1500" w:type="pct"/>
            <w:tcMar>
              <w:top w:w="28" w:type="dxa"/>
              <w:left w:w="80" w:type="dxa"/>
              <w:bottom w:w="28" w:type="dxa"/>
              <w:right w:w="80" w:type="dxa"/>
            </w:tcMar>
            <w:vAlign w:val="center"/>
          </w:tcPr>
          <w:p w14:paraId="34442763" w14:textId="77777777" w:rsidR="0042033D" w:rsidRDefault="00000000">
            <w:r>
              <w:t>Rendements de sortie retenus</w:t>
            </w:r>
          </w:p>
        </w:tc>
        <w:tc>
          <w:tcPr>
            <w:tcW w:w="1300" w:type="pct"/>
            <w:tcMar>
              <w:top w:w="28" w:type="dxa"/>
              <w:left w:w="80" w:type="dxa"/>
              <w:bottom w:w="28" w:type="dxa"/>
              <w:right w:w="80" w:type="dxa"/>
            </w:tcMar>
            <w:vAlign w:val="center"/>
          </w:tcPr>
          <w:p w14:paraId="35A7D09D" w14:textId="77777777" w:rsidR="0042033D" w:rsidRDefault="00000000">
            <w:r>
              <w:t>30 % frass sec + 15 % larves fraîches</w:t>
            </w:r>
          </w:p>
        </w:tc>
        <w:tc>
          <w:tcPr>
            <w:tcW w:w="2200" w:type="pct"/>
            <w:tcMar>
              <w:top w:w="28" w:type="dxa"/>
              <w:left w:w="80" w:type="dxa"/>
              <w:bottom w:w="28" w:type="dxa"/>
              <w:right w:w="80" w:type="dxa"/>
            </w:tcMar>
            <w:vAlign w:val="center"/>
          </w:tcPr>
          <w:p w14:paraId="01FAF41A" w14:textId="77777777" w:rsidR="0042033D" w:rsidRDefault="00000000">
            <w:r>
              <w:t>Hypothèses internes de mass balance ; le solde correspond principalement à l’eau évaporée/recyclée et aux pertes de process.</w:t>
            </w:r>
          </w:p>
        </w:tc>
      </w:tr>
      <w:tr w:rsidR="0042033D" w14:paraId="7B6FADCA" w14:textId="77777777">
        <w:trPr>
          <w:cantSplit/>
        </w:trPr>
        <w:tc>
          <w:tcPr>
            <w:tcW w:w="1500" w:type="pct"/>
            <w:tcMar>
              <w:top w:w="28" w:type="dxa"/>
              <w:left w:w="80" w:type="dxa"/>
              <w:bottom w:w="28" w:type="dxa"/>
              <w:right w:w="80" w:type="dxa"/>
            </w:tcMar>
            <w:vAlign w:val="center"/>
          </w:tcPr>
          <w:p w14:paraId="44A4D60D" w14:textId="77777777" w:rsidR="0042033D" w:rsidRDefault="00000000">
            <w:pPr>
              <w:spacing w:line="232" w:lineRule="auto"/>
              <w:rPr>
                <w:sz w:val="24"/>
                <w:szCs w:val="24"/>
              </w:rPr>
            </w:pPr>
            <w:r>
              <w:rPr>
                <w:b/>
                <w:bCs/>
                <w:sz w:val="24"/>
                <w:szCs w:val="24"/>
              </w:rPr>
              <w:t>Durée du cycle larvaire / densité d'inoculation</w:t>
            </w:r>
          </w:p>
        </w:tc>
        <w:tc>
          <w:tcPr>
            <w:tcW w:w="1300" w:type="pct"/>
            <w:tcMar>
              <w:top w:w="28" w:type="dxa"/>
              <w:left w:w="80" w:type="dxa"/>
              <w:bottom w:w="28" w:type="dxa"/>
              <w:right w:w="80" w:type="dxa"/>
            </w:tcMar>
            <w:vAlign w:val="center"/>
          </w:tcPr>
          <w:p w14:paraId="02B47FB3" w14:textId="77777777" w:rsidR="0042033D" w:rsidRDefault="00000000">
            <w:pPr>
              <w:spacing w:line="232" w:lineRule="auto"/>
              <w:rPr>
                <w:sz w:val="24"/>
                <w:szCs w:val="24"/>
              </w:rPr>
            </w:pPr>
            <w:r>
              <w:rPr>
                <w:b/>
                <w:bCs/>
                <w:sz w:val="24"/>
                <w:szCs w:val="24"/>
              </w:rPr>
              <w:t>14 jours / 5 à 10 larves/cm²</w:t>
            </w:r>
          </w:p>
        </w:tc>
        <w:tc>
          <w:tcPr>
            <w:tcW w:w="2200" w:type="pct"/>
            <w:tcMar>
              <w:top w:w="28" w:type="dxa"/>
              <w:left w:w="80" w:type="dxa"/>
              <w:bottom w:w="28" w:type="dxa"/>
              <w:right w:w="80" w:type="dxa"/>
            </w:tcMar>
            <w:vAlign w:val="center"/>
          </w:tcPr>
          <w:p w14:paraId="6193BABC" w14:textId="77777777" w:rsidR="0042033D" w:rsidRDefault="00000000">
            <w:pPr>
              <w:spacing w:line="232" w:lineRule="auto"/>
              <w:rPr>
                <w:sz w:val="24"/>
                <w:szCs w:val="24"/>
              </w:rPr>
            </w:pPr>
            <w:r>
              <w:rPr>
                <w:sz w:val="24"/>
                <w:szCs w:val="24"/>
              </w:rPr>
              <w:t>Paramètres opératoires standard BSF, documentés dans le SOP</w:t>
            </w:r>
          </w:p>
        </w:tc>
      </w:tr>
      <w:tr w:rsidR="0042033D" w14:paraId="7729BBF0" w14:textId="77777777">
        <w:trPr>
          <w:cantSplit/>
        </w:trPr>
        <w:tc>
          <w:tcPr>
            <w:tcW w:w="1500" w:type="pct"/>
            <w:tcMar>
              <w:top w:w="28" w:type="dxa"/>
              <w:left w:w="80" w:type="dxa"/>
              <w:bottom w:w="28" w:type="dxa"/>
              <w:right w:w="80" w:type="dxa"/>
            </w:tcMar>
            <w:vAlign w:val="center"/>
          </w:tcPr>
          <w:p w14:paraId="066B1A05" w14:textId="77777777" w:rsidR="0042033D" w:rsidRDefault="00000000">
            <w:pPr>
              <w:spacing w:line="232" w:lineRule="auto"/>
              <w:rPr>
                <w:sz w:val="24"/>
                <w:szCs w:val="24"/>
              </w:rPr>
            </w:pPr>
            <w:r>
              <w:rPr>
                <w:b/>
                <w:bCs/>
                <w:sz w:val="24"/>
                <w:szCs w:val="24"/>
              </w:rPr>
              <w:t>Taux de conversion déchet → frass / déchet → larves</w:t>
            </w:r>
          </w:p>
        </w:tc>
        <w:tc>
          <w:tcPr>
            <w:tcW w:w="1300" w:type="pct"/>
            <w:tcMar>
              <w:top w:w="28" w:type="dxa"/>
              <w:left w:w="80" w:type="dxa"/>
              <w:bottom w:w="28" w:type="dxa"/>
              <w:right w:w="80" w:type="dxa"/>
            </w:tcMar>
            <w:vAlign w:val="center"/>
          </w:tcPr>
          <w:p w14:paraId="55D1DA34" w14:textId="77777777" w:rsidR="0042033D" w:rsidRDefault="00000000">
            <w:pPr>
              <w:spacing w:line="232" w:lineRule="auto"/>
              <w:rPr>
                <w:sz w:val="24"/>
                <w:szCs w:val="24"/>
              </w:rPr>
            </w:pPr>
            <w:r>
              <w:rPr>
                <w:b/>
                <w:bCs/>
                <w:sz w:val="24"/>
                <w:szCs w:val="24"/>
              </w:rPr>
              <w:t>30 % / 15 % (poids frais)</w:t>
            </w:r>
          </w:p>
        </w:tc>
        <w:tc>
          <w:tcPr>
            <w:tcW w:w="2200" w:type="pct"/>
            <w:tcMar>
              <w:top w:w="28" w:type="dxa"/>
              <w:left w:w="80" w:type="dxa"/>
              <w:bottom w:w="28" w:type="dxa"/>
              <w:right w:w="80" w:type="dxa"/>
            </w:tcMar>
            <w:vAlign w:val="center"/>
          </w:tcPr>
          <w:p w14:paraId="6EACD30E" w14:textId="77777777" w:rsidR="0042033D" w:rsidRDefault="00000000">
            <w:pPr>
              <w:spacing w:line="232" w:lineRule="auto"/>
              <w:rPr>
                <w:sz w:val="24"/>
                <w:szCs w:val="24"/>
              </w:rPr>
            </w:pPr>
            <w:r>
              <w:rPr>
                <w:sz w:val="24"/>
                <w:szCs w:val="24"/>
              </w:rPr>
              <w:t>Conservation de la masse, cohérents avec les données internes et la littérature scientifique</w:t>
            </w:r>
          </w:p>
        </w:tc>
      </w:tr>
    </w:tbl>
    <w:p w14:paraId="171BF022" w14:textId="77777777" w:rsidR="0042033D" w:rsidRDefault="00000000">
      <w:pPr>
        <w:pStyle w:val="Heading2"/>
        <w:spacing w:before="150" w:after="60"/>
        <w:rPr>
          <w:rFonts w:ascii="Times New Roman" w:hAnsi="Times New Roman"/>
        </w:rPr>
      </w:pPr>
      <w:bookmarkStart w:id="99" w:name="_Toc100099"/>
      <w:r>
        <w:rPr>
          <w:rFonts w:ascii="Times New Roman" w:hAnsi="Times New Roman"/>
        </w:rPr>
        <w:t>22.2 Hypothèses commerciales</w:t>
      </w:r>
      <w:bookmarkEnd w:id="99"/>
    </w:p>
    <w:p w14:paraId="25D80B44" w14:textId="77777777" w:rsidR="0042033D" w:rsidRDefault="00000000">
      <w:pPr>
        <w:keepNext/>
        <w:spacing w:before="140" w:after="50" w:line="260" w:lineRule="auto"/>
        <w:rPr>
          <w:sz w:val="24"/>
          <w:szCs w:val="24"/>
        </w:rPr>
      </w:pPr>
      <w:r>
        <w:rPr>
          <w:rFonts w:eastAsia="Arial"/>
          <w:b/>
          <w:bCs/>
          <w:color w:val="1A2330"/>
          <w:sz w:val="24"/>
          <w:szCs w:val="24"/>
        </w:rPr>
        <w:lastRenderedPageBreak/>
        <w:t>Tableau 19 — Hypothèses commerciales du modèle</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746"/>
        <w:gridCol w:w="2564"/>
        <w:gridCol w:w="3846"/>
      </w:tblGrid>
      <w:tr w:rsidR="0042033D" w14:paraId="05EB60AA" w14:textId="77777777">
        <w:trPr>
          <w:cantSplit/>
          <w:tblHeader/>
        </w:trPr>
        <w:tc>
          <w:tcPr>
            <w:tcW w:w="1500" w:type="pct"/>
            <w:shd w:val="clear" w:color="auto" w:fill="D4875A"/>
            <w:tcMar>
              <w:top w:w="36" w:type="dxa"/>
              <w:left w:w="80" w:type="dxa"/>
              <w:bottom w:w="36" w:type="dxa"/>
              <w:right w:w="80" w:type="dxa"/>
            </w:tcMar>
            <w:vAlign w:val="center"/>
          </w:tcPr>
          <w:p w14:paraId="6C34EB0B" w14:textId="77777777" w:rsidR="0042033D" w:rsidRDefault="00000000">
            <w:pPr>
              <w:spacing w:line="232" w:lineRule="auto"/>
              <w:jc w:val="center"/>
              <w:rPr>
                <w:sz w:val="24"/>
                <w:szCs w:val="24"/>
              </w:rPr>
            </w:pPr>
            <w:r>
              <w:rPr>
                <w:b/>
                <w:bCs/>
                <w:color w:val="FFFFFF"/>
                <w:sz w:val="24"/>
                <w:szCs w:val="24"/>
              </w:rPr>
              <w:t>Hypothèse</w:t>
            </w:r>
          </w:p>
        </w:tc>
        <w:tc>
          <w:tcPr>
            <w:tcW w:w="1400" w:type="pct"/>
            <w:shd w:val="clear" w:color="auto" w:fill="D4875A"/>
            <w:tcMar>
              <w:top w:w="36" w:type="dxa"/>
              <w:left w:w="80" w:type="dxa"/>
              <w:bottom w:w="36" w:type="dxa"/>
              <w:right w:w="80" w:type="dxa"/>
            </w:tcMar>
            <w:vAlign w:val="center"/>
          </w:tcPr>
          <w:p w14:paraId="4529FFCE" w14:textId="77777777" w:rsidR="0042033D" w:rsidRDefault="00000000">
            <w:pPr>
              <w:spacing w:line="232" w:lineRule="auto"/>
              <w:jc w:val="center"/>
              <w:rPr>
                <w:sz w:val="24"/>
                <w:szCs w:val="24"/>
              </w:rPr>
            </w:pPr>
            <w:r>
              <w:rPr>
                <w:b/>
                <w:bCs/>
                <w:color w:val="FFFFFF"/>
                <w:sz w:val="24"/>
                <w:szCs w:val="24"/>
              </w:rPr>
              <w:t>Valeur retenue</w:t>
            </w:r>
          </w:p>
        </w:tc>
        <w:tc>
          <w:tcPr>
            <w:tcW w:w="2100" w:type="pct"/>
            <w:shd w:val="clear" w:color="auto" w:fill="D4875A"/>
            <w:tcMar>
              <w:top w:w="36" w:type="dxa"/>
              <w:left w:w="80" w:type="dxa"/>
              <w:bottom w:w="36" w:type="dxa"/>
              <w:right w:w="80" w:type="dxa"/>
            </w:tcMar>
            <w:vAlign w:val="center"/>
          </w:tcPr>
          <w:p w14:paraId="77475095" w14:textId="77777777" w:rsidR="0042033D" w:rsidRDefault="00000000">
            <w:pPr>
              <w:spacing w:line="232" w:lineRule="auto"/>
              <w:jc w:val="center"/>
              <w:rPr>
                <w:sz w:val="24"/>
                <w:szCs w:val="24"/>
              </w:rPr>
            </w:pPr>
            <w:r>
              <w:rPr>
                <w:b/>
                <w:bCs/>
                <w:color w:val="FFFFFF"/>
                <w:sz w:val="24"/>
                <w:szCs w:val="24"/>
              </w:rPr>
              <w:t>Justification</w:t>
            </w:r>
          </w:p>
        </w:tc>
      </w:tr>
      <w:tr w:rsidR="0042033D" w14:paraId="19CED26B" w14:textId="77777777">
        <w:trPr>
          <w:cantSplit/>
        </w:trPr>
        <w:tc>
          <w:tcPr>
            <w:tcW w:w="1500" w:type="pct"/>
            <w:tcMar>
              <w:top w:w="28" w:type="dxa"/>
              <w:left w:w="80" w:type="dxa"/>
              <w:bottom w:w="28" w:type="dxa"/>
              <w:right w:w="80" w:type="dxa"/>
            </w:tcMar>
            <w:vAlign w:val="center"/>
          </w:tcPr>
          <w:p w14:paraId="31E8090A" w14:textId="77777777" w:rsidR="0042033D" w:rsidRDefault="00000000">
            <w:pPr>
              <w:spacing w:line="232" w:lineRule="auto"/>
              <w:rPr>
                <w:sz w:val="24"/>
                <w:szCs w:val="24"/>
              </w:rPr>
            </w:pPr>
            <w:r>
              <w:rPr>
                <w:b/>
                <w:bCs/>
                <w:sz w:val="24"/>
                <w:szCs w:val="24"/>
              </w:rPr>
              <w:t>Prix moyen frass (canal FDA)</w:t>
            </w:r>
          </w:p>
        </w:tc>
        <w:tc>
          <w:tcPr>
            <w:tcW w:w="1400" w:type="pct"/>
            <w:tcMar>
              <w:top w:w="28" w:type="dxa"/>
              <w:left w:w="80" w:type="dxa"/>
              <w:bottom w:w="28" w:type="dxa"/>
              <w:right w:w="80" w:type="dxa"/>
            </w:tcMar>
            <w:vAlign w:val="center"/>
          </w:tcPr>
          <w:p w14:paraId="2DAF8FB6" w14:textId="77777777" w:rsidR="0042033D" w:rsidRDefault="00000000">
            <w:pPr>
              <w:spacing w:line="232" w:lineRule="auto"/>
              <w:rPr>
                <w:sz w:val="24"/>
                <w:szCs w:val="24"/>
              </w:rPr>
            </w:pPr>
            <w:r>
              <w:rPr>
                <w:b/>
                <w:bCs/>
                <w:sz w:val="24"/>
                <w:szCs w:val="24"/>
              </w:rPr>
              <w:t>1 890 MGA/kg (0,42 $)</w:t>
            </w:r>
          </w:p>
        </w:tc>
        <w:tc>
          <w:tcPr>
            <w:tcW w:w="2100" w:type="pct"/>
            <w:tcMar>
              <w:top w:w="28" w:type="dxa"/>
              <w:left w:w="80" w:type="dxa"/>
              <w:bottom w:w="28" w:type="dxa"/>
              <w:right w:w="80" w:type="dxa"/>
            </w:tcMar>
            <w:vAlign w:val="center"/>
          </w:tcPr>
          <w:p w14:paraId="4329131B" w14:textId="77777777" w:rsidR="0042033D" w:rsidRDefault="00000000">
            <w:pPr>
              <w:spacing w:line="232" w:lineRule="auto"/>
              <w:rPr>
                <w:sz w:val="24"/>
                <w:szCs w:val="24"/>
              </w:rPr>
            </w:pPr>
            <w:r>
              <w:rPr>
                <w:sz w:val="24"/>
                <w:szCs w:val="24"/>
              </w:rPr>
              <w:t>Prix observé sur les contrats FDA 2024-2025</w:t>
            </w:r>
          </w:p>
        </w:tc>
      </w:tr>
      <w:tr w:rsidR="0042033D" w14:paraId="5CA0F3A2" w14:textId="77777777">
        <w:trPr>
          <w:cantSplit/>
        </w:trPr>
        <w:tc>
          <w:tcPr>
            <w:tcW w:w="1500" w:type="pct"/>
            <w:tcMar>
              <w:top w:w="28" w:type="dxa"/>
              <w:left w:w="80" w:type="dxa"/>
              <w:bottom w:w="28" w:type="dxa"/>
              <w:right w:w="80" w:type="dxa"/>
            </w:tcMar>
            <w:vAlign w:val="center"/>
          </w:tcPr>
          <w:p w14:paraId="2E6B2405" w14:textId="77777777" w:rsidR="0042033D" w:rsidRDefault="00000000">
            <w:pPr>
              <w:spacing w:line="232" w:lineRule="auto"/>
              <w:rPr>
                <w:sz w:val="24"/>
                <w:szCs w:val="24"/>
              </w:rPr>
            </w:pPr>
            <w:r>
              <w:rPr>
                <w:b/>
                <w:bCs/>
                <w:sz w:val="24"/>
                <w:szCs w:val="24"/>
              </w:rPr>
              <w:t>Prix moyen frass (direct B2B)</w:t>
            </w:r>
          </w:p>
        </w:tc>
        <w:tc>
          <w:tcPr>
            <w:tcW w:w="1400" w:type="pct"/>
            <w:tcMar>
              <w:top w:w="28" w:type="dxa"/>
              <w:left w:w="80" w:type="dxa"/>
              <w:bottom w:w="28" w:type="dxa"/>
              <w:right w:w="80" w:type="dxa"/>
            </w:tcMar>
            <w:vAlign w:val="center"/>
          </w:tcPr>
          <w:p w14:paraId="5F51A2CA" w14:textId="77777777" w:rsidR="0042033D" w:rsidRDefault="00000000">
            <w:pPr>
              <w:spacing w:line="232" w:lineRule="auto"/>
              <w:rPr>
                <w:sz w:val="24"/>
                <w:szCs w:val="24"/>
              </w:rPr>
            </w:pPr>
            <w:r>
              <w:rPr>
                <w:b/>
                <w:bCs/>
                <w:sz w:val="24"/>
                <w:szCs w:val="24"/>
              </w:rPr>
              <w:t>2 000 MGA/kg (0,44 $)</w:t>
            </w:r>
          </w:p>
        </w:tc>
        <w:tc>
          <w:tcPr>
            <w:tcW w:w="2100" w:type="pct"/>
            <w:tcMar>
              <w:top w:w="28" w:type="dxa"/>
              <w:left w:w="80" w:type="dxa"/>
              <w:bottom w:w="28" w:type="dxa"/>
              <w:right w:w="80" w:type="dxa"/>
            </w:tcMar>
            <w:vAlign w:val="center"/>
          </w:tcPr>
          <w:p w14:paraId="59DF0A74" w14:textId="77777777" w:rsidR="0042033D" w:rsidRDefault="00000000">
            <w:pPr>
              <w:spacing w:line="232" w:lineRule="auto"/>
              <w:rPr>
                <w:sz w:val="24"/>
                <w:szCs w:val="24"/>
              </w:rPr>
            </w:pPr>
            <w:r>
              <w:rPr>
                <w:sz w:val="24"/>
                <w:szCs w:val="24"/>
              </w:rPr>
              <w:t>Prix observé sur les ventes B2B directes</w:t>
            </w:r>
          </w:p>
        </w:tc>
      </w:tr>
      <w:tr w:rsidR="0042033D" w14:paraId="396CA742" w14:textId="77777777">
        <w:trPr>
          <w:cantSplit/>
        </w:trPr>
        <w:tc>
          <w:tcPr>
            <w:tcW w:w="1500" w:type="pct"/>
            <w:tcMar>
              <w:top w:w="28" w:type="dxa"/>
              <w:left w:w="80" w:type="dxa"/>
              <w:bottom w:w="28" w:type="dxa"/>
              <w:right w:w="80" w:type="dxa"/>
            </w:tcMar>
            <w:vAlign w:val="center"/>
          </w:tcPr>
          <w:p w14:paraId="25AF727B" w14:textId="77777777" w:rsidR="0042033D" w:rsidRDefault="00000000">
            <w:pPr>
              <w:spacing w:line="232" w:lineRule="auto"/>
              <w:rPr>
                <w:sz w:val="24"/>
                <w:szCs w:val="24"/>
              </w:rPr>
            </w:pPr>
            <w:r>
              <w:rPr>
                <w:b/>
                <w:bCs/>
                <w:sz w:val="24"/>
                <w:szCs w:val="24"/>
              </w:rPr>
              <w:t>Prix moyen frass (export)</w:t>
            </w:r>
          </w:p>
        </w:tc>
        <w:tc>
          <w:tcPr>
            <w:tcW w:w="1400" w:type="pct"/>
            <w:tcMar>
              <w:top w:w="28" w:type="dxa"/>
              <w:left w:w="80" w:type="dxa"/>
              <w:bottom w:w="28" w:type="dxa"/>
              <w:right w:w="80" w:type="dxa"/>
            </w:tcMar>
            <w:vAlign w:val="center"/>
          </w:tcPr>
          <w:p w14:paraId="56C7B059" w14:textId="77777777" w:rsidR="0042033D" w:rsidRDefault="00000000">
            <w:pPr>
              <w:spacing w:line="232" w:lineRule="auto"/>
              <w:rPr>
                <w:sz w:val="24"/>
                <w:szCs w:val="24"/>
              </w:rPr>
            </w:pPr>
            <w:r>
              <w:rPr>
                <w:b/>
                <w:bCs/>
                <w:sz w:val="24"/>
                <w:szCs w:val="24"/>
              </w:rPr>
              <w:t>2 500 MGA/kg (0,56 $)</w:t>
            </w:r>
          </w:p>
        </w:tc>
        <w:tc>
          <w:tcPr>
            <w:tcW w:w="2100" w:type="pct"/>
            <w:tcMar>
              <w:top w:w="28" w:type="dxa"/>
              <w:left w:w="80" w:type="dxa"/>
              <w:bottom w:w="28" w:type="dxa"/>
              <w:right w:w="80" w:type="dxa"/>
            </w:tcMar>
            <w:vAlign w:val="center"/>
          </w:tcPr>
          <w:p w14:paraId="45C5341A" w14:textId="77777777" w:rsidR="0042033D" w:rsidRDefault="00000000">
            <w:pPr>
              <w:spacing w:line="232" w:lineRule="auto"/>
              <w:rPr>
                <w:sz w:val="24"/>
                <w:szCs w:val="24"/>
              </w:rPr>
            </w:pPr>
            <w:r>
              <w:rPr>
                <w:sz w:val="24"/>
                <w:szCs w:val="24"/>
              </w:rPr>
              <w:t>Positionnement premium biologique</w:t>
            </w:r>
          </w:p>
        </w:tc>
      </w:tr>
      <w:tr w:rsidR="0042033D" w14:paraId="7CA492D9" w14:textId="77777777">
        <w:trPr>
          <w:cantSplit/>
        </w:trPr>
        <w:tc>
          <w:tcPr>
            <w:tcW w:w="1500" w:type="pct"/>
            <w:tcMar>
              <w:top w:w="28" w:type="dxa"/>
              <w:left w:w="80" w:type="dxa"/>
              <w:bottom w:w="28" w:type="dxa"/>
              <w:right w:w="80" w:type="dxa"/>
            </w:tcMar>
            <w:vAlign w:val="center"/>
          </w:tcPr>
          <w:p w14:paraId="18595257" w14:textId="77777777" w:rsidR="0042033D" w:rsidRDefault="00000000">
            <w:pPr>
              <w:spacing w:line="232" w:lineRule="auto"/>
              <w:rPr>
                <w:sz w:val="24"/>
                <w:szCs w:val="24"/>
              </w:rPr>
            </w:pPr>
            <w:r>
              <w:rPr>
                <w:b/>
                <w:bCs/>
                <w:sz w:val="24"/>
                <w:szCs w:val="24"/>
              </w:rPr>
              <w:t>Prix larves séchées (B2B, dès 2027)</w:t>
            </w:r>
          </w:p>
        </w:tc>
        <w:tc>
          <w:tcPr>
            <w:tcW w:w="1400" w:type="pct"/>
            <w:tcMar>
              <w:top w:w="28" w:type="dxa"/>
              <w:left w:w="80" w:type="dxa"/>
              <w:bottom w:w="28" w:type="dxa"/>
              <w:right w:w="80" w:type="dxa"/>
            </w:tcMar>
            <w:vAlign w:val="center"/>
          </w:tcPr>
          <w:p w14:paraId="35B89265" w14:textId="77777777" w:rsidR="0042033D" w:rsidRDefault="00000000">
            <w:pPr>
              <w:spacing w:line="232" w:lineRule="auto"/>
              <w:rPr>
                <w:sz w:val="24"/>
                <w:szCs w:val="24"/>
              </w:rPr>
            </w:pPr>
            <w:r>
              <w:rPr>
                <w:b/>
                <w:bCs/>
                <w:sz w:val="24"/>
                <w:szCs w:val="24"/>
              </w:rPr>
              <w:t>1 500 à 1 800 $/tonne</w:t>
            </w:r>
          </w:p>
        </w:tc>
        <w:tc>
          <w:tcPr>
            <w:tcW w:w="2100" w:type="pct"/>
            <w:tcMar>
              <w:top w:w="28" w:type="dxa"/>
              <w:left w:w="80" w:type="dxa"/>
              <w:bottom w:w="28" w:type="dxa"/>
              <w:right w:w="80" w:type="dxa"/>
            </w:tcMar>
            <w:vAlign w:val="center"/>
          </w:tcPr>
          <w:p w14:paraId="04D50EC7" w14:textId="77777777" w:rsidR="0042033D" w:rsidRDefault="00000000">
            <w:pPr>
              <w:spacing w:line="232" w:lineRule="auto"/>
              <w:rPr>
                <w:sz w:val="24"/>
                <w:szCs w:val="24"/>
              </w:rPr>
            </w:pPr>
            <w:r>
              <w:rPr>
                <w:sz w:val="24"/>
                <w:szCs w:val="24"/>
              </w:rPr>
              <w:t>Contrat cadre 2027, référentiel farine de poisson (1 500-2 200 $/T)</w:t>
            </w:r>
          </w:p>
        </w:tc>
      </w:tr>
      <w:tr w:rsidR="0042033D" w14:paraId="4A060A82" w14:textId="77777777">
        <w:trPr>
          <w:cantSplit/>
        </w:trPr>
        <w:tc>
          <w:tcPr>
            <w:tcW w:w="1500" w:type="pct"/>
            <w:tcMar>
              <w:top w:w="28" w:type="dxa"/>
              <w:left w:w="80" w:type="dxa"/>
              <w:bottom w:w="28" w:type="dxa"/>
              <w:right w:w="80" w:type="dxa"/>
            </w:tcMar>
            <w:vAlign w:val="center"/>
          </w:tcPr>
          <w:p w14:paraId="50A295A1" w14:textId="77777777" w:rsidR="0042033D" w:rsidRDefault="00000000">
            <w:pPr>
              <w:spacing w:line="232" w:lineRule="auto"/>
              <w:rPr>
                <w:sz w:val="24"/>
                <w:szCs w:val="24"/>
              </w:rPr>
            </w:pPr>
            <w:r>
              <w:rPr>
                <w:b/>
                <w:bCs/>
                <w:sz w:val="24"/>
                <w:szCs w:val="24"/>
              </w:rPr>
              <w:t>Taux de rétention clients</w:t>
            </w:r>
          </w:p>
        </w:tc>
        <w:tc>
          <w:tcPr>
            <w:tcW w:w="1400" w:type="pct"/>
            <w:tcMar>
              <w:top w:w="28" w:type="dxa"/>
              <w:left w:w="80" w:type="dxa"/>
              <w:bottom w:w="28" w:type="dxa"/>
              <w:right w:w="80" w:type="dxa"/>
            </w:tcMar>
            <w:vAlign w:val="center"/>
          </w:tcPr>
          <w:p w14:paraId="085312A4" w14:textId="77777777" w:rsidR="0042033D" w:rsidRDefault="00000000">
            <w:pPr>
              <w:spacing w:line="232" w:lineRule="auto"/>
              <w:rPr>
                <w:sz w:val="24"/>
                <w:szCs w:val="24"/>
              </w:rPr>
            </w:pPr>
            <w:r>
              <w:rPr>
                <w:b/>
                <w:bCs/>
                <w:sz w:val="24"/>
                <w:szCs w:val="24"/>
              </w:rPr>
              <w:t>60 %</w:t>
            </w:r>
          </w:p>
        </w:tc>
        <w:tc>
          <w:tcPr>
            <w:tcW w:w="2100" w:type="pct"/>
            <w:tcMar>
              <w:top w:w="28" w:type="dxa"/>
              <w:left w:w="80" w:type="dxa"/>
              <w:bottom w:w="28" w:type="dxa"/>
              <w:right w:w="80" w:type="dxa"/>
            </w:tcMar>
            <w:vAlign w:val="center"/>
          </w:tcPr>
          <w:p w14:paraId="75FEC630" w14:textId="77777777" w:rsidR="0042033D" w:rsidRDefault="00000000">
            <w:pPr>
              <w:spacing w:line="232" w:lineRule="auto"/>
              <w:rPr>
                <w:sz w:val="24"/>
                <w:szCs w:val="24"/>
              </w:rPr>
            </w:pPr>
            <w:r>
              <w:rPr>
                <w:sz w:val="24"/>
                <w:szCs w:val="24"/>
              </w:rPr>
              <w:t>Données internes sur 30 mois</w:t>
            </w:r>
          </w:p>
        </w:tc>
      </w:tr>
      <w:tr w:rsidR="0042033D" w14:paraId="62AE31BC" w14:textId="77777777">
        <w:trPr>
          <w:cantSplit/>
        </w:trPr>
        <w:tc>
          <w:tcPr>
            <w:tcW w:w="1500" w:type="pct"/>
            <w:tcMar>
              <w:top w:w="28" w:type="dxa"/>
              <w:left w:w="80" w:type="dxa"/>
              <w:bottom w:w="28" w:type="dxa"/>
              <w:right w:w="80" w:type="dxa"/>
            </w:tcMar>
            <w:vAlign w:val="center"/>
          </w:tcPr>
          <w:p w14:paraId="64CE0CCB" w14:textId="77777777" w:rsidR="0042033D" w:rsidRDefault="00000000">
            <w:pPr>
              <w:spacing w:line="232" w:lineRule="auto"/>
              <w:rPr>
                <w:sz w:val="24"/>
                <w:szCs w:val="24"/>
              </w:rPr>
            </w:pPr>
            <w:r>
              <w:rPr>
                <w:b/>
                <w:bCs/>
                <w:sz w:val="24"/>
                <w:szCs w:val="24"/>
              </w:rPr>
              <w:t>Panier moyen par commande</w:t>
            </w:r>
          </w:p>
        </w:tc>
        <w:tc>
          <w:tcPr>
            <w:tcW w:w="1400" w:type="pct"/>
            <w:tcMar>
              <w:top w:w="28" w:type="dxa"/>
              <w:left w:w="80" w:type="dxa"/>
              <w:bottom w:w="28" w:type="dxa"/>
              <w:right w:w="80" w:type="dxa"/>
            </w:tcMar>
            <w:vAlign w:val="center"/>
          </w:tcPr>
          <w:p w14:paraId="4FCDB358" w14:textId="77777777" w:rsidR="0042033D" w:rsidRDefault="00000000">
            <w:pPr>
              <w:spacing w:line="232" w:lineRule="auto"/>
              <w:rPr>
                <w:sz w:val="24"/>
                <w:szCs w:val="24"/>
              </w:rPr>
            </w:pPr>
            <w:r>
              <w:rPr>
                <w:b/>
                <w:bCs/>
                <w:sz w:val="24"/>
                <w:szCs w:val="24"/>
              </w:rPr>
              <w:t>FDA ≈ 1 200 $ ; B2B ≈ 450 $ ; B2C ≈ 14 $</w:t>
            </w:r>
          </w:p>
        </w:tc>
        <w:tc>
          <w:tcPr>
            <w:tcW w:w="2100" w:type="pct"/>
            <w:tcMar>
              <w:top w:w="28" w:type="dxa"/>
              <w:left w:w="80" w:type="dxa"/>
              <w:bottom w:w="28" w:type="dxa"/>
              <w:right w:w="80" w:type="dxa"/>
            </w:tcMar>
            <w:vAlign w:val="center"/>
          </w:tcPr>
          <w:p w14:paraId="21660A84" w14:textId="77777777" w:rsidR="0042033D" w:rsidRDefault="00000000">
            <w:pPr>
              <w:spacing w:line="232" w:lineRule="auto"/>
              <w:rPr>
                <w:sz w:val="24"/>
                <w:szCs w:val="24"/>
              </w:rPr>
            </w:pPr>
            <w:r>
              <w:rPr>
                <w:sz w:val="24"/>
                <w:szCs w:val="24"/>
              </w:rPr>
              <w:t>Décomposition par segment (Tableau 4 bis) ; moyenne globale indicative de 101 $</w:t>
            </w:r>
          </w:p>
        </w:tc>
      </w:tr>
      <w:tr w:rsidR="0042033D" w14:paraId="7755947F" w14:textId="77777777">
        <w:trPr>
          <w:cantSplit/>
        </w:trPr>
        <w:tc>
          <w:tcPr>
            <w:tcW w:w="1500" w:type="pct"/>
            <w:tcMar>
              <w:top w:w="28" w:type="dxa"/>
              <w:left w:w="80" w:type="dxa"/>
              <w:bottom w:w="28" w:type="dxa"/>
              <w:right w:w="80" w:type="dxa"/>
            </w:tcMar>
            <w:vAlign w:val="center"/>
          </w:tcPr>
          <w:p w14:paraId="4FB6D396" w14:textId="77777777" w:rsidR="0042033D" w:rsidRDefault="00000000">
            <w:pPr>
              <w:spacing w:line="232" w:lineRule="auto"/>
              <w:rPr>
                <w:sz w:val="24"/>
                <w:szCs w:val="24"/>
              </w:rPr>
            </w:pPr>
            <w:r>
              <w:rPr>
                <w:b/>
                <w:bCs/>
                <w:sz w:val="24"/>
                <w:szCs w:val="24"/>
              </w:rPr>
              <w:t>Valeur vie client ajustée (LTV)</w:t>
            </w:r>
          </w:p>
        </w:tc>
        <w:tc>
          <w:tcPr>
            <w:tcW w:w="1400" w:type="pct"/>
            <w:tcMar>
              <w:top w:w="28" w:type="dxa"/>
              <w:left w:w="80" w:type="dxa"/>
              <w:bottom w:w="28" w:type="dxa"/>
              <w:right w:w="80" w:type="dxa"/>
            </w:tcMar>
            <w:vAlign w:val="center"/>
          </w:tcPr>
          <w:p w14:paraId="33DFF69D" w14:textId="77777777" w:rsidR="0042033D" w:rsidRDefault="00000000">
            <w:pPr>
              <w:spacing w:line="232" w:lineRule="auto"/>
              <w:rPr>
                <w:sz w:val="24"/>
                <w:szCs w:val="24"/>
              </w:rPr>
            </w:pPr>
            <w:r>
              <w:rPr>
                <w:b/>
                <w:bCs/>
                <w:sz w:val="24"/>
                <w:szCs w:val="24"/>
              </w:rPr>
              <w:t>≈ 253 $</w:t>
            </w:r>
          </w:p>
        </w:tc>
        <w:tc>
          <w:tcPr>
            <w:tcW w:w="2100" w:type="pct"/>
            <w:tcMar>
              <w:top w:w="28" w:type="dxa"/>
              <w:left w:w="80" w:type="dxa"/>
              <w:bottom w:w="28" w:type="dxa"/>
              <w:right w:w="80" w:type="dxa"/>
            </w:tcMar>
            <w:vAlign w:val="center"/>
          </w:tcPr>
          <w:p w14:paraId="3204A5B3" w14:textId="77777777" w:rsidR="0042033D" w:rsidRDefault="00000000">
            <w:pPr>
              <w:spacing w:line="232" w:lineRule="auto"/>
              <w:rPr>
                <w:sz w:val="24"/>
                <w:szCs w:val="24"/>
              </w:rPr>
            </w:pPr>
            <w:r>
              <w:rPr>
                <w:sz w:val="24"/>
                <w:szCs w:val="24"/>
              </w:rPr>
              <w:t>101 × (1 + 0,6 + 0,36 + …) = 101 / (1 − 0,6), pondérée par la rétention</w:t>
            </w:r>
          </w:p>
        </w:tc>
      </w:tr>
      <w:tr w:rsidR="0042033D" w14:paraId="2C3BC3B5" w14:textId="77777777">
        <w:trPr>
          <w:cantSplit/>
        </w:trPr>
        <w:tc>
          <w:tcPr>
            <w:tcW w:w="1500" w:type="pct"/>
            <w:tcMar>
              <w:top w:w="28" w:type="dxa"/>
              <w:left w:w="80" w:type="dxa"/>
              <w:bottom w:w="28" w:type="dxa"/>
              <w:right w:w="80" w:type="dxa"/>
            </w:tcMar>
            <w:vAlign w:val="center"/>
          </w:tcPr>
          <w:p w14:paraId="292ECF7D" w14:textId="77777777" w:rsidR="0042033D" w:rsidRDefault="00000000">
            <w:pPr>
              <w:spacing w:line="232" w:lineRule="auto"/>
              <w:rPr>
                <w:sz w:val="24"/>
                <w:szCs w:val="24"/>
              </w:rPr>
            </w:pPr>
            <w:r>
              <w:rPr>
                <w:b/>
                <w:bCs/>
                <w:sz w:val="24"/>
                <w:szCs w:val="24"/>
              </w:rPr>
              <w:t>Coût d'acquisition client ajusté (CAC)</w:t>
            </w:r>
          </w:p>
        </w:tc>
        <w:tc>
          <w:tcPr>
            <w:tcW w:w="1400" w:type="pct"/>
            <w:tcMar>
              <w:top w:w="28" w:type="dxa"/>
              <w:left w:w="80" w:type="dxa"/>
              <w:bottom w:w="28" w:type="dxa"/>
              <w:right w:w="80" w:type="dxa"/>
            </w:tcMar>
            <w:vAlign w:val="center"/>
          </w:tcPr>
          <w:p w14:paraId="03DAB1ED" w14:textId="77777777" w:rsidR="0042033D" w:rsidRDefault="00000000">
            <w:pPr>
              <w:spacing w:line="232" w:lineRule="auto"/>
              <w:rPr>
                <w:sz w:val="24"/>
                <w:szCs w:val="24"/>
              </w:rPr>
            </w:pPr>
            <w:r>
              <w:rPr>
                <w:b/>
                <w:bCs/>
                <w:sz w:val="24"/>
                <w:szCs w:val="24"/>
              </w:rPr>
              <w:t>25 $</w:t>
            </w:r>
          </w:p>
        </w:tc>
        <w:tc>
          <w:tcPr>
            <w:tcW w:w="2100" w:type="pct"/>
            <w:tcMar>
              <w:top w:w="28" w:type="dxa"/>
              <w:left w:w="80" w:type="dxa"/>
              <w:bottom w:w="28" w:type="dxa"/>
              <w:right w:w="80" w:type="dxa"/>
            </w:tcMar>
            <w:vAlign w:val="center"/>
          </w:tcPr>
          <w:p w14:paraId="77E87775" w14:textId="77777777" w:rsidR="0042033D" w:rsidRDefault="00000000">
            <w:pPr>
              <w:spacing w:line="232" w:lineRule="auto"/>
              <w:rPr>
                <w:sz w:val="24"/>
                <w:szCs w:val="24"/>
              </w:rPr>
            </w:pPr>
            <w:r>
              <w:rPr>
                <w:sz w:val="24"/>
                <w:szCs w:val="24"/>
              </w:rPr>
              <w:t>Dépenses directes (15 $) et temps fondateur valorisé (10 $)</w:t>
            </w:r>
          </w:p>
        </w:tc>
      </w:tr>
      <w:tr w:rsidR="0042033D" w14:paraId="154938AC" w14:textId="77777777">
        <w:trPr>
          <w:cantSplit/>
        </w:trPr>
        <w:tc>
          <w:tcPr>
            <w:tcW w:w="1500" w:type="pct"/>
            <w:tcMar>
              <w:top w:w="28" w:type="dxa"/>
              <w:left w:w="80" w:type="dxa"/>
              <w:bottom w:w="28" w:type="dxa"/>
              <w:right w:w="80" w:type="dxa"/>
            </w:tcMar>
            <w:vAlign w:val="center"/>
          </w:tcPr>
          <w:p w14:paraId="0BCFC881" w14:textId="77777777" w:rsidR="0042033D" w:rsidRDefault="00000000">
            <w:pPr>
              <w:spacing w:line="232" w:lineRule="auto"/>
              <w:rPr>
                <w:sz w:val="24"/>
                <w:szCs w:val="24"/>
              </w:rPr>
            </w:pPr>
            <w:r>
              <w:rPr>
                <w:b/>
                <w:bCs/>
                <w:sz w:val="24"/>
                <w:szCs w:val="24"/>
              </w:rPr>
              <w:t>Ratio LTV / CAC ajusté</w:t>
            </w:r>
          </w:p>
        </w:tc>
        <w:tc>
          <w:tcPr>
            <w:tcW w:w="1400" w:type="pct"/>
            <w:tcMar>
              <w:top w:w="28" w:type="dxa"/>
              <w:left w:w="80" w:type="dxa"/>
              <w:bottom w:w="28" w:type="dxa"/>
              <w:right w:w="80" w:type="dxa"/>
            </w:tcMar>
            <w:vAlign w:val="center"/>
          </w:tcPr>
          <w:p w14:paraId="3D4BB6DC" w14:textId="77777777" w:rsidR="0042033D" w:rsidRDefault="00000000">
            <w:pPr>
              <w:spacing w:line="232" w:lineRule="auto"/>
              <w:rPr>
                <w:sz w:val="24"/>
                <w:szCs w:val="24"/>
              </w:rPr>
            </w:pPr>
            <w:r>
              <w:rPr>
                <w:b/>
                <w:bCs/>
                <w:sz w:val="24"/>
                <w:szCs w:val="24"/>
              </w:rPr>
              <w:t>≈ 10</w:t>
            </w:r>
          </w:p>
        </w:tc>
        <w:tc>
          <w:tcPr>
            <w:tcW w:w="2100" w:type="pct"/>
            <w:tcMar>
              <w:top w:w="28" w:type="dxa"/>
              <w:left w:w="80" w:type="dxa"/>
              <w:bottom w:w="28" w:type="dxa"/>
              <w:right w:w="80" w:type="dxa"/>
            </w:tcMar>
            <w:vAlign w:val="center"/>
          </w:tcPr>
          <w:p w14:paraId="1CB2E007" w14:textId="77777777" w:rsidR="0042033D" w:rsidRDefault="00000000">
            <w:pPr>
              <w:spacing w:line="232" w:lineRule="auto"/>
              <w:rPr>
                <w:sz w:val="24"/>
                <w:szCs w:val="24"/>
              </w:rPr>
            </w:pPr>
            <w:r>
              <w:rPr>
                <w:sz w:val="24"/>
                <w:szCs w:val="24"/>
              </w:rPr>
              <w:t>Supérieur à la médiane sectorielle de 3-5 (agro-distribution Afrique subsaharienne, IFC 2023)</w:t>
            </w:r>
          </w:p>
        </w:tc>
      </w:tr>
      <w:tr w:rsidR="0042033D" w14:paraId="6CBE3E2D" w14:textId="77777777">
        <w:trPr>
          <w:cantSplit/>
        </w:trPr>
        <w:tc>
          <w:tcPr>
            <w:tcW w:w="1500" w:type="pct"/>
            <w:tcMar>
              <w:top w:w="28" w:type="dxa"/>
              <w:left w:w="80" w:type="dxa"/>
              <w:bottom w:w="28" w:type="dxa"/>
              <w:right w:w="80" w:type="dxa"/>
            </w:tcMar>
            <w:vAlign w:val="center"/>
          </w:tcPr>
          <w:p w14:paraId="350FE6F1" w14:textId="77777777" w:rsidR="0042033D" w:rsidRDefault="00000000">
            <w:pPr>
              <w:spacing w:line="232" w:lineRule="auto"/>
              <w:rPr>
                <w:sz w:val="24"/>
                <w:szCs w:val="24"/>
              </w:rPr>
            </w:pPr>
            <w:r>
              <w:rPr>
                <w:b/>
                <w:bCs/>
                <w:sz w:val="24"/>
                <w:szCs w:val="24"/>
              </w:rPr>
              <w:t>Mix de revenus 2027</w:t>
            </w:r>
          </w:p>
        </w:tc>
        <w:tc>
          <w:tcPr>
            <w:tcW w:w="1400" w:type="pct"/>
            <w:tcMar>
              <w:top w:w="28" w:type="dxa"/>
              <w:left w:w="80" w:type="dxa"/>
              <w:bottom w:w="28" w:type="dxa"/>
              <w:right w:w="80" w:type="dxa"/>
            </w:tcMar>
            <w:vAlign w:val="center"/>
          </w:tcPr>
          <w:p w14:paraId="3E1B77D4" w14:textId="77777777" w:rsidR="0042033D" w:rsidRDefault="00000000">
            <w:pPr>
              <w:spacing w:line="232" w:lineRule="auto"/>
              <w:rPr>
                <w:sz w:val="24"/>
                <w:szCs w:val="24"/>
              </w:rPr>
            </w:pPr>
            <w:r>
              <w:rPr>
                <w:b/>
                <w:bCs/>
                <w:sz w:val="24"/>
                <w:szCs w:val="24"/>
              </w:rPr>
              <w:t>40 à 45 % hors FDA (42 % retenu)</w:t>
            </w:r>
          </w:p>
        </w:tc>
        <w:tc>
          <w:tcPr>
            <w:tcW w:w="2100" w:type="pct"/>
            <w:tcMar>
              <w:top w:w="28" w:type="dxa"/>
              <w:left w:w="80" w:type="dxa"/>
              <w:bottom w:w="28" w:type="dxa"/>
              <w:right w:w="80" w:type="dxa"/>
            </w:tcMar>
            <w:vAlign w:val="center"/>
          </w:tcPr>
          <w:p w14:paraId="3ED0D669" w14:textId="77777777" w:rsidR="0042033D" w:rsidRDefault="00000000">
            <w:pPr>
              <w:spacing w:line="232" w:lineRule="auto"/>
              <w:rPr>
                <w:sz w:val="24"/>
                <w:szCs w:val="24"/>
              </w:rPr>
            </w:pPr>
            <w:r>
              <w:rPr>
                <w:sz w:val="24"/>
                <w:szCs w:val="24"/>
              </w:rPr>
              <w:t>Objectif de diversification accélérée (pipeline B2B + réseau revendeurs + protéines)</w:t>
            </w:r>
          </w:p>
        </w:tc>
      </w:tr>
      <w:tr w:rsidR="0042033D" w14:paraId="7E72DD17" w14:textId="77777777">
        <w:trPr>
          <w:cantSplit/>
        </w:trPr>
        <w:tc>
          <w:tcPr>
            <w:tcW w:w="1500" w:type="pct"/>
            <w:tcMar>
              <w:top w:w="28" w:type="dxa"/>
              <w:left w:w="80" w:type="dxa"/>
              <w:bottom w:w="28" w:type="dxa"/>
              <w:right w:w="80" w:type="dxa"/>
            </w:tcMar>
            <w:vAlign w:val="center"/>
          </w:tcPr>
          <w:p w14:paraId="596441DA" w14:textId="77777777" w:rsidR="0042033D" w:rsidRDefault="00000000">
            <w:pPr>
              <w:spacing w:line="232" w:lineRule="auto"/>
              <w:rPr>
                <w:sz w:val="24"/>
                <w:szCs w:val="24"/>
              </w:rPr>
            </w:pPr>
            <w:r>
              <w:rPr>
                <w:b/>
                <w:bCs/>
                <w:sz w:val="24"/>
                <w:szCs w:val="24"/>
              </w:rPr>
              <w:t>Mix de revenus 2030</w:t>
            </w:r>
          </w:p>
        </w:tc>
        <w:tc>
          <w:tcPr>
            <w:tcW w:w="1400" w:type="pct"/>
            <w:tcMar>
              <w:top w:w="28" w:type="dxa"/>
              <w:left w:w="80" w:type="dxa"/>
              <w:bottom w:w="28" w:type="dxa"/>
              <w:right w:w="80" w:type="dxa"/>
            </w:tcMar>
            <w:vAlign w:val="center"/>
          </w:tcPr>
          <w:p w14:paraId="763F2B9F" w14:textId="77777777" w:rsidR="0042033D" w:rsidRDefault="00000000">
            <w:pPr>
              <w:spacing w:line="232" w:lineRule="auto"/>
              <w:rPr>
                <w:sz w:val="24"/>
                <w:szCs w:val="24"/>
              </w:rPr>
            </w:pPr>
            <w:r>
              <w:rPr>
                <w:b/>
                <w:bCs/>
                <w:sz w:val="24"/>
                <w:szCs w:val="24"/>
              </w:rPr>
              <w:t>≈ 54 % hors FDA (hors export)</w:t>
            </w:r>
          </w:p>
        </w:tc>
        <w:tc>
          <w:tcPr>
            <w:tcW w:w="2100" w:type="pct"/>
            <w:tcMar>
              <w:top w:w="28" w:type="dxa"/>
              <w:left w:w="80" w:type="dxa"/>
              <w:bottom w:w="28" w:type="dxa"/>
              <w:right w:w="80" w:type="dxa"/>
            </w:tcMar>
            <w:vAlign w:val="center"/>
          </w:tcPr>
          <w:p w14:paraId="70797463" w14:textId="77777777" w:rsidR="0042033D" w:rsidRDefault="00000000">
            <w:pPr>
              <w:spacing w:line="232" w:lineRule="auto"/>
              <w:rPr>
                <w:sz w:val="24"/>
                <w:szCs w:val="24"/>
              </w:rPr>
            </w:pPr>
            <w:r>
              <w:rPr>
                <w:sz w:val="24"/>
                <w:szCs w:val="24"/>
              </w:rPr>
              <w:t>Trajectoire de long terme, scénario central domestique</w:t>
            </w:r>
          </w:p>
        </w:tc>
      </w:tr>
      <w:tr w:rsidR="0042033D" w14:paraId="678627B9" w14:textId="77777777">
        <w:tc>
          <w:tcPr>
            <w:tcW w:w="2746" w:type="dxa"/>
          </w:tcPr>
          <w:p w14:paraId="1798C78D" w14:textId="77777777" w:rsidR="0042033D" w:rsidRDefault="00000000">
            <w:r>
              <w:t>Progression annuelle des prix dans le modèle</w:t>
            </w:r>
          </w:p>
        </w:tc>
        <w:tc>
          <w:tcPr>
            <w:tcW w:w="2564" w:type="dxa"/>
          </w:tcPr>
          <w:p w14:paraId="5B2C1A01" w14:textId="77777777" w:rsidR="0042033D" w:rsidRDefault="00000000">
            <w:r>
              <w:t>+5 % / an à partir de 2027</w:t>
            </w:r>
          </w:p>
        </w:tc>
        <w:tc>
          <w:tcPr>
            <w:tcW w:w="3846" w:type="dxa"/>
          </w:tcPr>
          <w:p w14:paraId="45EE7187" w14:textId="77777777" w:rsidR="0042033D" w:rsidRDefault="00000000">
            <w:r>
              <w:t>Appliquée aux références 2026 pour relier le CA à des volumes compatibles avec les capacités 2027-2030</w:t>
            </w:r>
          </w:p>
        </w:tc>
      </w:tr>
    </w:tbl>
    <w:p w14:paraId="20AEE2B0" w14:textId="77777777" w:rsidR="0042033D" w:rsidRDefault="00000000">
      <w:pPr>
        <w:pStyle w:val="Heading2"/>
        <w:spacing w:before="150" w:after="60"/>
        <w:rPr>
          <w:rFonts w:ascii="Times New Roman" w:hAnsi="Times New Roman"/>
        </w:rPr>
      </w:pPr>
      <w:bookmarkStart w:id="100" w:name="_Toc100100"/>
      <w:r>
        <w:rPr>
          <w:rFonts w:ascii="Times New Roman" w:hAnsi="Times New Roman"/>
        </w:rPr>
        <w:t>22.3 Hypothèses macroéconomiques et financières</w:t>
      </w:r>
      <w:bookmarkEnd w:id="100"/>
    </w:p>
    <w:p w14:paraId="703B44CA" w14:textId="77777777" w:rsidR="0042033D" w:rsidRDefault="00000000">
      <w:pPr>
        <w:keepNext/>
        <w:spacing w:before="140" w:after="50" w:line="260" w:lineRule="auto"/>
        <w:rPr>
          <w:sz w:val="24"/>
          <w:szCs w:val="24"/>
        </w:rPr>
      </w:pPr>
      <w:r>
        <w:rPr>
          <w:rFonts w:eastAsia="Arial"/>
          <w:b/>
          <w:bCs/>
          <w:color w:val="1A2330"/>
          <w:sz w:val="24"/>
          <w:szCs w:val="24"/>
        </w:rPr>
        <w:t>Tableau 20 — Hypothèses macroéconomiques et financières</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746"/>
        <w:gridCol w:w="2564"/>
        <w:gridCol w:w="3846"/>
      </w:tblGrid>
      <w:tr w:rsidR="0042033D" w14:paraId="52BD574B" w14:textId="77777777">
        <w:trPr>
          <w:cantSplit/>
          <w:tblHeader/>
        </w:trPr>
        <w:tc>
          <w:tcPr>
            <w:tcW w:w="1500" w:type="pct"/>
            <w:shd w:val="clear" w:color="auto" w:fill="D4875A"/>
            <w:tcMar>
              <w:top w:w="36" w:type="dxa"/>
              <w:left w:w="80" w:type="dxa"/>
              <w:bottom w:w="36" w:type="dxa"/>
              <w:right w:w="80" w:type="dxa"/>
            </w:tcMar>
            <w:vAlign w:val="center"/>
          </w:tcPr>
          <w:p w14:paraId="2CCAE4D5" w14:textId="77777777" w:rsidR="0042033D" w:rsidRDefault="00000000">
            <w:pPr>
              <w:spacing w:line="232" w:lineRule="auto"/>
              <w:jc w:val="center"/>
              <w:rPr>
                <w:sz w:val="24"/>
                <w:szCs w:val="24"/>
              </w:rPr>
            </w:pPr>
            <w:r>
              <w:rPr>
                <w:b/>
                <w:bCs/>
                <w:color w:val="FFFFFF"/>
                <w:sz w:val="24"/>
                <w:szCs w:val="24"/>
              </w:rPr>
              <w:t>Hypothèse</w:t>
            </w:r>
          </w:p>
        </w:tc>
        <w:tc>
          <w:tcPr>
            <w:tcW w:w="1400" w:type="pct"/>
            <w:shd w:val="clear" w:color="auto" w:fill="D4875A"/>
            <w:tcMar>
              <w:top w:w="36" w:type="dxa"/>
              <w:left w:w="80" w:type="dxa"/>
              <w:bottom w:w="36" w:type="dxa"/>
              <w:right w:w="80" w:type="dxa"/>
            </w:tcMar>
            <w:vAlign w:val="center"/>
          </w:tcPr>
          <w:p w14:paraId="7EB98522" w14:textId="77777777" w:rsidR="0042033D" w:rsidRDefault="00000000">
            <w:pPr>
              <w:spacing w:line="232" w:lineRule="auto"/>
              <w:jc w:val="center"/>
              <w:rPr>
                <w:sz w:val="24"/>
                <w:szCs w:val="24"/>
              </w:rPr>
            </w:pPr>
            <w:r>
              <w:rPr>
                <w:b/>
                <w:bCs/>
                <w:color w:val="FFFFFF"/>
                <w:sz w:val="24"/>
                <w:szCs w:val="24"/>
              </w:rPr>
              <w:t>Valeur retenue</w:t>
            </w:r>
          </w:p>
        </w:tc>
        <w:tc>
          <w:tcPr>
            <w:tcW w:w="2100" w:type="pct"/>
            <w:shd w:val="clear" w:color="auto" w:fill="D4875A"/>
            <w:tcMar>
              <w:top w:w="36" w:type="dxa"/>
              <w:left w:w="80" w:type="dxa"/>
              <w:bottom w:w="36" w:type="dxa"/>
              <w:right w:w="80" w:type="dxa"/>
            </w:tcMar>
            <w:vAlign w:val="center"/>
          </w:tcPr>
          <w:p w14:paraId="2E356DAD" w14:textId="77777777" w:rsidR="0042033D" w:rsidRDefault="00000000">
            <w:pPr>
              <w:spacing w:line="232" w:lineRule="auto"/>
              <w:jc w:val="center"/>
              <w:rPr>
                <w:sz w:val="24"/>
                <w:szCs w:val="24"/>
              </w:rPr>
            </w:pPr>
            <w:r>
              <w:rPr>
                <w:b/>
                <w:bCs/>
                <w:color w:val="FFFFFF"/>
                <w:sz w:val="24"/>
                <w:szCs w:val="24"/>
              </w:rPr>
              <w:t>Source / justification</w:t>
            </w:r>
          </w:p>
        </w:tc>
      </w:tr>
      <w:tr w:rsidR="0042033D" w14:paraId="4611040F" w14:textId="77777777">
        <w:trPr>
          <w:cantSplit/>
        </w:trPr>
        <w:tc>
          <w:tcPr>
            <w:tcW w:w="1500" w:type="pct"/>
            <w:tcMar>
              <w:top w:w="28" w:type="dxa"/>
              <w:left w:w="80" w:type="dxa"/>
              <w:bottom w:w="28" w:type="dxa"/>
              <w:right w:w="80" w:type="dxa"/>
            </w:tcMar>
            <w:vAlign w:val="center"/>
          </w:tcPr>
          <w:p w14:paraId="44CAC318" w14:textId="77777777" w:rsidR="0042033D" w:rsidRDefault="00000000">
            <w:pPr>
              <w:spacing w:line="232" w:lineRule="auto"/>
              <w:rPr>
                <w:sz w:val="24"/>
                <w:szCs w:val="24"/>
              </w:rPr>
            </w:pPr>
            <w:r>
              <w:rPr>
                <w:b/>
                <w:bCs/>
                <w:sz w:val="24"/>
                <w:szCs w:val="24"/>
              </w:rPr>
              <w:t>Taux de change MGA/$</w:t>
            </w:r>
          </w:p>
        </w:tc>
        <w:tc>
          <w:tcPr>
            <w:tcW w:w="1400" w:type="pct"/>
            <w:tcMar>
              <w:top w:w="28" w:type="dxa"/>
              <w:left w:w="80" w:type="dxa"/>
              <w:bottom w:w="28" w:type="dxa"/>
              <w:right w:w="80" w:type="dxa"/>
            </w:tcMar>
            <w:vAlign w:val="center"/>
          </w:tcPr>
          <w:p w14:paraId="31AB4A4F" w14:textId="77777777" w:rsidR="0042033D" w:rsidRDefault="00000000">
            <w:pPr>
              <w:spacing w:line="232" w:lineRule="auto"/>
              <w:rPr>
                <w:sz w:val="24"/>
                <w:szCs w:val="24"/>
              </w:rPr>
            </w:pPr>
            <w:r>
              <w:rPr>
                <w:b/>
                <w:bCs/>
                <w:sz w:val="24"/>
                <w:szCs w:val="24"/>
              </w:rPr>
              <w:t>4 500</w:t>
            </w:r>
          </w:p>
        </w:tc>
        <w:tc>
          <w:tcPr>
            <w:tcW w:w="2100" w:type="pct"/>
            <w:tcMar>
              <w:top w:w="28" w:type="dxa"/>
              <w:left w:w="80" w:type="dxa"/>
              <w:bottom w:w="28" w:type="dxa"/>
              <w:right w:w="80" w:type="dxa"/>
            </w:tcMar>
            <w:vAlign w:val="center"/>
          </w:tcPr>
          <w:p w14:paraId="134E8355" w14:textId="77777777" w:rsidR="0042033D" w:rsidRDefault="00000000">
            <w:pPr>
              <w:spacing w:line="232" w:lineRule="auto"/>
              <w:rPr>
                <w:sz w:val="24"/>
                <w:szCs w:val="24"/>
              </w:rPr>
            </w:pPr>
            <w:r>
              <w:rPr>
                <w:sz w:val="24"/>
                <w:szCs w:val="24"/>
              </w:rPr>
              <w:t>Taux moyen observé 2024-2025</w:t>
            </w:r>
          </w:p>
        </w:tc>
      </w:tr>
      <w:tr w:rsidR="0042033D" w14:paraId="2B6BE8C2" w14:textId="77777777">
        <w:trPr>
          <w:cantSplit/>
        </w:trPr>
        <w:tc>
          <w:tcPr>
            <w:tcW w:w="1500" w:type="pct"/>
            <w:tcMar>
              <w:top w:w="28" w:type="dxa"/>
              <w:left w:w="80" w:type="dxa"/>
              <w:bottom w:w="28" w:type="dxa"/>
              <w:right w:w="80" w:type="dxa"/>
            </w:tcMar>
            <w:vAlign w:val="center"/>
          </w:tcPr>
          <w:p w14:paraId="15D5856C" w14:textId="77777777" w:rsidR="0042033D" w:rsidRDefault="00000000">
            <w:pPr>
              <w:spacing w:line="232" w:lineRule="auto"/>
              <w:rPr>
                <w:sz w:val="24"/>
                <w:szCs w:val="24"/>
              </w:rPr>
            </w:pPr>
            <w:r>
              <w:rPr>
                <w:b/>
                <w:bCs/>
                <w:sz w:val="24"/>
                <w:szCs w:val="24"/>
              </w:rPr>
              <w:t>Taux d'inflation annuel</w:t>
            </w:r>
          </w:p>
        </w:tc>
        <w:tc>
          <w:tcPr>
            <w:tcW w:w="1400" w:type="pct"/>
            <w:tcMar>
              <w:top w:w="28" w:type="dxa"/>
              <w:left w:w="80" w:type="dxa"/>
              <w:bottom w:w="28" w:type="dxa"/>
              <w:right w:w="80" w:type="dxa"/>
            </w:tcMar>
            <w:vAlign w:val="center"/>
          </w:tcPr>
          <w:p w14:paraId="3B6C4F22" w14:textId="77777777" w:rsidR="0042033D" w:rsidRDefault="00000000">
            <w:pPr>
              <w:spacing w:line="232" w:lineRule="auto"/>
              <w:rPr>
                <w:sz w:val="24"/>
                <w:szCs w:val="24"/>
              </w:rPr>
            </w:pPr>
            <w:r>
              <w:rPr>
                <w:b/>
                <w:bCs/>
                <w:sz w:val="24"/>
                <w:szCs w:val="24"/>
              </w:rPr>
              <w:t>7 %</w:t>
            </w:r>
          </w:p>
        </w:tc>
        <w:tc>
          <w:tcPr>
            <w:tcW w:w="2100" w:type="pct"/>
            <w:tcMar>
              <w:top w:w="28" w:type="dxa"/>
              <w:left w:w="80" w:type="dxa"/>
              <w:bottom w:w="28" w:type="dxa"/>
              <w:right w:w="80" w:type="dxa"/>
            </w:tcMar>
            <w:vAlign w:val="center"/>
          </w:tcPr>
          <w:p w14:paraId="4524AF75" w14:textId="77777777" w:rsidR="0042033D" w:rsidRDefault="00000000">
            <w:pPr>
              <w:spacing w:line="232" w:lineRule="auto"/>
              <w:rPr>
                <w:sz w:val="24"/>
                <w:szCs w:val="24"/>
              </w:rPr>
            </w:pPr>
            <w:r>
              <w:rPr>
                <w:sz w:val="24"/>
                <w:szCs w:val="24"/>
              </w:rPr>
              <w:t>Banque Centrale de Madagascar (BFM)</w:t>
            </w:r>
          </w:p>
        </w:tc>
      </w:tr>
      <w:tr w:rsidR="0042033D" w14:paraId="40A0AD8D" w14:textId="77777777">
        <w:trPr>
          <w:cantSplit/>
        </w:trPr>
        <w:tc>
          <w:tcPr>
            <w:tcW w:w="1500" w:type="pct"/>
            <w:tcMar>
              <w:top w:w="28" w:type="dxa"/>
              <w:left w:w="80" w:type="dxa"/>
              <w:bottom w:w="28" w:type="dxa"/>
              <w:right w:w="80" w:type="dxa"/>
            </w:tcMar>
            <w:vAlign w:val="center"/>
          </w:tcPr>
          <w:p w14:paraId="65CD185E" w14:textId="77777777" w:rsidR="0042033D" w:rsidRDefault="00000000">
            <w:pPr>
              <w:spacing w:line="232" w:lineRule="auto"/>
              <w:rPr>
                <w:sz w:val="24"/>
                <w:szCs w:val="24"/>
              </w:rPr>
            </w:pPr>
            <w:r>
              <w:rPr>
                <w:b/>
                <w:bCs/>
                <w:sz w:val="24"/>
                <w:szCs w:val="24"/>
              </w:rPr>
              <w:t>Taux d'imposition</w:t>
            </w:r>
          </w:p>
        </w:tc>
        <w:tc>
          <w:tcPr>
            <w:tcW w:w="1400" w:type="pct"/>
            <w:tcMar>
              <w:top w:w="28" w:type="dxa"/>
              <w:left w:w="80" w:type="dxa"/>
              <w:bottom w:w="28" w:type="dxa"/>
              <w:right w:w="80" w:type="dxa"/>
            </w:tcMar>
            <w:vAlign w:val="center"/>
          </w:tcPr>
          <w:p w14:paraId="082CA957" w14:textId="77777777" w:rsidR="0042033D" w:rsidRDefault="00000000">
            <w:pPr>
              <w:spacing w:line="232" w:lineRule="auto"/>
              <w:rPr>
                <w:sz w:val="24"/>
                <w:szCs w:val="24"/>
              </w:rPr>
            </w:pPr>
            <w:r>
              <w:rPr>
                <w:b/>
                <w:bCs/>
                <w:sz w:val="24"/>
                <w:szCs w:val="24"/>
              </w:rPr>
              <w:t>IS 20 % dès publication SARL</w:t>
            </w:r>
          </w:p>
        </w:tc>
        <w:tc>
          <w:tcPr>
            <w:tcW w:w="2100" w:type="pct"/>
            <w:tcMar>
              <w:top w:w="28" w:type="dxa"/>
              <w:left w:w="80" w:type="dxa"/>
              <w:bottom w:w="28" w:type="dxa"/>
              <w:right w:w="80" w:type="dxa"/>
            </w:tcMar>
            <w:vAlign w:val="center"/>
          </w:tcPr>
          <w:p w14:paraId="34692441" w14:textId="77777777" w:rsidR="0042033D" w:rsidRDefault="00000000">
            <w:pPr>
              <w:spacing w:line="232" w:lineRule="auto"/>
              <w:rPr>
                <w:sz w:val="24"/>
                <w:szCs w:val="24"/>
              </w:rPr>
            </w:pPr>
            <w:r>
              <w:rPr>
                <w:sz w:val="24"/>
                <w:szCs w:val="24"/>
              </w:rPr>
              <w:t>Code général des impôts de Madagascar ; exercices antérieurs sous régime personnel de l'EI, provisions pour contributions minimales incluses</w:t>
            </w:r>
          </w:p>
        </w:tc>
      </w:tr>
      <w:tr w:rsidR="0042033D" w14:paraId="4A9662AE" w14:textId="77777777">
        <w:trPr>
          <w:cantSplit/>
        </w:trPr>
        <w:tc>
          <w:tcPr>
            <w:tcW w:w="1500" w:type="pct"/>
            <w:tcMar>
              <w:top w:w="28" w:type="dxa"/>
              <w:left w:w="80" w:type="dxa"/>
              <w:bottom w:w="28" w:type="dxa"/>
              <w:right w:w="80" w:type="dxa"/>
            </w:tcMar>
            <w:vAlign w:val="center"/>
          </w:tcPr>
          <w:p w14:paraId="6F2ECF30" w14:textId="77777777" w:rsidR="0042033D" w:rsidRDefault="00000000">
            <w:pPr>
              <w:spacing w:line="232" w:lineRule="auto"/>
              <w:rPr>
                <w:sz w:val="24"/>
                <w:szCs w:val="24"/>
              </w:rPr>
            </w:pPr>
            <w:r>
              <w:rPr>
                <w:b/>
                <w:bCs/>
                <w:sz w:val="24"/>
                <w:szCs w:val="24"/>
              </w:rPr>
              <w:t>Méthode d'amortissement</w:t>
            </w:r>
          </w:p>
        </w:tc>
        <w:tc>
          <w:tcPr>
            <w:tcW w:w="1400" w:type="pct"/>
            <w:tcMar>
              <w:top w:w="28" w:type="dxa"/>
              <w:left w:w="80" w:type="dxa"/>
              <w:bottom w:w="28" w:type="dxa"/>
              <w:right w:w="80" w:type="dxa"/>
            </w:tcMar>
            <w:vAlign w:val="center"/>
          </w:tcPr>
          <w:p w14:paraId="71CF63E3" w14:textId="77777777" w:rsidR="0042033D" w:rsidRDefault="00000000">
            <w:pPr>
              <w:spacing w:line="232" w:lineRule="auto"/>
              <w:rPr>
                <w:sz w:val="24"/>
                <w:szCs w:val="24"/>
              </w:rPr>
            </w:pPr>
            <w:r>
              <w:rPr>
                <w:b/>
                <w:bCs/>
                <w:sz w:val="24"/>
                <w:szCs w:val="24"/>
              </w:rPr>
              <w:t>Linéaire</w:t>
            </w:r>
          </w:p>
        </w:tc>
        <w:tc>
          <w:tcPr>
            <w:tcW w:w="2100" w:type="pct"/>
            <w:tcMar>
              <w:top w:w="28" w:type="dxa"/>
              <w:left w:w="80" w:type="dxa"/>
              <w:bottom w:w="28" w:type="dxa"/>
              <w:right w:w="80" w:type="dxa"/>
            </w:tcMar>
            <w:vAlign w:val="center"/>
          </w:tcPr>
          <w:p w14:paraId="3C37FA9E" w14:textId="77777777" w:rsidR="0042033D" w:rsidRDefault="00000000">
            <w:pPr>
              <w:spacing w:line="232" w:lineRule="auto"/>
              <w:rPr>
                <w:sz w:val="24"/>
                <w:szCs w:val="24"/>
              </w:rPr>
            </w:pPr>
            <w:r>
              <w:rPr>
                <w:sz w:val="24"/>
                <w:szCs w:val="24"/>
              </w:rPr>
              <w:t>Référentiel comptable malgache</w:t>
            </w:r>
          </w:p>
        </w:tc>
      </w:tr>
      <w:tr w:rsidR="0042033D" w14:paraId="4444B524" w14:textId="77777777">
        <w:trPr>
          <w:cantSplit/>
        </w:trPr>
        <w:tc>
          <w:tcPr>
            <w:tcW w:w="1500" w:type="pct"/>
            <w:tcMar>
              <w:top w:w="28" w:type="dxa"/>
              <w:left w:w="80" w:type="dxa"/>
              <w:bottom w:w="28" w:type="dxa"/>
              <w:right w:w="80" w:type="dxa"/>
            </w:tcMar>
            <w:vAlign w:val="center"/>
          </w:tcPr>
          <w:p w14:paraId="06547A8A" w14:textId="77777777" w:rsidR="0042033D" w:rsidRDefault="00000000">
            <w:pPr>
              <w:spacing w:line="232" w:lineRule="auto"/>
              <w:rPr>
                <w:sz w:val="24"/>
                <w:szCs w:val="24"/>
              </w:rPr>
            </w:pPr>
            <w:r>
              <w:rPr>
                <w:b/>
                <w:bCs/>
                <w:sz w:val="24"/>
                <w:szCs w:val="24"/>
              </w:rPr>
              <w:t>Taux d'actualisation (WACC)</w:t>
            </w:r>
          </w:p>
        </w:tc>
        <w:tc>
          <w:tcPr>
            <w:tcW w:w="1400" w:type="pct"/>
            <w:tcMar>
              <w:top w:w="28" w:type="dxa"/>
              <w:left w:w="80" w:type="dxa"/>
              <w:bottom w:w="28" w:type="dxa"/>
              <w:right w:w="80" w:type="dxa"/>
            </w:tcMar>
            <w:vAlign w:val="center"/>
          </w:tcPr>
          <w:p w14:paraId="71EDC4FD" w14:textId="77777777" w:rsidR="0042033D" w:rsidRDefault="00000000">
            <w:pPr>
              <w:spacing w:line="232" w:lineRule="auto"/>
              <w:rPr>
                <w:sz w:val="24"/>
                <w:szCs w:val="24"/>
              </w:rPr>
            </w:pPr>
            <w:r>
              <w:rPr>
                <w:b/>
                <w:bCs/>
                <w:sz w:val="24"/>
                <w:szCs w:val="24"/>
              </w:rPr>
              <w:t>12 %</w:t>
            </w:r>
          </w:p>
        </w:tc>
        <w:tc>
          <w:tcPr>
            <w:tcW w:w="2100" w:type="pct"/>
            <w:tcMar>
              <w:top w:w="28" w:type="dxa"/>
              <w:left w:w="80" w:type="dxa"/>
              <w:bottom w:w="28" w:type="dxa"/>
              <w:right w:w="80" w:type="dxa"/>
            </w:tcMar>
            <w:vAlign w:val="center"/>
          </w:tcPr>
          <w:p w14:paraId="49AB1B57" w14:textId="77777777" w:rsidR="0042033D" w:rsidRDefault="00000000">
            <w:pPr>
              <w:spacing w:line="232" w:lineRule="auto"/>
              <w:rPr>
                <w:sz w:val="24"/>
                <w:szCs w:val="24"/>
              </w:rPr>
            </w:pPr>
            <w:r>
              <w:rPr>
                <w:sz w:val="24"/>
                <w:szCs w:val="24"/>
              </w:rPr>
              <w:t>Standard des marchés émergents agro-industriels</w:t>
            </w:r>
          </w:p>
        </w:tc>
      </w:tr>
      <w:tr w:rsidR="0042033D" w14:paraId="2614250E" w14:textId="77777777">
        <w:trPr>
          <w:cantSplit/>
        </w:trPr>
        <w:tc>
          <w:tcPr>
            <w:tcW w:w="1500" w:type="pct"/>
            <w:tcMar>
              <w:top w:w="28" w:type="dxa"/>
              <w:left w:w="80" w:type="dxa"/>
              <w:bottom w:w="28" w:type="dxa"/>
              <w:right w:w="80" w:type="dxa"/>
            </w:tcMar>
            <w:vAlign w:val="center"/>
          </w:tcPr>
          <w:p w14:paraId="1AE60C6F" w14:textId="77777777" w:rsidR="0042033D" w:rsidRDefault="00000000">
            <w:pPr>
              <w:spacing w:line="232" w:lineRule="auto"/>
              <w:rPr>
                <w:sz w:val="24"/>
                <w:szCs w:val="24"/>
              </w:rPr>
            </w:pPr>
            <w:r>
              <w:rPr>
                <w:b/>
                <w:bCs/>
                <w:sz w:val="24"/>
                <w:szCs w:val="24"/>
              </w:rPr>
              <w:t>Croissance du tarif énergie / des salaires</w:t>
            </w:r>
          </w:p>
        </w:tc>
        <w:tc>
          <w:tcPr>
            <w:tcW w:w="1400" w:type="pct"/>
            <w:tcMar>
              <w:top w:w="28" w:type="dxa"/>
              <w:left w:w="80" w:type="dxa"/>
              <w:bottom w:w="28" w:type="dxa"/>
              <w:right w:w="80" w:type="dxa"/>
            </w:tcMar>
            <w:vAlign w:val="center"/>
          </w:tcPr>
          <w:p w14:paraId="0677B673" w14:textId="77777777" w:rsidR="0042033D" w:rsidRDefault="00000000">
            <w:pPr>
              <w:spacing w:line="232" w:lineRule="auto"/>
              <w:rPr>
                <w:sz w:val="24"/>
                <w:szCs w:val="24"/>
              </w:rPr>
            </w:pPr>
            <w:r>
              <w:rPr>
                <w:b/>
                <w:bCs/>
                <w:sz w:val="24"/>
                <w:szCs w:val="24"/>
              </w:rPr>
              <w:t>+6 % / +8 % par an</w:t>
            </w:r>
          </w:p>
        </w:tc>
        <w:tc>
          <w:tcPr>
            <w:tcW w:w="2100" w:type="pct"/>
            <w:tcMar>
              <w:top w:w="28" w:type="dxa"/>
              <w:left w:w="80" w:type="dxa"/>
              <w:bottom w:w="28" w:type="dxa"/>
              <w:right w:w="80" w:type="dxa"/>
            </w:tcMar>
            <w:vAlign w:val="center"/>
          </w:tcPr>
          <w:p w14:paraId="399F0F21" w14:textId="77777777" w:rsidR="0042033D" w:rsidRDefault="00000000">
            <w:pPr>
              <w:spacing w:line="232" w:lineRule="auto"/>
              <w:rPr>
                <w:sz w:val="24"/>
                <w:szCs w:val="24"/>
              </w:rPr>
            </w:pPr>
            <w:r>
              <w:rPr>
                <w:sz w:val="24"/>
                <w:szCs w:val="24"/>
              </w:rPr>
              <w:t>Observations JIRAMA 2020-2025 ; observations CNAPS Madagascar</w:t>
            </w:r>
          </w:p>
        </w:tc>
      </w:tr>
      <w:tr w:rsidR="0042033D" w14:paraId="18845EB7" w14:textId="77777777">
        <w:trPr>
          <w:cantSplit/>
        </w:trPr>
        <w:tc>
          <w:tcPr>
            <w:tcW w:w="1500" w:type="pct"/>
            <w:tcMar>
              <w:top w:w="28" w:type="dxa"/>
              <w:left w:w="80" w:type="dxa"/>
              <w:bottom w:w="28" w:type="dxa"/>
              <w:right w:w="80" w:type="dxa"/>
            </w:tcMar>
            <w:vAlign w:val="center"/>
          </w:tcPr>
          <w:p w14:paraId="6DDE492C" w14:textId="77777777" w:rsidR="0042033D" w:rsidRDefault="00000000">
            <w:pPr>
              <w:spacing w:line="232" w:lineRule="auto"/>
              <w:rPr>
                <w:sz w:val="24"/>
                <w:szCs w:val="24"/>
              </w:rPr>
            </w:pPr>
            <w:r>
              <w:rPr>
                <w:b/>
                <w:bCs/>
                <w:sz w:val="24"/>
                <w:szCs w:val="24"/>
              </w:rPr>
              <w:lastRenderedPageBreak/>
              <w:t>Croissance du prix du frass / des larves séchées</w:t>
            </w:r>
          </w:p>
        </w:tc>
        <w:tc>
          <w:tcPr>
            <w:tcW w:w="1400" w:type="pct"/>
            <w:tcMar>
              <w:top w:w="28" w:type="dxa"/>
              <w:left w:w="80" w:type="dxa"/>
              <w:bottom w:w="28" w:type="dxa"/>
              <w:right w:w="80" w:type="dxa"/>
            </w:tcMar>
            <w:vAlign w:val="center"/>
          </w:tcPr>
          <w:p w14:paraId="03AA1AF1" w14:textId="77777777" w:rsidR="0042033D" w:rsidRDefault="00000000">
            <w:pPr>
              <w:spacing w:line="232" w:lineRule="auto"/>
              <w:rPr>
                <w:sz w:val="24"/>
                <w:szCs w:val="24"/>
              </w:rPr>
            </w:pPr>
            <w:r>
              <w:rPr>
                <w:b/>
                <w:bCs/>
                <w:sz w:val="24"/>
                <w:szCs w:val="24"/>
              </w:rPr>
              <w:t>+5 % / +8 % par an</w:t>
            </w:r>
          </w:p>
        </w:tc>
        <w:tc>
          <w:tcPr>
            <w:tcW w:w="2100" w:type="pct"/>
            <w:tcMar>
              <w:top w:w="28" w:type="dxa"/>
              <w:left w:w="80" w:type="dxa"/>
              <w:bottom w:w="28" w:type="dxa"/>
              <w:right w:w="80" w:type="dxa"/>
            </w:tcMar>
            <w:vAlign w:val="center"/>
          </w:tcPr>
          <w:p w14:paraId="2FD85011" w14:textId="77777777" w:rsidR="0042033D" w:rsidRDefault="00000000">
            <w:pPr>
              <w:spacing w:line="232" w:lineRule="auto"/>
              <w:rPr>
                <w:sz w:val="24"/>
                <w:szCs w:val="24"/>
              </w:rPr>
            </w:pPr>
            <w:r>
              <w:rPr>
                <w:sz w:val="24"/>
                <w:szCs w:val="24"/>
              </w:rPr>
              <w:t>Valorisation biologique croissante ; tension structurelle du marché de la farine de poisson</w:t>
            </w:r>
          </w:p>
        </w:tc>
      </w:tr>
      <w:tr w:rsidR="0042033D" w14:paraId="050EA036" w14:textId="77777777">
        <w:trPr>
          <w:cantSplit/>
        </w:trPr>
        <w:tc>
          <w:tcPr>
            <w:tcW w:w="1500" w:type="pct"/>
            <w:tcMar>
              <w:top w:w="28" w:type="dxa"/>
              <w:left w:w="80" w:type="dxa"/>
              <w:bottom w:w="28" w:type="dxa"/>
              <w:right w:w="80" w:type="dxa"/>
            </w:tcMar>
            <w:vAlign w:val="center"/>
          </w:tcPr>
          <w:p w14:paraId="29325159" w14:textId="77777777" w:rsidR="0042033D" w:rsidRDefault="00000000">
            <w:pPr>
              <w:spacing w:line="232" w:lineRule="auto"/>
              <w:rPr>
                <w:sz w:val="24"/>
                <w:szCs w:val="24"/>
              </w:rPr>
            </w:pPr>
            <w:r>
              <w:rPr>
                <w:b/>
                <w:bCs/>
                <w:sz w:val="24"/>
                <w:szCs w:val="24"/>
              </w:rPr>
              <w:t>Rémunérations des fondateurs</w:t>
            </w:r>
          </w:p>
        </w:tc>
        <w:tc>
          <w:tcPr>
            <w:tcW w:w="1400" w:type="pct"/>
            <w:tcMar>
              <w:top w:w="28" w:type="dxa"/>
              <w:left w:w="80" w:type="dxa"/>
              <w:bottom w:w="28" w:type="dxa"/>
              <w:right w:w="80" w:type="dxa"/>
            </w:tcMar>
            <w:vAlign w:val="center"/>
          </w:tcPr>
          <w:p w14:paraId="0A678606" w14:textId="77777777" w:rsidR="0042033D" w:rsidRDefault="00000000">
            <w:pPr>
              <w:spacing w:line="232" w:lineRule="auto"/>
              <w:rPr>
                <w:sz w:val="24"/>
                <w:szCs w:val="24"/>
              </w:rPr>
            </w:pPr>
            <w:r>
              <w:rPr>
                <w:b/>
                <w:bCs/>
                <w:sz w:val="24"/>
                <w:szCs w:val="24"/>
              </w:rPr>
              <w:t>0 jusqu'en 2026 ; 6 000 000 MGA/mois cumulés dès 2027 (≈ 16 000 $/an)</w:t>
            </w:r>
          </w:p>
        </w:tc>
        <w:tc>
          <w:tcPr>
            <w:tcW w:w="2100" w:type="pct"/>
            <w:tcMar>
              <w:top w:w="28" w:type="dxa"/>
              <w:left w:w="80" w:type="dxa"/>
              <w:bottom w:w="28" w:type="dxa"/>
              <w:right w:w="80" w:type="dxa"/>
            </w:tcMar>
            <w:vAlign w:val="center"/>
          </w:tcPr>
          <w:p w14:paraId="408D3A9E" w14:textId="77777777" w:rsidR="0042033D" w:rsidRDefault="00000000">
            <w:pPr>
              <w:spacing w:line="232" w:lineRule="auto"/>
              <w:rPr>
                <w:sz w:val="24"/>
                <w:szCs w:val="24"/>
              </w:rPr>
            </w:pPr>
            <w:r>
              <w:rPr>
                <w:sz w:val="24"/>
                <w:szCs w:val="24"/>
              </w:rPr>
              <w:t>Intégrées aux OPEX dès 2027 : le modèle est viable sans bénévolat permanent (référentiel Tableau 9 bis)</w:t>
            </w:r>
          </w:p>
        </w:tc>
      </w:tr>
      <w:tr w:rsidR="0042033D" w14:paraId="077531D2" w14:textId="77777777">
        <w:trPr>
          <w:cantSplit/>
        </w:trPr>
        <w:tc>
          <w:tcPr>
            <w:tcW w:w="1500" w:type="pct"/>
            <w:tcMar>
              <w:top w:w="28" w:type="dxa"/>
              <w:left w:w="80" w:type="dxa"/>
              <w:bottom w:w="28" w:type="dxa"/>
              <w:right w:w="80" w:type="dxa"/>
            </w:tcMar>
            <w:vAlign w:val="center"/>
          </w:tcPr>
          <w:p w14:paraId="1D24DECF" w14:textId="77777777" w:rsidR="0042033D" w:rsidRDefault="00000000">
            <w:pPr>
              <w:spacing w:line="232" w:lineRule="auto"/>
              <w:rPr>
                <w:sz w:val="24"/>
                <w:szCs w:val="24"/>
              </w:rPr>
            </w:pPr>
            <w:r>
              <w:rPr>
                <w:b/>
                <w:bCs/>
                <w:sz w:val="24"/>
                <w:szCs w:val="24"/>
              </w:rPr>
              <w:t>Dépréciation annuelle de l'Ariary</w:t>
            </w:r>
          </w:p>
        </w:tc>
        <w:tc>
          <w:tcPr>
            <w:tcW w:w="1400" w:type="pct"/>
            <w:tcMar>
              <w:top w:w="28" w:type="dxa"/>
              <w:left w:w="80" w:type="dxa"/>
              <w:bottom w:w="28" w:type="dxa"/>
              <w:right w:w="80" w:type="dxa"/>
            </w:tcMar>
            <w:vAlign w:val="center"/>
          </w:tcPr>
          <w:p w14:paraId="2A845E9A" w14:textId="77777777" w:rsidR="0042033D" w:rsidRDefault="00000000">
            <w:pPr>
              <w:spacing w:line="232" w:lineRule="auto"/>
              <w:rPr>
                <w:sz w:val="24"/>
                <w:szCs w:val="24"/>
              </w:rPr>
            </w:pPr>
            <w:r>
              <w:rPr>
                <w:b/>
                <w:bCs/>
                <w:sz w:val="24"/>
                <w:szCs w:val="24"/>
              </w:rPr>
              <w:t>5 à 8 % par an (test de sensibilité)</w:t>
            </w:r>
          </w:p>
        </w:tc>
        <w:tc>
          <w:tcPr>
            <w:tcW w:w="2100" w:type="pct"/>
            <w:tcMar>
              <w:top w:w="28" w:type="dxa"/>
              <w:left w:w="80" w:type="dxa"/>
              <w:bottom w:w="28" w:type="dxa"/>
              <w:right w:w="80" w:type="dxa"/>
            </w:tcMar>
            <w:vAlign w:val="center"/>
          </w:tcPr>
          <w:p w14:paraId="332E04A6" w14:textId="77777777" w:rsidR="0042033D" w:rsidRDefault="00000000">
            <w:pPr>
              <w:spacing w:line="232" w:lineRule="auto"/>
              <w:rPr>
                <w:sz w:val="24"/>
                <w:szCs w:val="24"/>
              </w:rPr>
            </w:pPr>
            <w:r>
              <w:rPr>
                <w:sz w:val="24"/>
                <w:szCs w:val="24"/>
              </w:rPr>
              <w:t>Compensée par l'indexation tarifaire plafonnée des contrats et la couverture naturelle des recettes futures en devises ; impacts détaillés au § 22.4</w:t>
            </w:r>
          </w:p>
        </w:tc>
      </w:tr>
    </w:tbl>
    <w:p w14:paraId="3604ECC7" w14:textId="77777777" w:rsidR="0042033D" w:rsidRDefault="00000000">
      <w:pPr>
        <w:pStyle w:val="Heading2"/>
        <w:spacing w:before="150" w:after="60"/>
        <w:rPr>
          <w:rFonts w:ascii="Times New Roman" w:hAnsi="Times New Roman"/>
        </w:rPr>
      </w:pPr>
      <w:bookmarkStart w:id="101" w:name="_Toc100101"/>
      <w:r>
        <w:rPr>
          <w:rFonts w:ascii="Times New Roman" w:hAnsi="Times New Roman"/>
        </w:rPr>
        <w:t>22.4 Limites et précautions méthodologiques</w:t>
      </w:r>
      <w:bookmarkEnd w:id="101"/>
    </w:p>
    <w:p w14:paraId="75FC5D90" w14:textId="27221531" w:rsidR="0042033D" w:rsidRDefault="00000000">
      <w:pPr>
        <w:spacing w:after="60"/>
        <w:jc w:val="both"/>
        <w:rPr>
          <w:sz w:val="24"/>
          <w:szCs w:val="24"/>
          <w:lang w:val="fr-FR"/>
        </w:rPr>
      </w:pPr>
      <w:r>
        <w:rPr>
          <w:sz w:val="24"/>
          <w:szCs w:val="24"/>
        </w:rPr>
        <w:t xml:space="preserve">Le modèle financier présente quatre limites explicitement reconnues. Premièrement, les projections au-delà de vingt-quatre mois (2028-2030) comportent une marge d'incertitude significative et doivent être lues comme des trajectoires cibles, non comme des prévisions déterministes. Deuxièmement, la conversion en $ applique un taux fixe de 4 500 MGA : une dépréciation annuelle de 5 à 8 % est testée en sensibilité ; l'exposition réelle porte surtout sur les consommations importées de rechange, absorbée par l'indexation tarifaire plafonnée des contrats B2B et par le repositionnement du mix vers la ligne protéines dont les prix sont référencés en devise. Troisièmement, le modèle suppose des conditions opérationnelles stables en moyenne, ce que des chocs ponctuels (cyclones, sécheresses, épizooties) peuvent affecter ; le stress-test de la section 23 chiffre cette résilience et la saisonnalité est explicitée en section 21.5. Quatrièmement, le calendrier d'encaissement institutionnel introduit une contrainte de liquidité incompressible, prise en charge par la réserve BFR de 18 000 $ dimensionnée à 120 jours, pilotée mensuellement (Tableau 15 bis) et adossée à la ligne de crédit court terme </w:t>
      </w:r>
      <w:r w:rsidR="00ED4AD3">
        <w:rPr>
          <w:sz w:val="24"/>
          <w:szCs w:val="24"/>
        </w:rPr>
        <w:t>BNI</w:t>
      </w:r>
      <w:r>
        <w:rPr>
          <w:sz w:val="24"/>
          <w:szCs w:val="24"/>
        </w:rPr>
        <w:t>.</w:t>
      </w:r>
    </w:p>
    <w:p w14:paraId="0A4CDEF0" w14:textId="77777777" w:rsidR="008E425A" w:rsidRDefault="008E425A">
      <w:pPr>
        <w:spacing w:after="60"/>
        <w:jc w:val="both"/>
        <w:rPr>
          <w:sz w:val="24"/>
          <w:szCs w:val="24"/>
          <w:lang w:val="fr-FR"/>
        </w:rPr>
      </w:pPr>
    </w:p>
    <w:p w14:paraId="2EEB68F0" w14:textId="77777777" w:rsidR="008E425A" w:rsidRDefault="008E425A">
      <w:pPr>
        <w:spacing w:after="60"/>
        <w:jc w:val="both"/>
        <w:rPr>
          <w:sz w:val="24"/>
          <w:szCs w:val="24"/>
          <w:lang w:val="fr-FR"/>
        </w:rPr>
      </w:pPr>
    </w:p>
    <w:p w14:paraId="51FD1EAD" w14:textId="77777777" w:rsidR="008E425A" w:rsidRDefault="008E425A">
      <w:pPr>
        <w:spacing w:after="60"/>
        <w:jc w:val="both"/>
        <w:rPr>
          <w:sz w:val="24"/>
          <w:szCs w:val="24"/>
          <w:lang w:val="fr-FR"/>
        </w:rPr>
      </w:pPr>
    </w:p>
    <w:p w14:paraId="680F2699" w14:textId="77777777" w:rsidR="008E425A" w:rsidRDefault="008E425A">
      <w:pPr>
        <w:spacing w:after="60"/>
        <w:jc w:val="both"/>
        <w:rPr>
          <w:sz w:val="24"/>
          <w:szCs w:val="24"/>
          <w:lang w:val="fr-FR"/>
        </w:rPr>
      </w:pPr>
    </w:p>
    <w:p w14:paraId="3F07F177" w14:textId="77777777" w:rsidR="008E425A" w:rsidRDefault="008E425A">
      <w:pPr>
        <w:spacing w:after="60"/>
        <w:jc w:val="both"/>
        <w:rPr>
          <w:sz w:val="24"/>
          <w:szCs w:val="24"/>
          <w:lang w:val="fr-FR"/>
        </w:rPr>
      </w:pPr>
    </w:p>
    <w:p w14:paraId="50CC8BAC" w14:textId="77777777" w:rsidR="008E425A" w:rsidRDefault="008E425A">
      <w:pPr>
        <w:spacing w:after="60"/>
        <w:jc w:val="both"/>
        <w:rPr>
          <w:sz w:val="24"/>
          <w:szCs w:val="24"/>
          <w:lang w:val="fr-FR"/>
        </w:rPr>
      </w:pPr>
    </w:p>
    <w:p w14:paraId="445F3284" w14:textId="77777777" w:rsidR="008E425A" w:rsidRDefault="008E425A">
      <w:pPr>
        <w:spacing w:after="60"/>
        <w:jc w:val="both"/>
        <w:rPr>
          <w:sz w:val="24"/>
          <w:szCs w:val="24"/>
          <w:lang w:val="fr-FR"/>
        </w:rPr>
      </w:pPr>
    </w:p>
    <w:p w14:paraId="2BA5781B" w14:textId="77777777" w:rsidR="008E425A" w:rsidRDefault="008E425A">
      <w:pPr>
        <w:spacing w:after="60"/>
        <w:jc w:val="both"/>
        <w:rPr>
          <w:sz w:val="24"/>
          <w:szCs w:val="24"/>
          <w:lang w:val="fr-FR"/>
        </w:rPr>
      </w:pPr>
    </w:p>
    <w:p w14:paraId="6F4FD19D" w14:textId="77777777" w:rsidR="008E425A" w:rsidRDefault="008E425A">
      <w:pPr>
        <w:spacing w:after="60"/>
        <w:jc w:val="both"/>
        <w:rPr>
          <w:sz w:val="24"/>
          <w:szCs w:val="24"/>
          <w:lang w:val="fr-FR"/>
        </w:rPr>
      </w:pPr>
    </w:p>
    <w:p w14:paraId="6BCA9D8A" w14:textId="77777777" w:rsidR="008E425A" w:rsidRDefault="008E425A">
      <w:pPr>
        <w:spacing w:after="60"/>
        <w:jc w:val="both"/>
        <w:rPr>
          <w:sz w:val="24"/>
          <w:szCs w:val="24"/>
          <w:lang w:val="fr-FR"/>
        </w:rPr>
      </w:pPr>
    </w:p>
    <w:p w14:paraId="477C1BEC" w14:textId="77777777" w:rsidR="008E425A" w:rsidRPr="008E425A" w:rsidRDefault="008E425A">
      <w:pPr>
        <w:spacing w:after="60"/>
        <w:jc w:val="both"/>
        <w:rPr>
          <w:sz w:val="24"/>
          <w:szCs w:val="24"/>
          <w:lang w:val="fr-FR"/>
        </w:rPr>
      </w:pPr>
    </w:p>
    <w:p w14:paraId="6D9E6442" w14:textId="77777777" w:rsidR="0042033D" w:rsidRPr="008E425A" w:rsidRDefault="00000000">
      <w:pPr>
        <w:pStyle w:val="Heading1"/>
        <w:pBdr>
          <w:bottom w:val="single" w:sz="6" w:space="4" w:color="D4875A"/>
        </w:pBdr>
        <w:spacing w:before="200" w:after="90"/>
        <w:rPr>
          <w:rFonts w:ascii="League Spartan" w:hAnsi="League Spartan"/>
          <w:sz w:val="40"/>
          <w:szCs w:val="40"/>
        </w:rPr>
      </w:pPr>
      <w:bookmarkStart w:id="102" w:name="_Toc238821302"/>
      <w:r w:rsidRPr="008E425A">
        <w:rPr>
          <w:rFonts w:ascii="League Spartan" w:hAnsi="League Spartan"/>
          <w:sz w:val="40"/>
          <w:szCs w:val="40"/>
        </w:rPr>
        <w:lastRenderedPageBreak/>
        <w:t>23. Analyse de sensibilité</w:t>
      </w:r>
      <w:bookmarkEnd w:id="102"/>
    </w:p>
    <w:p w14:paraId="7079170F" w14:textId="77777777" w:rsidR="0042033D" w:rsidRDefault="00000000">
      <w:pPr>
        <w:spacing w:after="60"/>
        <w:jc w:val="both"/>
        <w:rPr>
          <w:sz w:val="24"/>
          <w:szCs w:val="24"/>
        </w:rPr>
      </w:pPr>
      <w:r>
        <w:rPr>
          <w:sz w:val="24"/>
          <w:szCs w:val="24"/>
        </w:rPr>
        <w:t>L'analyse de sensibilité évalue la robustesse du modèle face à des variations des hypothèses clés et identifie les variables les plus déterminantes. Quatre analyses sont présentées : une analyse par scénarios globaux (prudent, central, ambitieux) testant une conjonction de variations cohérentes, un stress-test de choc combiné mesurant la résilience en cas d'aléas majeurs cumulés, une analyse univariée isolant l'effet de chaque variable clé, et une analyse du point mort recalculé sur les coûts fixes réels post-investissement.</w:t>
      </w:r>
    </w:p>
    <w:p w14:paraId="7076879E" w14:textId="77777777" w:rsidR="0042033D" w:rsidRDefault="00000000">
      <w:pPr>
        <w:pStyle w:val="Heading2"/>
        <w:spacing w:before="150" w:after="60"/>
        <w:rPr>
          <w:rFonts w:ascii="Times New Roman" w:hAnsi="Times New Roman"/>
        </w:rPr>
      </w:pPr>
      <w:bookmarkStart w:id="103" w:name="_Toc100103"/>
      <w:r>
        <w:rPr>
          <w:rFonts w:ascii="Times New Roman" w:hAnsi="Times New Roman"/>
        </w:rPr>
        <w:t>23.1 Analyse par scénarios globaux</w:t>
      </w:r>
      <w:bookmarkEnd w:id="103"/>
    </w:p>
    <w:p w14:paraId="0E3DAB44" w14:textId="77777777" w:rsidR="0042033D" w:rsidRDefault="00000000">
      <w:pPr>
        <w:keepNext/>
        <w:spacing w:before="140" w:after="50" w:line="260" w:lineRule="auto"/>
        <w:rPr>
          <w:sz w:val="24"/>
          <w:szCs w:val="24"/>
        </w:rPr>
      </w:pPr>
      <w:r>
        <w:rPr>
          <w:rFonts w:eastAsia="Arial"/>
          <w:b/>
          <w:bCs/>
          <w:color w:val="1A2330"/>
          <w:sz w:val="24"/>
          <w:szCs w:val="24"/>
        </w:rPr>
        <w:t>Tableau 21 — Scénarios financiers à horizon 2030</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4212"/>
        <w:gridCol w:w="1648"/>
        <w:gridCol w:w="1831"/>
        <w:gridCol w:w="1465"/>
      </w:tblGrid>
      <w:tr w:rsidR="0042033D" w14:paraId="2243459A" w14:textId="77777777">
        <w:trPr>
          <w:cantSplit/>
          <w:tblHeader/>
        </w:trPr>
        <w:tc>
          <w:tcPr>
            <w:tcW w:w="2300" w:type="pct"/>
            <w:shd w:val="clear" w:color="auto" w:fill="D4875A"/>
            <w:tcMar>
              <w:top w:w="36" w:type="dxa"/>
              <w:left w:w="80" w:type="dxa"/>
              <w:bottom w:w="36" w:type="dxa"/>
              <w:right w:w="80" w:type="dxa"/>
            </w:tcMar>
            <w:vAlign w:val="center"/>
          </w:tcPr>
          <w:p w14:paraId="6EE014B6" w14:textId="77777777" w:rsidR="0042033D" w:rsidRDefault="00000000">
            <w:pPr>
              <w:spacing w:line="232" w:lineRule="auto"/>
              <w:jc w:val="center"/>
              <w:rPr>
                <w:sz w:val="24"/>
                <w:szCs w:val="24"/>
              </w:rPr>
            </w:pPr>
            <w:r>
              <w:rPr>
                <w:b/>
                <w:bCs/>
                <w:color w:val="FFFFFF"/>
                <w:sz w:val="24"/>
                <w:szCs w:val="24"/>
              </w:rPr>
              <w:t>Scénario</w:t>
            </w:r>
          </w:p>
        </w:tc>
        <w:tc>
          <w:tcPr>
            <w:tcW w:w="900" w:type="pct"/>
            <w:shd w:val="clear" w:color="auto" w:fill="D4875A"/>
            <w:tcMar>
              <w:top w:w="36" w:type="dxa"/>
              <w:left w:w="80" w:type="dxa"/>
              <w:bottom w:w="36" w:type="dxa"/>
              <w:right w:w="80" w:type="dxa"/>
            </w:tcMar>
            <w:vAlign w:val="center"/>
          </w:tcPr>
          <w:p w14:paraId="25876F1F" w14:textId="77777777" w:rsidR="0042033D" w:rsidRDefault="00000000">
            <w:pPr>
              <w:spacing w:line="232" w:lineRule="auto"/>
              <w:jc w:val="center"/>
              <w:rPr>
                <w:sz w:val="24"/>
                <w:szCs w:val="24"/>
              </w:rPr>
            </w:pPr>
            <w:r>
              <w:rPr>
                <w:b/>
                <w:bCs/>
                <w:color w:val="FFFFFF"/>
                <w:sz w:val="24"/>
                <w:szCs w:val="24"/>
              </w:rPr>
              <w:t>CA 2030 (k $)</w:t>
            </w:r>
          </w:p>
        </w:tc>
        <w:tc>
          <w:tcPr>
            <w:tcW w:w="1000" w:type="pct"/>
            <w:shd w:val="clear" w:color="auto" w:fill="D4875A"/>
            <w:tcMar>
              <w:top w:w="36" w:type="dxa"/>
              <w:left w:w="80" w:type="dxa"/>
              <w:bottom w:w="36" w:type="dxa"/>
              <w:right w:w="80" w:type="dxa"/>
            </w:tcMar>
            <w:vAlign w:val="center"/>
          </w:tcPr>
          <w:p w14:paraId="57BECC68" w14:textId="77777777" w:rsidR="0042033D" w:rsidRDefault="00000000">
            <w:pPr>
              <w:spacing w:line="232" w:lineRule="auto"/>
              <w:jc w:val="center"/>
              <w:rPr>
                <w:sz w:val="24"/>
                <w:szCs w:val="24"/>
              </w:rPr>
            </w:pPr>
            <w:r>
              <w:rPr>
                <w:b/>
                <w:bCs/>
                <w:color w:val="FFFFFF"/>
                <w:sz w:val="24"/>
                <w:szCs w:val="24"/>
              </w:rPr>
              <w:t>EBITDA 2030 (k $)</w:t>
            </w:r>
          </w:p>
        </w:tc>
        <w:tc>
          <w:tcPr>
            <w:tcW w:w="800" w:type="pct"/>
            <w:shd w:val="clear" w:color="auto" w:fill="D4875A"/>
            <w:tcMar>
              <w:top w:w="36" w:type="dxa"/>
              <w:left w:w="80" w:type="dxa"/>
              <w:bottom w:w="36" w:type="dxa"/>
              <w:right w:w="80" w:type="dxa"/>
            </w:tcMar>
            <w:vAlign w:val="center"/>
          </w:tcPr>
          <w:p w14:paraId="4DB48AF2" w14:textId="77777777" w:rsidR="0042033D" w:rsidRDefault="00000000">
            <w:pPr>
              <w:spacing w:line="232" w:lineRule="auto"/>
              <w:jc w:val="center"/>
              <w:rPr>
                <w:sz w:val="24"/>
                <w:szCs w:val="24"/>
              </w:rPr>
            </w:pPr>
            <w:r>
              <w:rPr>
                <w:b/>
                <w:bCs/>
                <w:color w:val="FFFFFF"/>
                <w:sz w:val="24"/>
                <w:szCs w:val="24"/>
              </w:rPr>
              <w:t>Marge EBITDA</w:t>
            </w:r>
          </w:p>
        </w:tc>
      </w:tr>
      <w:tr w:rsidR="0042033D" w14:paraId="5DC61962" w14:textId="77777777">
        <w:trPr>
          <w:cantSplit/>
        </w:trPr>
        <w:tc>
          <w:tcPr>
            <w:tcW w:w="2300" w:type="pct"/>
            <w:tcMar>
              <w:top w:w="28" w:type="dxa"/>
              <w:left w:w="80" w:type="dxa"/>
              <w:bottom w:w="28" w:type="dxa"/>
              <w:right w:w="80" w:type="dxa"/>
            </w:tcMar>
            <w:vAlign w:val="center"/>
          </w:tcPr>
          <w:p w14:paraId="09D1D6B4" w14:textId="77777777" w:rsidR="0042033D" w:rsidRDefault="00000000">
            <w:pPr>
              <w:spacing w:line="232" w:lineRule="auto"/>
              <w:rPr>
                <w:sz w:val="24"/>
                <w:szCs w:val="24"/>
              </w:rPr>
            </w:pPr>
            <w:r>
              <w:rPr>
                <w:b/>
                <w:bCs/>
                <w:sz w:val="24"/>
                <w:szCs w:val="24"/>
              </w:rPr>
              <w:t>Prudent (croissance moyenne ≈ 34 % par an)</w:t>
            </w:r>
          </w:p>
        </w:tc>
        <w:tc>
          <w:tcPr>
            <w:tcW w:w="900" w:type="pct"/>
            <w:tcMar>
              <w:top w:w="28" w:type="dxa"/>
              <w:left w:w="80" w:type="dxa"/>
              <w:bottom w:w="28" w:type="dxa"/>
              <w:right w:w="80" w:type="dxa"/>
            </w:tcMar>
            <w:vAlign w:val="center"/>
          </w:tcPr>
          <w:p w14:paraId="52265BE1" w14:textId="77777777" w:rsidR="0042033D" w:rsidRDefault="00000000">
            <w:pPr>
              <w:spacing w:line="232" w:lineRule="auto"/>
              <w:jc w:val="center"/>
              <w:rPr>
                <w:sz w:val="24"/>
                <w:szCs w:val="24"/>
              </w:rPr>
            </w:pPr>
            <w:r>
              <w:rPr>
                <w:b/>
                <w:bCs/>
                <w:sz w:val="24"/>
                <w:szCs w:val="24"/>
              </w:rPr>
              <w:t>260</w:t>
            </w:r>
          </w:p>
        </w:tc>
        <w:tc>
          <w:tcPr>
            <w:tcW w:w="1000" w:type="pct"/>
            <w:tcMar>
              <w:top w:w="28" w:type="dxa"/>
              <w:left w:w="80" w:type="dxa"/>
              <w:bottom w:w="28" w:type="dxa"/>
              <w:right w:w="80" w:type="dxa"/>
            </w:tcMar>
            <w:vAlign w:val="center"/>
          </w:tcPr>
          <w:p w14:paraId="249FB230" w14:textId="77777777" w:rsidR="0042033D" w:rsidRDefault="00000000">
            <w:pPr>
              <w:spacing w:line="232" w:lineRule="auto"/>
              <w:jc w:val="center"/>
              <w:rPr>
                <w:sz w:val="24"/>
                <w:szCs w:val="24"/>
              </w:rPr>
            </w:pPr>
            <w:r>
              <w:rPr>
                <w:b/>
                <w:bCs/>
                <w:sz w:val="24"/>
                <w:szCs w:val="24"/>
              </w:rPr>
              <w:t>75</w:t>
            </w:r>
          </w:p>
        </w:tc>
        <w:tc>
          <w:tcPr>
            <w:tcW w:w="800" w:type="pct"/>
            <w:tcMar>
              <w:top w:w="28" w:type="dxa"/>
              <w:left w:w="80" w:type="dxa"/>
              <w:bottom w:w="28" w:type="dxa"/>
              <w:right w:w="80" w:type="dxa"/>
            </w:tcMar>
            <w:vAlign w:val="center"/>
          </w:tcPr>
          <w:p w14:paraId="1D83A10C" w14:textId="77777777" w:rsidR="0042033D" w:rsidRDefault="00000000">
            <w:pPr>
              <w:spacing w:line="232" w:lineRule="auto"/>
              <w:jc w:val="center"/>
              <w:rPr>
                <w:sz w:val="24"/>
                <w:szCs w:val="24"/>
              </w:rPr>
            </w:pPr>
            <w:r>
              <w:rPr>
                <w:b/>
                <w:bCs/>
                <w:sz w:val="24"/>
                <w:szCs w:val="24"/>
              </w:rPr>
              <w:t>29 %</w:t>
            </w:r>
          </w:p>
        </w:tc>
      </w:tr>
      <w:tr w:rsidR="0042033D" w14:paraId="02F9C27B" w14:textId="77777777">
        <w:trPr>
          <w:cantSplit/>
        </w:trPr>
        <w:tc>
          <w:tcPr>
            <w:tcW w:w="2300" w:type="pct"/>
            <w:tcMar>
              <w:top w:w="28" w:type="dxa"/>
              <w:left w:w="80" w:type="dxa"/>
              <w:bottom w:w="28" w:type="dxa"/>
              <w:right w:w="80" w:type="dxa"/>
            </w:tcMar>
            <w:vAlign w:val="center"/>
          </w:tcPr>
          <w:p w14:paraId="13C89E25" w14:textId="77777777" w:rsidR="0042033D" w:rsidRDefault="00000000">
            <w:pPr>
              <w:spacing w:line="232" w:lineRule="auto"/>
              <w:rPr>
                <w:sz w:val="24"/>
                <w:szCs w:val="24"/>
              </w:rPr>
            </w:pPr>
            <w:r>
              <w:rPr>
                <w:b/>
                <w:bCs/>
                <w:sz w:val="24"/>
                <w:szCs w:val="24"/>
              </w:rPr>
              <w:t>Central (croissance moyenne ≈ 51 % par an, hors export)</w:t>
            </w:r>
          </w:p>
        </w:tc>
        <w:tc>
          <w:tcPr>
            <w:tcW w:w="900" w:type="pct"/>
            <w:tcMar>
              <w:top w:w="28" w:type="dxa"/>
              <w:left w:w="80" w:type="dxa"/>
              <w:bottom w:w="28" w:type="dxa"/>
              <w:right w:w="80" w:type="dxa"/>
            </w:tcMar>
            <w:vAlign w:val="center"/>
          </w:tcPr>
          <w:p w14:paraId="1267A73E" w14:textId="77777777" w:rsidR="0042033D" w:rsidRDefault="00000000">
            <w:pPr>
              <w:spacing w:line="232" w:lineRule="auto"/>
              <w:jc w:val="center"/>
              <w:rPr>
                <w:sz w:val="24"/>
                <w:szCs w:val="24"/>
              </w:rPr>
            </w:pPr>
            <w:r>
              <w:rPr>
                <w:b/>
                <w:bCs/>
                <w:sz w:val="24"/>
                <w:szCs w:val="24"/>
              </w:rPr>
              <w:t>420</w:t>
            </w:r>
          </w:p>
        </w:tc>
        <w:tc>
          <w:tcPr>
            <w:tcW w:w="1000" w:type="pct"/>
            <w:tcMar>
              <w:top w:w="28" w:type="dxa"/>
              <w:left w:w="80" w:type="dxa"/>
              <w:bottom w:w="28" w:type="dxa"/>
              <w:right w:w="80" w:type="dxa"/>
            </w:tcMar>
            <w:vAlign w:val="center"/>
          </w:tcPr>
          <w:p w14:paraId="2D87B909" w14:textId="77777777" w:rsidR="0042033D" w:rsidRDefault="00000000">
            <w:pPr>
              <w:spacing w:line="232" w:lineRule="auto"/>
              <w:jc w:val="center"/>
              <w:rPr>
                <w:sz w:val="24"/>
                <w:szCs w:val="24"/>
              </w:rPr>
            </w:pPr>
            <w:r>
              <w:rPr>
                <w:b/>
                <w:bCs/>
                <w:sz w:val="24"/>
                <w:szCs w:val="24"/>
              </w:rPr>
              <w:t>139</w:t>
            </w:r>
          </w:p>
        </w:tc>
        <w:tc>
          <w:tcPr>
            <w:tcW w:w="800" w:type="pct"/>
            <w:tcMar>
              <w:top w:w="28" w:type="dxa"/>
              <w:left w:w="80" w:type="dxa"/>
              <w:bottom w:w="28" w:type="dxa"/>
              <w:right w:w="80" w:type="dxa"/>
            </w:tcMar>
            <w:vAlign w:val="center"/>
          </w:tcPr>
          <w:p w14:paraId="4AD25AFF" w14:textId="77777777" w:rsidR="0042033D" w:rsidRDefault="00000000">
            <w:pPr>
              <w:spacing w:line="232" w:lineRule="auto"/>
              <w:jc w:val="center"/>
              <w:rPr>
                <w:sz w:val="24"/>
                <w:szCs w:val="24"/>
              </w:rPr>
            </w:pPr>
            <w:r>
              <w:rPr>
                <w:b/>
                <w:bCs/>
                <w:sz w:val="24"/>
                <w:szCs w:val="24"/>
              </w:rPr>
              <w:t>33 %</w:t>
            </w:r>
          </w:p>
        </w:tc>
      </w:tr>
      <w:tr w:rsidR="0042033D" w14:paraId="70C39462" w14:textId="77777777">
        <w:trPr>
          <w:cantSplit/>
        </w:trPr>
        <w:tc>
          <w:tcPr>
            <w:tcW w:w="2300" w:type="pct"/>
            <w:tcMar>
              <w:top w:w="28" w:type="dxa"/>
              <w:left w:w="80" w:type="dxa"/>
              <w:bottom w:w="28" w:type="dxa"/>
              <w:right w:w="80" w:type="dxa"/>
            </w:tcMar>
            <w:vAlign w:val="center"/>
          </w:tcPr>
          <w:p w14:paraId="42A693FE" w14:textId="77777777" w:rsidR="0042033D" w:rsidRDefault="00000000">
            <w:pPr>
              <w:spacing w:line="232" w:lineRule="auto"/>
              <w:rPr>
                <w:sz w:val="24"/>
                <w:szCs w:val="24"/>
              </w:rPr>
            </w:pPr>
            <w:r>
              <w:rPr>
                <w:b/>
                <w:bCs/>
                <w:sz w:val="24"/>
                <w:szCs w:val="24"/>
              </w:rPr>
              <w:t>Ambitieux (≈ 65 % par an, relais export conditionnel après certification)</w:t>
            </w:r>
          </w:p>
        </w:tc>
        <w:tc>
          <w:tcPr>
            <w:tcW w:w="900" w:type="pct"/>
            <w:tcMar>
              <w:top w:w="28" w:type="dxa"/>
              <w:left w:w="80" w:type="dxa"/>
              <w:bottom w:w="28" w:type="dxa"/>
              <w:right w:w="80" w:type="dxa"/>
            </w:tcMar>
            <w:vAlign w:val="center"/>
          </w:tcPr>
          <w:p w14:paraId="0B8850AB" w14:textId="77777777" w:rsidR="0042033D" w:rsidRDefault="00000000">
            <w:pPr>
              <w:spacing w:line="232" w:lineRule="auto"/>
              <w:jc w:val="center"/>
              <w:rPr>
                <w:sz w:val="24"/>
                <w:szCs w:val="24"/>
              </w:rPr>
            </w:pPr>
            <w:r>
              <w:rPr>
                <w:b/>
                <w:bCs/>
                <w:sz w:val="24"/>
                <w:szCs w:val="24"/>
              </w:rPr>
              <w:t>600</w:t>
            </w:r>
          </w:p>
        </w:tc>
        <w:tc>
          <w:tcPr>
            <w:tcW w:w="1000" w:type="pct"/>
            <w:tcMar>
              <w:top w:w="28" w:type="dxa"/>
              <w:left w:w="80" w:type="dxa"/>
              <w:bottom w:w="28" w:type="dxa"/>
              <w:right w:w="80" w:type="dxa"/>
            </w:tcMar>
            <w:vAlign w:val="center"/>
          </w:tcPr>
          <w:p w14:paraId="078B6EFD" w14:textId="77777777" w:rsidR="0042033D" w:rsidRDefault="00000000">
            <w:pPr>
              <w:spacing w:line="232" w:lineRule="auto"/>
              <w:jc w:val="center"/>
              <w:rPr>
                <w:sz w:val="24"/>
                <w:szCs w:val="24"/>
              </w:rPr>
            </w:pPr>
            <w:r>
              <w:rPr>
                <w:b/>
                <w:bCs/>
                <w:sz w:val="24"/>
                <w:szCs w:val="24"/>
              </w:rPr>
              <w:t>235</w:t>
            </w:r>
          </w:p>
        </w:tc>
        <w:tc>
          <w:tcPr>
            <w:tcW w:w="800" w:type="pct"/>
            <w:tcMar>
              <w:top w:w="28" w:type="dxa"/>
              <w:left w:w="80" w:type="dxa"/>
              <w:bottom w:w="28" w:type="dxa"/>
              <w:right w:w="80" w:type="dxa"/>
            </w:tcMar>
            <w:vAlign w:val="center"/>
          </w:tcPr>
          <w:p w14:paraId="0B2DA29A" w14:textId="77777777" w:rsidR="0042033D" w:rsidRDefault="00000000">
            <w:pPr>
              <w:spacing w:line="232" w:lineRule="auto"/>
              <w:jc w:val="center"/>
              <w:rPr>
                <w:sz w:val="24"/>
                <w:szCs w:val="24"/>
              </w:rPr>
            </w:pPr>
            <w:r>
              <w:rPr>
                <w:b/>
                <w:bCs/>
                <w:sz w:val="24"/>
                <w:szCs w:val="24"/>
              </w:rPr>
              <w:t>39 %</w:t>
            </w:r>
          </w:p>
        </w:tc>
      </w:tr>
      <w:tr w:rsidR="0042033D" w14:paraId="5AEA3C44" w14:textId="77777777">
        <w:trPr>
          <w:cantSplit/>
        </w:trPr>
        <w:tc>
          <w:tcPr>
            <w:tcW w:w="2300" w:type="pct"/>
            <w:tcMar>
              <w:top w:w="28" w:type="dxa"/>
              <w:left w:w="80" w:type="dxa"/>
              <w:bottom w:w="28" w:type="dxa"/>
              <w:right w:w="80" w:type="dxa"/>
            </w:tcMar>
            <w:vAlign w:val="center"/>
          </w:tcPr>
          <w:p w14:paraId="1A205469" w14:textId="77777777" w:rsidR="0042033D" w:rsidRDefault="00000000">
            <w:pPr>
              <w:spacing w:line="232" w:lineRule="auto"/>
              <w:rPr>
                <w:sz w:val="24"/>
                <w:szCs w:val="24"/>
              </w:rPr>
            </w:pPr>
            <w:r>
              <w:rPr>
                <w:b/>
                <w:bCs/>
                <w:sz w:val="24"/>
                <w:szCs w:val="24"/>
              </w:rPr>
              <w:t>Stress-test (cyclone majeur, contraction FDA de 50 %, retard B2B de six mois)</w:t>
            </w:r>
          </w:p>
        </w:tc>
        <w:tc>
          <w:tcPr>
            <w:tcW w:w="900" w:type="pct"/>
            <w:tcMar>
              <w:top w:w="28" w:type="dxa"/>
              <w:left w:w="80" w:type="dxa"/>
              <w:bottom w:w="28" w:type="dxa"/>
              <w:right w:w="80" w:type="dxa"/>
            </w:tcMar>
            <w:vAlign w:val="center"/>
          </w:tcPr>
          <w:p w14:paraId="65530DB2" w14:textId="77777777" w:rsidR="0042033D" w:rsidRDefault="00000000">
            <w:pPr>
              <w:spacing w:line="232" w:lineRule="auto"/>
              <w:jc w:val="center"/>
              <w:rPr>
                <w:sz w:val="24"/>
                <w:szCs w:val="24"/>
              </w:rPr>
            </w:pPr>
            <w:r>
              <w:rPr>
                <w:b/>
                <w:bCs/>
                <w:sz w:val="24"/>
                <w:szCs w:val="24"/>
              </w:rPr>
              <w:t>195</w:t>
            </w:r>
          </w:p>
        </w:tc>
        <w:tc>
          <w:tcPr>
            <w:tcW w:w="1000" w:type="pct"/>
            <w:tcMar>
              <w:top w:w="28" w:type="dxa"/>
              <w:left w:w="80" w:type="dxa"/>
              <w:bottom w:w="28" w:type="dxa"/>
              <w:right w:w="80" w:type="dxa"/>
            </w:tcMar>
            <w:vAlign w:val="center"/>
          </w:tcPr>
          <w:p w14:paraId="3E413F6E" w14:textId="77777777" w:rsidR="0042033D" w:rsidRDefault="00000000">
            <w:pPr>
              <w:spacing w:line="232" w:lineRule="auto"/>
              <w:jc w:val="center"/>
              <w:rPr>
                <w:sz w:val="24"/>
                <w:szCs w:val="24"/>
              </w:rPr>
            </w:pPr>
            <w:r>
              <w:rPr>
                <w:b/>
                <w:bCs/>
                <w:sz w:val="24"/>
                <w:szCs w:val="24"/>
              </w:rPr>
              <w:t>8</w:t>
            </w:r>
          </w:p>
        </w:tc>
        <w:tc>
          <w:tcPr>
            <w:tcW w:w="800" w:type="pct"/>
            <w:tcMar>
              <w:top w:w="28" w:type="dxa"/>
              <w:left w:w="80" w:type="dxa"/>
              <w:bottom w:w="28" w:type="dxa"/>
              <w:right w:w="80" w:type="dxa"/>
            </w:tcMar>
            <w:vAlign w:val="center"/>
          </w:tcPr>
          <w:p w14:paraId="682B29AA" w14:textId="77777777" w:rsidR="0042033D" w:rsidRDefault="00000000">
            <w:pPr>
              <w:spacing w:line="232" w:lineRule="auto"/>
              <w:jc w:val="center"/>
              <w:rPr>
                <w:sz w:val="24"/>
                <w:szCs w:val="24"/>
              </w:rPr>
            </w:pPr>
            <w:r>
              <w:rPr>
                <w:b/>
                <w:bCs/>
                <w:sz w:val="24"/>
                <w:szCs w:val="24"/>
              </w:rPr>
              <w:t>4 %</w:t>
            </w:r>
          </w:p>
        </w:tc>
      </w:tr>
    </w:tbl>
    <w:p w14:paraId="6716F0EA" w14:textId="77777777" w:rsidR="0042033D" w:rsidRDefault="00000000">
      <w:pPr>
        <w:spacing w:after="60"/>
        <w:jc w:val="both"/>
        <w:rPr>
          <w:sz w:val="24"/>
          <w:szCs w:val="24"/>
        </w:rPr>
      </w:pPr>
      <w:r>
        <w:t>Le scénario prudent correspond à une montée en capacité plus lente et à une diversification commerciale décalée ; le chiffre d'affaires 2030 atteint 260 K$ avec un EBITDA de 75 K$. Le scénario central combine les capacités projetées, la diversification domestique et les prix retenus. Le scénario ambitieux suppose une accélération de la commercialisation et un relais export conditionnel après certification. Le stress-test combine un cyclone majeur affectant deux trimestres de production, une baisse de 50 % des achats FDA et un décalage de six mois du développement B2B. Il montre une forte compression de la rentabilité et un EBITDA de seulement 8 K$ en 2030 : le projet reste proche de l'équilibre, mais ce scénario n'autorise ni dépenses discrétionnaires importantes ni nouvelle expansion sans rétablissement du niveau de ventes.</w:t>
      </w:r>
    </w:p>
    <w:p w14:paraId="762536A4" w14:textId="77777777" w:rsidR="0042033D" w:rsidRDefault="00000000">
      <w:pPr>
        <w:pStyle w:val="Heading2"/>
        <w:spacing w:before="150" w:after="60"/>
        <w:rPr>
          <w:rFonts w:ascii="Times New Roman" w:hAnsi="Times New Roman"/>
        </w:rPr>
      </w:pPr>
      <w:bookmarkStart w:id="104" w:name="_Toc100104"/>
      <w:r>
        <w:rPr>
          <w:rFonts w:ascii="Times New Roman" w:hAnsi="Times New Roman"/>
        </w:rPr>
        <w:t>23.2 Analyse de sensibilité univariée</w:t>
      </w:r>
      <w:bookmarkEnd w:id="104"/>
    </w:p>
    <w:p w14:paraId="0CAE3887" w14:textId="77777777" w:rsidR="0042033D" w:rsidRDefault="00000000">
      <w:pPr>
        <w:spacing w:after="60"/>
        <w:jc w:val="both"/>
        <w:rPr>
          <w:sz w:val="24"/>
          <w:szCs w:val="24"/>
        </w:rPr>
      </w:pPr>
      <w:r>
        <w:rPr>
          <w:sz w:val="24"/>
          <w:szCs w:val="24"/>
        </w:rPr>
        <w:t>L'analyse univariée teste l'impact d'une variation isolée de chaque variable clé sur le résultat. Les variables testées sont le prix de vente moyen du frass (±10 %), le volume de production mensuel (±15 %), le coût des matières premières et substrats (±20 %), le taux d'utilisation de la capacité (±10 points) et le prix des larves séchées (±10 %). Pour chaque ligne, l'effet est exprimé en cumul sur les cinq exercices 2026-2030, après impôt.</w:t>
      </w:r>
    </w:p>
    <w:p w14:paraId="12BB4BC4" w14:textId="77777777" w:rsidR="0042033D" w:rsidRDefault="00000000">
      <w:pPr>
        <w:keepNext/>
        <w:spacing w:before="140" w:after="50" w:line="260" w:lineRule="auto"/>
        <w:rPr>
          <w:sz w:val="24"/>
          <w:szCs w:val="24"/>
        </w:rPr>
      </w:pPr>
      <w:r>
        <w:rPr>
          <w:rFonts w:eastAsia="Arial"/>
          <w:b/>
          <w:bCs/>
          <w:color w:val="1A2330"/>
          <w:sz w:val="24"/>
          <w:szCs w:val="24"/>
        </w:rPr>
        <w:t>Tableau 22 — Sensibilité du résultat net cumulé 2026-2030 aux variations des variables clés</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3663"/>
        <w:gridCol w:w="2014"/>
        <w:gridCol w:w="3479"/>
      </w:tblGrid>
      <w:tr w:rsidR="0042033D" w14:paraId="1FB3481D" w14:textId="77777777">
        <w:trPr>
          <w:cantSplit/>
          <w:tblHeader/>
        </w:trPr>
        <w:tc>
          <w:tcPr>
            <w:tcW w:w="2000" w:type="pct"/>
            <w:shd w:val="clear" w:color="auto" w:fill="D4875A"/>
            <w:tcMar>
              <w:top w:w="36" w:type="dxa"/>
              <w:left w:w="80" w:type="dxa"/>
              <w:bottom w:w="36" w:type="dxa"/>
              <w:right w:w="80" w:type="dxa"/>
            </w:tcMar>
            <w:vAlign w:val="center"/>
          </w:tcPr>
          <w:p w14:paraId="365664F0" w14:textId="77777777" w:rsidR="0042033D" w:rsidRDefault="00000000">
            <w:pPr>
              <w:spacing w:line="232" w:lineRule="auto"/>
              <w:jc w:val="center"/>
              <w:rPr>
                <w:sz w:val="24"/>
                <w:szCs w:val="24"/>
              </w:rPr>
            </w:pPr>
            <w:r>
              <w:rPr>
                <w:b/>
                <w:bCs/>
                <w:color w:val="FFFFFF"/>
                <w:sz w:val="24"/>
                <w:szCs w:val="24"/>
              </w:rPr>
              <w:t>Variable</w:t>
            </w:r>
          </w:p>
        </w:tc>
        <w:tc>
          <w:tcPr>
            <w:tcW w:w="1100" w:type="pct"/>
            <w:shd w:val="clear" w:color="auto" w:fill="D4875A"/>
            <w:tcMar>
              <w:top w:w="36" w:type="dxa"/>
              <w:left w:w="80" w:type="dxa"/>
              <w:bottom w:w="36" w:type="dxa"/>
              <w:right w:w="80" w:type="dxa"/>
            </w:tcMar>
            <w:vAlign w:val="center"/>
          </w:tcPr>
          <w:p w14:paraId="2B6B10A6" w14:textId="77777777" w:rsidR="0042033D" w:rsidRDefault="00000000">
            <w:pPr>
              <w:spacing w:line="232" w:lineRule="auto"/>
              <w:jc w:val="center"/>
              <w:rPr>
                <w:sz w:val="24"/>
                <w:szCs w:val="24"/>
              </w:rPr>
            </w:pPr>
            <w:r>
              <w:rPr>
                <w:b/>
                <w:bCs/>
                <w:color w:val="FFFFFF"/>
                <w:sz w:val="24"/>
                <w:szCs w:val="24"/>
              </w:rPr>
              <w:t>Variation</w:t>
            </w:r>
          </w:p>
        </w:tc>
        <w:tc>
          <w:tcPr>
            <w:tcW w:w="1900" w:type="pct"/>
            <w:shd w:val="clear" w:color="auto" w:fill="D4875A"/>
            <w:tcMar>
              <w:top w:w="36" w:type="dxa"/>
              <w:left w:w="80" w:type="dxa"/>
              <w:bottom w:w="36" w:type="dxa"/>
              <w:right w:w="80" w:type="dxa"/>
            </w:tcMar>
            <w:vAlign w:val="center"/>
          </w:tcPr>
          <w:p w14:paraId="456A7264" w14:textId="77777777" w:rsidR="0042033D" w:rsidRDefault="00000000">
            <w:pPr>
              <w:spacing w:line="232" w:lineRule="auto"/>
              <w:jc w:val="center"/>
              <w:rPr>
                <w:sz w:val="24"/>
                <w:szCs w:val="24"/>
              </w:rPr>
            </w:pPr>
            <w:r>
              <w:t>Effet sur le résultat net cumulé 2026-2030 (après impôt)</w:t>
            </w:r>
          </w:p>
        </w:tc>
      </w:tr>
      <w:tr w:rsidR="0042033D" w14:paraId="01F62C12" w14:textId="77777777">
        <w:trPr>
          <w:cantSplit/>
        </w:trPr>
        <w:tc>
          <w:tcPr>
            <w:tcW w:w="2000" w:type="pct"/>
            <w:tcMar>
              <w:top w:w="28" w:type="dxa"/>
              <w:left w:w="80" w:type="dxa"/>
              <w:bottom w:w="28" w:type="dxa"/>
              <w:right w:w="80" w:type="dxa"/>
            </w:tcMar>
            <w:vAlign w:val="center"/>
          </w:tcPr>
          <w:p w14:paraId="3BE23596" w14:textId="77777777" w:rsidR="0042033D" w:rsidRDefault="00000000">
            <w:pPr>
              <w:spacing w:line="232" w:lineRule="auto"/>
              <w:rPr>
                <w:sz w:val="24"/>
                <w:szCs w:val="24"/>
              </w:rPr>
            </w:pPr>
            <w:r>
              <w:rPr>
                <w:b/>
                <w:bCs/>
                <w:sz w:val="24"/>
                <w:szCs w:val="24"/>
              </w:rPr>
              <w:t>Prix de vente du frass</w:t>
            </w:r>
          </w:p>
        </w:tc>
        <w:tc>
          <w:tcPr>
            <w:tcW w:w="1100" w:type="pct"/>
            <w:tcMar>
              <w:top w:w="28" w:type="dxa"/>
              <w:left w:w="80" w:type="dxa"/>
              <w:bottom w:w="28" w:type="dxa"/>
              <w:right w:w="80" w:type="dxa"/>
            </w:tcMar>
            <w:vAlign w:val="center"/>
          </w:tcPr>
          <w:p w14:paraId="702E860B" w14:textId="77777777" w:rsidR="0042033D" w:rsidRDefault="00000000">
            <w:pPr>
              <w:spacing w:line="232" w:lineRule="auto"/>
              <w:jc w:val="center"/>
              <w:rPr>
                <w:sz w:val="24"/>
                <w:szCs w:val="24"/>
              </w:rPr>
            </w:pPr>
            <w:r>
              <w:rPr>
                <w:b/>
                <w:bCs/>
                <w:sz w:val="24"/>
                <w:szCs w:val="24"/>
              </w:rPr>
              <w:t>+10 % / −10 %</w:t>
            </w:r>
          </w:p>
        </w:tc>
        <w:tc>
          <w:tcPr>
            <w:tcW w:w="1900" w:type="pct"/>
            <w:tcMar>
              <w:top w:w="28" w:type="dxa"/>
              <w:left w:w="80" w:type="dxa"/>
              <w:bottom w:w="28" w:type="dxa"/>
              <w:right w:w="80" w:type="dxa"/>
            </w:tcMar>
            <w:vAlign w:val="center"/>
          </w:tcPr>
          <w:p w14:paraId="43D949EF" w14:textId="77777777" w:rsidR="0042033D" w:rsidRDefault="00000000">
            <w:pPr>
              <w:spacing w:line="232" w:lineRule="auto"/>
              <w:jc w:val="center"/>
              <w:rPr>
                <w:sz w:val="24"/>
                <w:szCs w:val="24"/>
              </w:rPr>
            </w:pPr>
            <w:r>
              <w:rPr>
                <w:b/>
                <w:bCs/>
                <w:sz w:val="24"/>
                <w:szCs w:val="24"/>
              </w:rPr>
              <w:t>+73 / −73 K $</w:t>
            </w:r>
          </w:p>
        </w:tc>
      </w:tr>
      <w:tr w:rsidR="0042033D" w14:paraId="4708B512" w14:textId="77777777">
        <w:trPr>
          <w:cantSplit/>
        </w:trPr>
        <w:tc>
          <w:tcPr>
            <w:tcW w:w="2000" w:type="pct"/>
            <w:tcMar>
              <w:top w:w="28" w:type="dxa"/>
              <w:left w:w="80" w:type="dxa"/>
              <w:bottom w:w="28" w:type="dxa"/>
              <w:right w:w="80" w:type="dxa"/>
            </w:tcMar>
            <w:vAlign w:val="center"/>
          </w:tcPr>
          <w:p w14:paraId="5C0564A3" w14:textId="77777777" w:rsidR="0042033D" w:rsidRDefault="00000000">
            <w:pPr>
              <w:spacing w:line="232" w:lineRule="auto"/>
              <w:rPr>
                <w:sz w:val="24"/>
                <w:szCs w:val="24"/>
              </w:rPr>
            </w:pPr>
            <w:r>
              <w:rPr>
                <w:b/>
                <w:bCs/>
                <w:sz w:val="24"/>
                <w:szCs w:val="24"/>
              </w:rPr>
              <w:t>Volume de production</w:t>
            </w:r>
          </w:p>
        </w:tc>
        <w:tc>
          <w:tcPr>
            <w:tcW w:w="1100" w:type="pct"/>
            <w:tcMar>
              <w:top w:w="28" w:type="dxa"/>
              <w:left w:w="80" w:type="dxa"/>
              <w:bottom w:w="28" w:type="dxa"/>
              <w:right w:w="80" w:type="dxa"/>
            </w:tcMar>
            <w:vAlign w:val="center"/>
          </w:tcPr>
          <w:p w14:paraId="55F2A09A" w14:textId="77777777" w:rsidR="0042033D" w:rsidRDefault="00000000">
            <w:pPr>
              <w:spacing w:line="232" w:lineRule="auto"/>
              <w:jc w:val="center"/>
              <w:rPr>
                <w:sz w:val="24"/>
                <w:szCs w:val="24"/>
              </w:rPr>
            </w:pPr>
            <w:r>
              <w:rPr>
                <w:b/>
                <w:bCs/>
                <w:sz w:val="24"/>
                <w:szCs w:val="24"/>
              </w:rPr>
              <w:t>+15 % / −15 %</w:t>
            </w:r>
          </w:p>
        </w:tc>
        <w:tc>
          <w:tcPr>
            <w:tcW w:w="1900" w:type="pct"/>
            <w:tcMar>
              <w:top w:w="28" w:type="dxa"/>
              <w:left w:w="80" w:type="dxa"/>
              <w:bottom w:w="28" w:type="dxa"/>
              <w:right w:w="80" w:type="dxa"/>
            </w:tcMar>
            <w:vAlign w:val="center"/>
          </w:tcPr>
          <w:p w14:paraId="58080731" w14:textId="77777777" w:rsidR="0042033D" w:rsidRDefault="00000000">
            <w:pPr>
              <w:spacing w:line="232" w:lineRule="auto"/>
              <w:jc w:val="center"/>
              <w:rPr>
                <w:sz w:val="24"/>
                <w:szCs w:val="24"/>
              </w:rPr>
            </w:pPr>
            <w:r>
              <w:rPr>
                <w:b/>
                <w:bCs/>
                <w:sz w:val="24"/>
                <w:szCs w:val="24"/>
              </w:rPr>
              <w:t>+55 / −55 K $</w:t>
            </w:r>
          </w:p>
        </w:tc>
      </w:tr>
      <w:tr w:rsidR="0042033D" w14:paraId="4B675465" w14:textId="77777777">
        <w:trPr>
          <w:cantSplit/>
        </w:trPr>
        <w:tc>
          <w:tcPr>
            <w:tcW w:w="2000" w:type="pct"/>
            <w:tcMar>
              <w:top w:w="28" w:type="dxa"/>
              <w:left w:w="80" w:type="dxa"/>
              <w:bottom w:w="28" w:type="dxa"/>
              <w:right w:w="80" w:type="dxa"/>
            </w:tcMar>
            <w:vAlign w:val="center"/>
          </w:tcPr>
          <w:p w14:paraId="34175E50" w14:textId="77777777" w:rsidR="0042033D" w:rsidRDefault="00000000">
            <w:pPr>
              <w:spacing w:line="232" w:lineRule="auto"/>
              <w:rPr>
                <w:sz w:val="24"/>
                <w:szCs w:val="24"/>
              </w:rPr>
            </w:pPr>
            <w:r>
              <w:rPr>
                <w:b/>
                <w:bCs/>
                <w:sz w:val="24"/>
                <w:szCs w:val="24"/>
              </w:rPr>
              <w:t>Coût des matières premières et substrats</w:t>
            </w:r>
          </w:p>
        </w:tc>
        <w:tc>
          <w:tcPr>
            <w:tcW w:w="1100" w:type="pct"/>
            <w:tcMar>
              <w:top w:w="28" w:type="dxa"/>
              <w:left w:w="80" w:type="dxa"/>
              <w:bottom w:w="28" w:type="dxa"/>
              <w:right w:w="80" w:type="dxa"/>
            </w:tcMar>
            <w:vAlign w:val="center"/>
          </w:tcPr>
          <w:p w14:paraId="7F89F6AE" w14:textId="77777777" w:rsidR="0042033D" w:rsidRDefault="00000000">
            <w:pPr>
              <w:spacing w:line="232" w:lineRule="auto"/>
              <w:jc w:val="center"/>
              <w:rPr>
                <w:sz w:val="24"/>
                <w:szCs w:val="24"/>
              </w:rPr>
            </w:pPr>
            <w:r>
              <w:rPr>
                <w:b/>
                <w:bCs/>
                <w:sz w:val="24"/>
                <w:szCs w:val="24"/>
              </w:rPr>
              <w:t>+20 % / −20 %</w:t>
            </w:r>
          </w:p>
        </w:tc>
        <w:tc>
          <w:tcPr>
            <w:tcW w:w="1900" w:type="pct"/>
            <w:tcMar>
              <w:top w:w="28" w:type="dxa"/>
              <w:left w:w="80" w:type="dxa"/>
              <w:bottom w:w="28" w:type="dxa"/>
              <w:right w:w="80" w:type="dxa"/>
            </w:tcMar>
            <w:vAlign w:val="center"/>
          </w:tcPr>
          <w:p w14:paraId="6AC96652" w14:textId="77777777" w:rsidR="0042033D" w:rsidRDefault="00000000">
            <w:pPr>
              <w:spacing w:line="232" w:lineRule="auto"/>
              <w:jc w:val="center"/>
              <w:rPr>
                <w:sz w:val="24"/>
                <w:szCs w:val="24"/>
              </w:rPr>
            </w:pPr>
            <w:r>
              <w:rPr>
                <w:b/>
                <w:bCs/>
                <w:sz w:val="24"/>
                <w:szCs w:val="24"/>
              </w:rPr>
              <w:t>−31 / +31 K $</w:t>
            </w:r>
          </w:p>
        </w:tc>
      </w:tr>
      <w:tr w:rsidR="0042033D" w14:paraId="57FE458E" w14:textId="77777777">
        <w:trPr>
          <w:cantSplit/>
        </w:trPr>
        <w:tc>
          <w:tcPr>
            <w:tcW w:w="2000" w:type="pct"/>
            <w:tcMar>
              <w:top w:w="28" w:type="dxa"/>
              <w:left w:w="80" w:type="dxa"/>
              <w:bottom w:w="28" w:type="dxa"/>
              <w:right w:w="80" w:type="dxa"/>
            </w:tcMar>
            <w:vAlign w:val="center"/>
          </w:tcPr>
          <w:p w14:paraId="561D833A" w14:textId="77777777" w:rsidR="0042033D" w:rsidRDefault="00000000">
            <w:pPr>
              <w:spacing w:line="232" w:lineRule="auto"/>
              <w:rPr>
                <w:sz w:val="24"/>
                <w:szCs w:val="24"/>
              </w:rPr>
            </w:pPr>
            <w:r>
              <w:rPr>
                <w:b/>
                <w:bCs/>
                <w:sz w:val="24"/>
                <w:szCs w:val="24"/>
              </w:rPr>
              <w:lastRenderedPageBreak/>
              <w:t>Taux d'utilisation de la capacité</w:t>
            </w:r>
          </w:p>
        </w:tc>
        <w:tc>
          <w:tcPr>
            <w:tcW w:w="1100" w:type="pct"/>
            <w:tcMar>
              <w:top w:w="28" w:type="dxa"/>
              <w:left w:w="80" w:type="dxa"/>
              <w:bottom w:w="28" w:type="dxa"/>
              <w:right w:w="80" w:type="dxa"/>
            </w:tcMar>
            <w:vAlign w:val="center"/>
          </w:tcPr>
          <w:p w14:paraId="45402E6C" w14:textId="77777777" w:rsidR="0042033D" w:rsidRDefault="00000000">
            <w:pPr>
              <w:spacing w:line="232" w:lineRule="auto"/>
              <w:jc w:val="center"/>
              <w:rPr>
                <w:sz w:val="24"/>
                <w:szCs w:val="24"/>
              </w:rPr>
            </w:pPr>
            <w:r>
              <w:rPr>
                <w:b/>
                <w:bCs/>
                <w:sz w:val="24"/>
                <w:szCs w:val="24"/>
              </w:rPr>
              <w:t>+10 / −10 points</w:t>
            </w:r>
          </w:p>
        </w:tc>
        <w:tc>
          <w:tcPr>
            <w:tcW w:w="1900" w:type="pct"/>
            <w:tcMar>
              <w:top w:w="28" w:type="dxa"/>
              <w:left w:w="80" w:type="dxa"/>
              <w:bottom w:w="28" w:type="dxa"/>
              <w:right w:w="80" w:type="dxa"/>
            </w:tcMar>
            <w:vAlign w:val="center"/>
          </w:tcPr>
          <w:p w14:paraId="4A41C3B8" w14:textId="77777777" w:rsidR="0042033D" w:rsidRDefault="00000000">
            <w:pPr>
              <w:spacing w:line="232" w:lineRule="auto"/>
              <w:jc w:val="center"/>
              <w:rPr>
                <w:sz w:val="24"/>
                <w:szCs w:val="24"/>
              </w:rPr>
            </w:pPr>
            <w:r>
              <w:rPr>
                <w:b/>
                <w:bCs/>
                <w:sz w:val="24"/>
                <w:szCs w:val="24"/>
              </w:rPr>
              <w:t>+21 / −21 K $</w:t>
            </w:r>
          </w:p>
        </w:tc>
      </w:tr>
      <w:tr w:rsidR="0042033D" w14:paraId="1F3A01CC" w14:textId="77777777">
        <w:trPr>
          <w:cantSplit/>
        </w:trPr>
        <w:tc>
          <w:tcPr>
            <w:tcW w:w="2000" w:type="pct"/>
            <w:tcMar>
              <w:top w:w="28" w:type="dxa"/>
              <w:left w:w="80" w:type="dxa"/>
              <w:bottom w:w="28" w:type="dxa"/>
              <w:right w:w="80" w:type="dxa"/>
            </w:tcMar>
            <w:vAlign w:val="center"/>
          </w:tcPr>
          <w:p w14:paraId="50BF3F03" w14:textId="77777777" w:rsidR="0042033D" w:rsidRDefault="00000000">
            <w:pPr>
              <w:spacing w:line="232" w:lineRule="auto"/>
              <w:rPr>
                <w:sz w:val="24"/>
                <w:szCs w:val="24"/>
              </w:rPr>
            </w:pPr>
            <w:r>
              <w:rPr>
                <w:b/>
                <w:bCs/>
                <w:sz w:val="24"/>
                <w:szCs w:val="24"/>
              </w:rPr>
              <w:t>Prix des larves séchées</w:t>
            </w:r>
          </w:p>
        </w:tc>
        <w:tc>
          <w:tcPr>
            <w:tcW w:w="1100" w:type="pct"/>
            <w:tcMar>
              <w:top w:w="28" w:type="dxa"/>
              <w:left w:w="80" w:type="dxa"/>
              <w:bottom w:w="28" w:type="dxa"/>
              <w:right w:w="80" w:type="dxa"/>
            </w:tcMar>
            <w:vAlign w:val="center"/>
          </w:tcPr>
          <w:p w14:paraId="53E13B8B" w14:textId="77777777" w:rsidR="0042033D" w:rsidRDefault="00000000">
            <w:pPr>
              <w:spacing w:line="232" w:lineRule="auto"/>
              <w:jc w:val="center"/>
              <w:rPr>
                <w:sz w:val="24"/>
                <w:szCs w:val="24"/>
              </w:rPr>
            </w:pPr>
            <w:r>
              <w:rPr>
                <w:b/>
                <w:bCs/>
                <w:sz w:val="24"/>
                <w:szCs w:val="24"/>
              </w:rPr>
              <w:t>±10 %</w:t>
            </w:r>
          </w:p>
        </w:tc>
        <w:tc>
          <w:tcPr>
            <w:tcW w:w="1900" w:type="pct"/>
            <w:tcMar>
              <w:top w:w="28" w:type="dxa"/>
              <w:left w:w="80" w:type="dxa"/>
              <w:bottom w:w="28" w:type="dxa"/>
              <w:right w:w="80" w:type="dxa"/>
            </w:tcMar>
            <w:vAlign w:val="center"/>
          </w:tcPr>
          <w:p w14:paraId="02B61B17" w14:textId="77777777" w:rsidR="0042033D" w:rsidRDefault="00000000">
            <w:pPr>
              <w:spacing w:line="232" w:lineRule="auto"/>
              <w:jc w:val="center"/>
              <w:rPr>
                <w:sz w:val="24"/>
                <w:szCs w:val="24"/>
              </w:rPr>
            </w:pPr>
            <w:r>
              <w:rPr>
                <w:b/>
                <w:bCs/>
                <w:sz w:val="24"/>
                <w:szCs w:val="24"/>
              </w:rPr>
              <w:t>±16 K $</w:t>
            </w:r>
          </w:p>
        </w:tc>
      </w:tr>
    </w:tbl>
    <w:p w14:paraId="0F63AAAF" w14:textId="77777777" w:rsidR="0042033D" w:rsidRDefault="00000000">
      <w:pPr>
        <w:spacing w:after="60"/>
        <w:jc w:val="both"/>
        <w:rPr>
          <w:sz w:val="24"/>
          <w:szCs w:val="24"/>
        </w:rPr>
      </w:pPr>
      <w:r>
        <w:t>La lecture du tableau confirme que le volume produit et le prix de vente sont les variables les plus structurantes. La protection repose sur la diversification commerciale, la qualification de plusieurs comptes, la contractualisation progressive des sources de substrats, l'amélioration de la productivité et la qualité du produit. Tant que les contrats d'exclusivité ne sont pas effectivement signés, ils sont traités comme des mesures prévues et non comme une sécurité déjà acquise.</w:t>
      </w:r>
    </w:p>
    <w:p w14:paraId="7D97AF32" w14:textId="77777777" w:rsidR="0042033D" w:rsidRDefault="00000000">
      <w:pPr>
        <w:pStyle w:val="Heading2"/>
        <w:spacing w:before="150" w:after="60"/>
        <w:rPr>
          <w:rFonts w:ascii="Times New Roman" w:hAnsi="Times New Roman"/>
        </w:rPr>
      </w:pPr>
      <w:bookmarkStart w:id="105" w:name="_Toc100105"/>
      <w:r>
        <w:rPr>
          <w:rFonts w:ascii="Times New Roman" w:hAnsi="Times New Roman"/>
        </w:rPr>
        <w:t>23.3 Analyse du point mort opérationnel</w:t>
      </w:r>
      <w:bookmarkEnd w:id="105"/>
    </w:p>
    <w:p w14:paraId="3F291723" w14:textId="77777777" w:rsidR="0042033D" w:rsidRDefault="00000000">
      <w:pPr>
        <w:spacing w:after="60"/>
        <w:jc w:val="both"/>
        <w:rPr>
          <w:sz w:val="24"/>
          <w:szCs w:val="24"/>
        </w:rPr>
      </w:pPr>
      <w:r>
        <w:rPr>
          <w:sz w:val="24"/>
          <w:szCs w:val="24"/>
        </w:rPr>
        <w:t>Le point mort est calculé sur deux seuils distincts. Pour l’équilibre EBITDA, les charges fixes identifiées d’environ 26,4 K$ sont rapportées à une marge contributive de 2,25 K$/t issue du modèle 2026, soit environ 11,7 T/mois. Après prise en compte des amortissements, le seuil de couverture des charges fixes et de la dépréciation est d’environ 16,1 T/mois. La cible 18–22 T/mois crée ainsi une marge de sécurité opérationnelle, sous réserve d’atteindre le niveau de prix et de marge prévu.</w:t>
      </w:r>
    </w:p>
    <w:p w14:paraId="26696ADD" w14:textId="77777777" w:rsidR="0042033D" w:rsidRDefault="00000000">
      <w:pPr>
        <w:spacing w:before="80" w:after="30"/>
        <w:jc w:val="center"/>
        <w:rPr>
          <w:sz w:val="24"/>
          <w:szCs w:val="24"/>
        </w:rPr>
      </w:pPr>
      <w:r>
        <w:rPr>
          <w:noProof/>
          <w:sz w:val="24"/>
          <w:szCs w:val="24"/>
        </w:rPr>
        <w:drawing>
          <wp:anchor distT="0" distB="0" distL="114300" distR="114300" simplePos="0" relativeHeight="251671552" behindDoc="0" locked="0" layoutInCell="1" allowOverlap="1" wp14:anchorId="411BDCE3" wp14:editId="0298C125">
            <wp:simplePos x="0" y="0"/>
            <wp:positionH relativeFrom="column">
              <wp:posOffset>22860</wp:posOffset>
            </wp:positionH>
            <wp:positionV relativeFrom="paragraph">
              <wp:posOffset>0</wp:posOffset>
            </wp:positionV>
            <wp:extent cx="5798820" cy="2926715"/>
            <wp:effectExtent l="0" t="0" r="0" b="6985"/>
            <wp:wrapTopAndBottom/>
            <wp:docPr id="12" name="Picture 12" descr="Illustration du Business Plan Bio Source Farm — élément graphique 12" title="Graphique ou illustra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98820" cy="2926715"/>
                    </a:xfrm>
                    <a:prstGeom prst="rect">
                      <a:avLst/>
                    </a:prstGeom>
                  </pic:spPr>
                </pic:pic>
              </a:graphicData>
            </a:graphic>
            <wp14:sizeRelH relativeFrom="margin">
              <wp14:pctWidth>0</wp14:pctWidth>
            </wp14:sizeRelH>
            <wp14:sizeRelV relativeFrom="margin">
              <wp14:pctHeight>0</wp14:pctHeight>
            </wp14:sizeRelV>
          </wp:anchor>
        </w:drawing>
      </w:r>
    </w:p>
    <w:p w14:paraId="35356F43" w14:textId="77777777" w:rsidR="0042033D" w:rsidRDefault="00000000">
      <w:pPr>
        <w:spacing w:after="140" w:line="240" w:lineRule="auto"/>
        <w:jc w:val="center"/>
        <w:rPr>
          <w:sz w:val="24"/>
          <w:szCs w:val="24"/>
          <w:lang w:val="fr-FR"/>
        </w:rPr>
      </w:pPr>
      <w:r>
        <w:rPr>
          <w:sz w:val="24"/>
          <w:szCs w:val="24"/>
        </w:rPr>
        <w:t>Figure 13 — Analyse du point mort opérationnel 2026 : seuil EBITDA ≈11,7 T/mois ; seuil après amortissements ≈16,1 T/mois</w:t>
      </w:r>
    </w:p>
    <w:p w14:paraId="534AFFB7" w14:textId="77777777" w:rsidR="008E425A" w:rsidRDefault="008E425A">
      <w:pPr>
        <w:spacing w:after="140" w:line="240" w:lineRule="auto"/>
        <w:jc w:val="center"/>
        <w:rPr>
          <w:sz w:val="24"/>
          <w:szCs w:val="24"/>
          <w:lang w:val="fr-FR"/>
        </w:rPr>
      </w:pPr>
    </w:p>
    <w:p w14:paraId="7954D42C" w14:textId="77777777" w:rsidR="008E425A" w:rsidRDefault="008E425A">
      <w:pPr>
        <w:spacing w:after="140" w:line="240" w:lineRule="auto"/>
        <w:jc w:val="center"/>
        <w:rPr>
          <w:sz w:val="24"/>
          <w:szCs w:val="24"/>
          <w:lang w:val="fr-FR"/>
        </w:rPr>
      </w:pPr>
    </w:p>
    <w:p w14:paraId="1CF6E780" w14:textId="77777777" w:rsidR="008E425A" w:rsidRDefault="008E425A">
      <w:pPr>
        <w:spacing w:after="140" w:line="240" w:lineRule="auto"/>
        <w:jc w:val="center"/>
        <w:rPr>
          <w:sz w:val="24"/>
          <w:szCs w:val="24"/>
          <w:lang w:val="fr-FR"/>
        </w:rPr>
      </w:pPr>
    </w:p>
    <w:p w14:paraId="400E219E" w14:textId="77777777" w:rsidR="008E425A" w:rsidRDefault="008E425A">
      <w:pPr>
        <w:spacing w:after="140" w:line="240" w:lineRule="auto"/>
        <w:jc w:val="center"/>
        <w:rPr>
          <w:sz w:val="24"/>
          <w:szCs w:val="24"/>
          <w:lang w:val="fr-FR"/>
        </w:rPr>
      </w:pPr>
    </w:p>
    <w:p w14:paraId="256175B9" w14:textId="77777777" w:rsidR="008E425A" w:rsidRPr="008E425A" w:rsidRDefault="008E425A">
      <w:pPr>
        <w:spacing w:after="140" w:line="240" w:lineRule="auto"/>
        <w:jc w:val="center"/>
        <w:rPr>
          <w:sz w:val="24"/>
          <w:szCs w:val="24"/>
          <w:lang w:val="fr-FR"/>
        </w:rPr>
      </w:pPr>
    </w:p>
    <w:p w14:paraId="5DFA220C" w14:textId="77777777" w:rsidR="0042033D" w:rsidRPr="008E425A" w:rsidRDefault="00000000">
      <w:pPr>
        <w:pStyle w:val="Heading1"/>
        <w:pBdr>
          <w:bottom w:val="single" w:sz="6" w:space="4" w:color="D4875A"/>
        </w:pBdr>
        <w:spacing w:before="200" w:after="90"/>
        <w:rPr>
          <w:rFonts w:ascii="League Spartan" w:hAnsi="League Spartan"/>
          <w:sz w:val="40"/>
          <w:szCs w:val="40"/>
        </w:rPr>
      </w:pPr>
      <w:bookmarkStart w:id="106" w:name="_Toc238821303"/>
      <w:r w:rsidRPr="008E425A">
        <w:rPr>
          <w:rFonts w:ascii="League Spartan" w:hAnsi="League Spartan"/>
          <w:sz w:val="40"/>
          <w:szCs w:val="40"/>
        </w:rPr>
        <w:lastRenderedPageBreak/>
        <w:t>24. KPI, milestones et trajectoire de financement</w:t>
      </w:r>
      <w:bookmarkEnd w:id="106"/>
    </w:p>
    <w:p w14:paraId="5FF915DA" w14:textId="77777777" w:rsidR="0042033D" w:rsidRDefault="00000000">
      <w:pPr>
        <w:spacing w:after="60"/>
        <w:jc w:val="both"/>
        <w:rPr>
          <w:sz w:val="24"/>
          <w:szCs w:val="24"/>
          <w:lang w:val="fr-FR"/>
        </w:rPr>
      </w:pPr>
      <w:r>
        <w:rPr>
          <w:sz w:val="24"/>
          <w:szCs w:val="24"/>
        </w:rPr>
        <w:t>La présente section fusionne le tableau de bord des KPI, le planning des milestones et la trajectoire de financement : ces trois outils forment le référentiel unique de pilotage et de reporting de la période d'exécution. Chaque KPI est relié à un poste d'allocation du financement et à un milestone temporel, ce qui permet au financeur de suivre l'effet de levier du capital catalytique et à la direction de piloter en temps réel.</w:t>
      </w:r>
    </w:p>
    <w:p w14:paraId="1E134F0E" w14:textId="77777777" w:rsidR="008E425A" w:rsidRPr="008E425A" w:rsidRDefault="008E425A">
      <w:pPr>
        <w:spacing w:after="60"/>
        <w:jc w:val="both"/>
        <w:rPr>
          <w:sz w:val="24"/>
          <w:szCs w:val="24"/>
          <w:lang w:val="fr-FR"/>
        </w:rPr>
      </w:pPr>
    </w:p>
    <w:p w14:paraId="71C830D2" w14:textId="77777777" w:rsidR="0042033D" w:rsidRDefault="00000000">
      <w:pPr>
        <w:pStyle w:val="Heading2"/>
        <w:spacing w:before="150" w:after="60"/>
        <w:rPr>
          <w:rFonts w:ascii="Times New Roman" w:hAnsi="Times New Roman"/>
        </w:rPr>
      </w:pPr>
      <w:bookmarkStart w:id="107" w:name="_Toc100107"/>
      <w:r>
        <w:rPr>
          <w:rFonts w:ascii="Times New Roman" w:hAnsi="Times New Roman"/>
        </w:rPr>
        <w:t>24.1 Tableau de bord des KPI : réalisé 2025 et cibles 2026-2027</w:t>
      </w:r>
      <w:bookmarkEnd w:id="107"/>
    </w:p>
    <w:p w14:paraId="2805E652" w14:textId="77777777" w:rsidR="0042033D" w:rsidRDefault="00000000">
      <w:pPr>
        <w:keepNext/>
        <w:spacing w:before="140" w:after="50" w:line="260" w:lineRule="auto"/>
        <w:rPr>
          <w:sz w:val="24"/>
          <w:szCs w:val="24"/>
        </w:rPr>
      </w:pPr>
      <w:r>
        <w:rPr>
          <w:rFonts w:eastAsia="Arial"/>
          <w:b/>
          <w:bCs/>
          <w:color w:val="1A2330"/>
          <w:sz w:val="24"/>
          <w:szCs w:val="24"/>
        </w:rPr>
        <w:t>Tableau 23 — Tableau de bord des KPI opérationnels, commerciaux et financiers</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3663"/>
        <w:gridCol w:w="1831"/>
        <w:gridCol w:w="1831"/>
        <w:gridCol w:w="1831"/>
      </w:tblGrid>
      <w:tr w:rsidR="0042033D" w14:paraId="1EE0D41B" w14:textId="77777777">
        <w:trPr>
          <w:cantSplit/>
          <w:tblHeader/>
        </w:trPr>
        <w:tc>
          <w:tcPr>
            <w:tcW w:w="2000" w:type="pct"/>
            <w:shd w:val="clear" w:color="auto" w:fill="D4875A"/>
            <w:tcMar>
              <w:top w:w="36" w:type="dxa"/>
              <w:left w:w="80" w:type="dxa"/>
              <w:bottom w:w="36" w:type="dxa"/>
              <w:right w:w="80" w:type="dxa"/>
            </w:tcMar>
            <w:vAlign w:val="center"/>
          </w:tcPr>
          <w:p w14:paraId="05619F59" w14:textId="77777777" w:rsidR="0042033D" w:rsidRDefault="00000000">
            <w:pPr>
              <w:spacing w:line="232" w:lineRule="auto"/>
              <w:jc w:val="center"/>
              <w:rPr>
                <w:sz w:val="24"/>
                <w:szCs w:val="24"/>
              </w:rPr>
            </w:pPr>
            <w:r>
              <w:rPr>
                <w:b/>
                <w:bCs/>
                <w:color w:val="FFFFFF"/>
                <w:sz w:val="24"/>
                <w:szCs w:val="24"/>
              </w:rPr>
              <w:t>KPI</w:t>
            </w:r>
          </w:p>
        </w:tc>
        <w:tc>
          <w:tcPr>
            <w:tcW w:w="1000" w:type="pct"/>
            <w:shd w:val="clear" w:color="auto" w:fill="D4875A"/>
            <w:tcMar>
              <w:top w:w="36" w:type="dxa"/>
              <w:left w:w="80" w:type="dxa"/>
              <w:bottom w:w="36" w:type="dxa"/>
              <w:right w:w="80" w:type="dxa"/>
            </w:tcMar>
            <w:vAlign w:val="center"/>
          </w:tcPr>
          <w:p w14:paraId="0D2ADEB8" w14:textId="77777777" w:rsidR="0042033D" w:rsidRDefault="00000000">
            <w:pPr>
              <w:spacing w:line="232" w:lineRule="auto"/>
              <w:jc w:val="center"/>
              <w:rPr>
                <w:sz w:val="24"/>
                <w:szCs w:val="24"/>
              </w:rPr>
            </w:pPr>
            <w:r>
              <w:t>2025 (gestion)</w:t>
            </w:r>
          </w:p>
        </w:tc>
        <w:tc>
          <w:tcPr>
            <w:tcW w:w="1000" w:type="pct"/>
            <w:shd w:val="clear" w:color="auto" w:fill="D4875A"/>
            <w:tcMar>
              <w:top w:w="36" w:type="dxa"/>
              <w:left w:w="80" w:type="dxa"/>
              <w:bottom w:w="36" w:type="dxa"/>
              <w:right w:w="80" w:type="dxa"/>
            </w:tcMar>
            <w:vAlign w:val="center"/>
          </w:tcPr>
          <w:p w14:paraId="40AEF3F6" w14:textId="77777777" w:rsidR="0042033D" w:rsidRDefault="00000000">
            <w:pPr>
              <w:spacing w:line="232" w:lineRule="auto"/>
              <w:jc w:val="center"/>
              <w:rPr>
                <w:sz w:val="24"/>
                <w:szCs w:val="24"/>
              </w:rPr>
            </w:pPr>
            <w:r>
              <w:rPr>
                <w:b/>
                <w:bCs/>
                <w:color w:val="FFFFFF"/>
                <w:sz w:val="24"/>
                <w:szCs w:val="24"/>
              </w:rPr>
              <w:t>2026 (cible)</w:t>
            </w:r>
          </w:p>
        </w:tc>
        <w:tc>
          <w:tcPr>
            <w:tcW w:w="1000" w:type="pct"/>
            <w:shd w:val="clear" w:color="auto" w:fill="D4875A"/>
            <w:tcMar>
              <w:top w:w="36" w:type="dxa"/>
              <w:left w:w="80" w:type="dxa"/>
              <w:bottom w:w="36" w:type="dxa"/>
              <w:right w:w="80" w:type="dxa"/>
            </w:tcMar>
            <w:vAlign w:val="center"/>
          </w:tcPr>
          <w:p w14:paraId="12D20A46" w14:textId="77777777" w:rsidR="0042033D" w:rsidRDefault="00000000">
            <w:pPr>
              <w:spacing w:line="232" w:lineRule="auto"/>
              <w:jc w:val="center"/>
              <w:rPr>
                <w:sz w:val="24"/>
                <w:szCs w:val="24"/>
              </w:rPr>
            </w:pPr>
            <w:r>
              <w:rPr>
                <w:b/>
                <w:bCs/>
                <w:color w:val="FFFFFF"/>
                <w:sz w:val="24"/>
                <w:szCs w:val="24"/>
              </w:rPr>
              <w:t>2027 (cible)</w:t>
            </w:r>
          </w:p>
        </w:tc>
      </w:tr>
      <w:tr w:rsidR="0042033D" w14:paraId="5675C45D" w14:textId="77777777">
        <w:trPr>
          <w:cantSplit/>
        </w:trPr>
        <w:tc>
          <w:tcPr>
            <w:tcW w:w="2000" w:type="pct"/>
            <w:tcMar>
              <w:top w:w="28" w:type="dxa"/>
              <w:left w:w="80" w:type="dxa"/>
              <w:bottom w:w="28" w:type="dxa"/>
              <w:right w:w="80" w:type="dxa"/>
            </w:tcMar>
            <w:vAlign w:val="center"/>
          </w:tcPr>
          <w:p w14:paraId="3235DDE3" w14:textId="77777777" w:rsidR="0042033D" w:rsidRDefault="00000000">
            <w:pPr>
              <w:spacing w:line="232" w:lineRule="auto"/>
              <w:rPr>
                <w:sz w:val="24"/>
                <w:szCs w:val="24"/>
              </w:rPr>
            </w:pPr>
            <w:r>
              <w:rPr>
                <w:b/>
                <w:bCs/>
                <w:sz w:val="24"/>
                <w:szCs w:val="24"/>
              </w:rPr>
              <w:t>Production mensuelle (T/mois)</w:t>
            </w:r>
          </w:p>
        </w:tc>
        <w:tc>
          <w:tcPr>
            <w:tcW w:w="1000" w:type="pct"/>
            <w:tcMar>
              <w:top w:w="28" w:type="dxa"/>
              <w:left w:w="80" w:type="dxa"/>
              <w:bottom w:w="28" w:type="dxa"/>
              <w:right w:w="80" w:type="dxa"/>
            </w:tcMar>
            <w:vAlign w:val="center"/>
          </w:tcPr>
          <w:p w14:paraId="578E0B48" w14:textId="77777777" w:rsidR="0042033D" w:rsidRDefault="00000000">
            <w:pPr>
              <w:spacing w:line="232" w:lineRule="auto"/>
              <w:jc w:val="center"/>
              <w:rPr>
                <w:sz w:val="24"/>
                <w:szCs w:val="24"/>
              </w:rPr>
            </w:pPr>
            <w:r>
              <w:rPr>
                <w:b/>
                <w:bCs/>
                <w:sz w:val="24"/>
                <w:szCs w:val="24"/>
              </w:rPr>
              <w:t>10</w:t>
            </w:r>
          </w:p>
        </w:tc>
        <w:tc>
          <w:tcPr>
            <w:tcW w:w="1000" w:type="pct"/>
            <w:tcMar>
              <w:top w:w="28" w:type="dxa"/>
              <w:left w:w="80" w:type="dxa"/>
              <w:bottom w:w="28" w:type="dxa"/>
              <w:right w:w="80" w:type="dxa"/>
            </w:tcMar>
            <w:vAlign w:val="center"/>
          </w:tcPr>
          <w:p w14:paraId="7F539D5F" w14:textId="77777777" w:rsidR="0042033D" w:rsidRDefault="00000000">
            <w:pPr>
              <w:spacing w:line="232" w:lineRule="auto"/>
              <w:jc w:val="center"/>
              <w:rPr>
                <w:sz w:val="24"/>
                <w:szCs w:val="24"/>
              </w:rPr>
            </w:pPr>
            <w:r>
              <w:rPr>
                <w:b/>
                <w:bCs/>
                <w:sz w:val="24"/>
                <w:szCs w:val="24"/>
              </w:rPr>
              <w:t>18-22</w:t>
            </w:r>
          </w:p>
        </w:tc>
        <w:tc>
          <w:tcPr>
            <w:tcW w:w="1000" w:type="pct"/>
            <w:tcMar>
              <w:top w:w="28" w:type="dxa"/>
              <w:left w:w="80" w:type="dxa"/>
              <w:bottom w:w="28" w:type="dxa"/>
              <w:right w:w="80" w:type="dxa"/>
            </w:tcMar>
            <w:vAlign w:val="center"/>
          </w:tcPr>
          <w:p w14:paraId="45C94C02" w14:textId="77777777" w:rsidR="0042033D" w:rsidRDefault="00000000">
            <w:pPr>
              <w:spacing w:line="232" w:lineRule="auto"/>
              <w:jc w:val="center"/>
              <w:rPr>
                <w:sz w:val="24"/>
                <w:szCs w:val="24"/>
              </w:rPr>
            </w:pPr>
            <w:r>
              <w:rPr>
                <w:b/>
                <w:bCs/>
                <w:sz w:val="24"/>
                <w:szCs w:val="24"/>
              </w:rPr>
              <w:t>26</w:t>
            </w:r>
          </w:p>
        </w:tc>
      </w:tr>
      <w:tr w:rsidR="0042033D" w14:paraId="2AB120D6" w14:textId="77777777">
        <w:trPr>
          <w:cantSplit/>
        </w:trPr>
        <w:tc>
          <w:tcPr>
            <w:tcW w:w="2000" w:type="pct"/>
            <w:tcMar>
              <w:top w:w="28" w:type="dxa"/>
              <w:left w:w="80" w:type="dxa"/>
              <w:bottom w:w="28" w:type="dxa"/>
              <w:right w:w="80" w:type="dxa"/>
            </w:tcMar>
            <w:vAlign w:val="center"/>
          </w:tcPr>
          <w:p w14:paraId="7EFB033E" w14:textId="77777777" w:rsidR="0042033D" w:rsidRDefault="00000000">
            <w:pPr>
              <w:spacing w:line="232" w:lineRule="auto"/>
              <w:rPr>
                <w:sz w:val="24"/>
                <w:szCs w:val="24"/>
              </w:rPr>
            </w:pPr>
            <w:r>
              <w:rPr>
                <w:b/>
                <w:bCs/>
                <w:sz w:val="24"/>
                <w:szCs w:val="24"/>
              </w:rPr>
              <w:t>Taux d'utilisation de la capacité</w:t>
            </w:r>
          </w:p>
        </w:tc>
        <w:tc>
          <w:tcPr>
            <w:tcW w:w="1000" w:type="pct"/>
            <w:tcMar>
              <w:top w:w="28" w:type="dxa"/>
              <w:left w:w="80" w:type="dxa"/>
              <w:bottom w:w="28" w:type="dxa"/>
              <w:right w:w="80" w:type="dxa"/>
            </w:tcMar>
            <w:vAlign w:val="center"/>
          </w:tcPr>
          <w:p w14:paraId="7EB84B18" w14:textId="77777777" w:rsidR="0042033D" w:rsidRDefault="00000000">
            <w:pPr>
              <w:spacing w:line="232" w:lineRule="auto"/>
              <w:jc w:val="center"/>
              <w:rPr>
                <w:sz w:val="24"/>
                <w:szCs w:val="24"/>
              </w:rPr>
            </w:pPr>
            <w:r>
              <w:rPr>
                <w:b/>
                <w:bCs/>
                <w:sz w:val="24"/>
                <w:szCs w:val="24"/>
              </w:rPr>
              <w:t>100 %</w:t>
            </w:r>
          </w:p>
        </w:tc>
        <w:tc>
          <w:tcPr>
            <w:tcW w:w="1000" w:type="pct"/>
            <w:tcMar>
              <w:top w:w="28" w:type="dxa"/>
              <w:left w:w="80" w:type="dxa"/>
              <w:bottom w:w="28" w:type="dxa"/>
              <w:right w:w="80" w:type="dxa"/>
            </w:tcMar>
            <w:vAlign w:val="center"/>
          </w:tcPr>
          <w:p w14:paraId="7F25D55F" w14:textId="77777777" w:rsidR="0042033D" w:rsidRDefault="00000000">
            <w:pPr>
              <w:spacing w:line="232" w:lineRule="auto"/>
              <w:jc w:val="center"/>
              <w:rPr>
                <w:sz w:val="24"/>
                <w:szCs w:val="24"/>
              </w:rPr>
            </w:pPr>
            <w:r>
              <w:rPr>
                <w:b/>
                <w:bCs/>
                <w:sz w:val="24"/>
                <w:szCs w:val="24"/>
              </w:rPr>
              <w:t>88 %</w:t>
            </w:r>
          </w:p>
        </w:tc>
        <w:tc>
          <w:tcPr>
            <w:tcW w:w="1000" w:type="pct"/>
            <w:tcMar>
              <w:top w:w="28" w:type="dxa"/>
              <w:left w:w="80" w:type="dxa"/>
              <w:bottom w:w="28" w:type="dxa"/>
              <w:right w:w="80" w:type="dxa"/>
            </w:tcMar>
            <w:vAlign w:val="center"/>
          </w:tcPr>
          <w:p w14:paraId="69778EE0" w14:textId="77777777" w:rsidR="0042033D" w:rsidRDefault="00000000">
            <w:pPr>
              <w:spacing w:line="232" w:lineRule="auto"/>
              <w:jc w:val="center"/>
              <w:rPr>
                <w:sz w:val="24"/>
                <w:szCs w:val="24"/>
              </w:rPr>
            </w:pPr>
            <w:r>
              <w:rPr>
                <w:b/>
                <w:bCs/>
                <w:sz w:val="24"/>
                <w:szCs w:val="24"/>
              </w:rPr>
              <w:t>85 %</w:t>
            </w:r>
          </w:p>
        </w:tc>
      </w:tr>
      <w:tr w:rsidR="0042033D" w14:paraId="0312C385" w14:textId="77777777">
        <w:trPr>
          <w:cantSplit/>
        </w:trPr>
        <w:tc>
          <w:tcPr>
            <w:tcW w:w="2000" w:type="pct"/>
            <w:tcMar>
              <w:top w:w="28" w:type="dxa"/>
              <w:left w:w="80" w:type="dxa"/>
              <w:bottom w:w="28" w:type="dxa"/>
              <w:right w:w="80" w:type="dxa"/>
            </w:tcMar>
            <w:vAlign w:val="center"/>
          </w:tcPr>
          <w:p w14:paraId="68457613" w14:textId="77777777" w:rsidR="0042033D" w:rsidRDefault="00000000">
            <w:pPr>
              <w:spacing w:line="232" w:lineRule="auto"/>
              <w:rPr>
                <w:sz w:val="24"/>
                <w:szCs w:val="24"/>
              </w:rPr>
            </w:pPr>
            <w:r>
              <w:rPr>
                <w:b/>
                <w:bCs/>
                <w:sz w:val="24"/>
                <w:szCs w:val="24"/>
              </w:rPr>
              <w:t>Chiffre d'affaires annuel (k $)</w:t>
            </w:r>
          </w:p>
        </w:tc>
        <w:tc>
          <w:tcPr>
            <w:tcW w:w="1000" w:type="pct"/>
            <w:tcMar>
              <w:top w:w="28" w:type="dxa"/>
              <w:left w:w="80" w:type="dxa"/>
              <w:bottom w:w="28" w:type="dxa"/>
              <w:right w:w="80" w:type="dxa"/>
            </w:tcMar>
            <w:vAlign w:val="center"/>
          </w:tcPr>
          <w:p w14:paraId="4BCFA9EB" w14:textId="77777777" w:rsidR="0042033D" w:rsidRDefault="00000000">
            <w:pPr>
              <w:spacing w:line="232" w:lineRule="auto"/>
              <w:jc w:val="center"/>
              <w:rPr>
                <w:sz w:val="24"/>
                <w:szCs w:val="24"/>
              </w:rPr>
            </w:pPr>
            <w:r>
              <w:rPr>
                <w:b/>
                <w:bCs/>
                <w:sz w:val="24"/>
                <w:szCs w:val="24"/>
              </w:rPr>
              <w:t>61</w:t>
            </w:r>
          </w:p>
        </w:tc>
        <w:tc>
          <w:tcPr>
            <w:tcW w:w="1000" w:type="pct"/>
            <w:tcMar>
              <w:top w:w="28" w:type="dxa"/>
              <w:left w:w="80" w:type="dxa"/>
              <w:bottom w:w="28" w:type="dxa"/>
              <w:right w:w="80" w:type="dxa"/>
            </w:tcMar>
            <w:vAlign w:val="center"/>
          </w:tcPr>
          <w:p w14:paraId="78B66F3D" w14:textId="77777777" w:rsidR="0042033D" w:rsidRDefault="00000000">
            <w:pPr>
              <w:spacing w:line="232" w:lineRule="auto"/>
              <w:jc w:val="center"/>
              <w:rPr>
                <w:sz w:val="24"/>
                <w:szCs w:val="24"/>
              </w:rPr>
            </w:pPr>
            <w:r>
              <w:rPr>
                <w:b/>
                <w:bCs/>
                <w:sz w:val="24"/>
                <w:szCs w:val="24"/>
              </w:rPr>
              <w:t>80</w:t>
            </w:r>
          </w:p>
        </w:tc>
        <w:tc>
          <w:tcPr>
            <w:tcW w:w="1000" w:type="pct"/>
            <w:tcMar>
              <w:top w:w="28" w:type="dxa"/>
              <w:left w:w="80" w:type="dxa"/>
              <w:bottom w:w="28" w:type="dxa"/>
              <w:right w:w="80" w:type="dxa"/>
            </w:tcMar>
            <w:vAlign w:val="center"/>
          </w:tcPr>
          <w:p w14:paraId="09D67352" w14:textId="77777777" w:rsidR="0042033D" w:rsidRDefault="00000000">
            <w:pPr>
              <w:spacing w:line="232" w:lineRule="auto"/>
              <w:jc w:val="center"/>
              <w:rPr>
                <w:sz w:val="24"/>
                <w:szCs w:val="24"/>
              </w:rPr>
            </w:pPr>
            <w:r>
              <w:rPr>
                <w:b/>
                <w:bCs/>
                <w:sz w:val="24"/>
                <w:szCs w:val="24"/>
              </w:rPr>
              <w:t>145</w:t>
            </w:r>
          </w:p>
        </w:tc>
      </w:tr>
      <w:tr w:rsidR="0042033D" w14:paraId="0BA3BEAF" w14:textId="77777777">
        <w:trPr>
          <w:cantSplit/>
        </w:trPr>
        <w:tc>
          <w:tcPr>
            <w:tcW w:w="2000" w:type="pct"/>
            <w:tcMar>
              <w:top w:w="28" w:type="dxa"/>
              <w:left w:w="80" w:type="dxa"/>
              <w:bottom w:w="28" w:type="dxa"/>
              <w:right w:w="80" w:type="dxa"/>
            </w:tcMar>
            <w:vAlign w:val="center"/>
          </w:tcPr>
          <w:p w14:paraId="01E377AC" w14:textId="77777777" w:rsidR="0042033D" w:rsidRDefault="00000000">
            <w:pPr>
              <w:spacing w:line="232" w:lineRule="auto"/>
              <w:rPr>
                <w:sz w:val="24"/>
                <w:szCs w:val="24"/>
              </w:rPr>
            </w:pPr>
            <w:r>
              <w:rPr>
                <w:b/>
                <w:bCs/>
                <w:sz w:val="24"/>
                <w:szCs w:val="24"/>
              </w:rPr>
              <w:t>EBITDA (k $)</w:t>
            </w:r>
          </w:p>
        </w:tc>
        <w:tc>
          <w:tcPr>
            <w:tcW w:w="1000" w:type="pct"/>
            <w:tcMar>
              <w:top w:w="28" w:type="dxa"/>
              <w:left w:w="80" w:type="dxa"/>
              <w:bottom w:w="28" w:type="dxa"/>
              <w:right w:w="80" w:type="dxa"/>
            </w:tcMar>
            <w:vAlign w:val="center"/>
          </w:tcPr>
          <w:p w14:paraId="0E72B75D" w14:textId="77777777" w:rsidR="0042033D" w:rsidRDefault="00000000">
            <w:pPr>
              <w:spacing w:line="232" w:lineRule="auto"/>
              <w:jc w:val="center"/>
              <w:rPr>
                <w:sz w:val="24"/>
                <w:szCs w:val="24"/>
              </w:rPr>
            </w:pPr>
            <w:r>
              <w:rPr>
                <w:b/>
                <w:bCs/>
                <w:sz w:val="24"/>
                <w:szCs w:val="24"/>
              </w:rPr>
              <w:t>12</w:t>
            </w:r>
          </w:p>
        </w:tc>
        <w:tc>
          <w:tcPr>
            <w:tcW w:w="1000" w:type="pct"/>
            <w:tcMar>
              <w:top w:w="28" w:type="dxa"/>
              <w:left w:w="80" w:type="dxa"/>
              <w:bottom w:w="28" w:type="dxa"/>
              <w:right w:w="80" w:type="dxa"/>
            </w:tcMar>
            <w:vAlign w:val="center"/>
          </w:tcPr>
          <w:p w14:paraId="61F125E6" w14:textId="77777777" w:rsidR="0042033D" w:rsidRDefault="00000000">
            <w:pPr>
              <w:spacing w:line="232" w:lineRule="auto"/>
              <w:jc w:val="center"/>
              <w:rPr>
                <w:sz w:val="24"/>
                <w:szCs w:val="24"/>
              </w:rPr>
            </w:pPr>
            <w:r>
              <w:rPr>
                <w:b/>
                <w:bCs/>
                <w:sz w:val="24"/>
                <w:szCs w:val="24"/>
              </w:rPr>
              <w:t>15</w:t>
            </w:r>
          </w:p>
        </w:tc>
        <w:tc>
          <w:tcPr>
            <w:tcW w:w="1000" w:type="pct"/>
            <w:tcMar>
              <w:top w:w="28" w:type="dxa"/>
              <w:left w:w="80" w:type="dxa"/>
              <w:bottom w:w="28" w:type="dxa"/>
              <w:right w:w="80" w:type="dxa"/>
            </w:tcMar>
            <w:vAlign w:val="center"/>
          </w:tcPr>
          <w:p w14:paraId="7B47C6D4" w14:textId="77777777" w:rsidR="0042033D" w:rsidRDefault="00000000">
            <w:pPr>
              <w:spacing w:line="232" w:lineRule="auto"/>
              <w:jc w:val="center"/>
              <w:rPr>
                <w:sz w:val="24"/>
                <w:szCs w:val="24"/>
              </w:rPr>
            </w:pPr>
            <w:r>
              <w:rPr>
                <w:b/>
                <w:bCs/>
                <w:sz w:val="24"/>
                <w:szCs w:val="24"/>
              </w:rPr>
              <w:t>34</w:t>
            </w:r>
          </w:p>
        </w:tc>
      </w:tr>
      <w:tr w:rsidR="0042033D" w14:paraId="28B3FC89" w14:textId="77777777">
        <w:trPr>
          <w:cantSplit/>
        </w:trPr>
        <w:tc>
          <w:tcPr>
            <w:tcW w:w="2000" w:type="pct"/>
            <w:tcMar>
              <w:top w:w="28" w:type="dxa"/>
              <w:left w:w="80" w:type="dxa"/>
              <w:bottom w:w="28" w:type="dxa"/>
              <w:right w:w="80" w:type="dxa"/>
            </w:tcMar>
            <w:vAlign w:val="center"/>
          </w:tcPr>
          <w:p w14:paraId="23D7093B" w14:textId="77777777" w:rsidR="0042033D" w:rsidRDefault="00000000">
            <w:pPr>
              <w:spacing w:line="232" w:lineRule="auto"/>
              <w:rPr>
                <w:sz w:val="24"/>
                <w:szCs w:val="24"/>
              </w:rPr>
            </w:pPr>
            <w:r>
              <w:rPr>
                <w:b/>
                <w:bCs/>
                <w:sz w:val="24"/>
                <w:szCs w:val="24"/>
              </w:rPr>
              <w:t>Marge EBITDA (%)</w:t>
            </w:r>
          </w:p>
        </w:tc>
        <w:tc>
          <w:tcPr>
            <w:tcW w:w="1000" w:type="pct"/>
            <w:tcMar>
              <w:top w:w="28" w:type="dxa"/>
              <w:left w:w="80" w:type="dxa"/>
              <w:bottom w:w="28" w:type="dxa"/>
              <w:right w:w="80" w:type="dxa"/>
            </w:tcMar>
            <w:vAlign w:val="center"/>
          </w:tcPr>
          <w:p w14:paraId="0B89E51E" w14:textId="77777777" w:rsidR="0042033D" w:rsidRDefault="00000000">
            <w:pPr>
              <w:spacing w:line="232" w:lineRule="auto"/>
              <w:jc w:val="center"/>
              <w:rPr>
                <w:sz w:val="24"/>
                <w:szCs w:val="24"/>
              </w:rPr>
            </w:pPr>
            <w:r>
              <w:rPr>
                <w:b/>
                <w:bCs/>
                <w:sz w:val="24"/>
                <w:szCs w:val="24"/>
              </w:rPr>
              <w:t>20 %</w:t>
            </w:r>
          </w:p>
        </w:tc>
        <w:tc>
          <w:tcPr>
            <w:tcW w:w="1000" w:type="pct"/>
            <w:tcMar>
              <w:top w:w="28" w:type="dxa"/>
              <w:left w:w="80" w:type="dxa"/>
              <w:bottom w:w="28" w:type="dxa"/>
              <w:right w:w="80" w:type="dxa"/>
            </w:tcMar>
            <w:vAlign w:val="center"/>
          </w:tcPr>
          <w:p w14:paraId="44276AB8" w14:textId="77777777" w:rsidR="0042033D" w:rsidRDefault="00000000">
            <w:pPr>
              <w:spacing w:line="232" w:lineRule="auto"/>
              <w:jc w:val="center"/>
              <w:rPr>
                <w:sz w:val="24"/>
                <w:szCs w:val="24"/>
              </w:rPr>
            </w:pPr>
            <w:r>
              <w:rPr>
                <w:b/>
                <w:bCs/>
                <w:sz w:val="24"/>
                <w:szCs w:val="24"/>
              </w:rPr>
              <w:t>19 %</w:t>
            </w:r>
          </w:p>
        </w:tc>
        <w:tc>
          <w:tcPr>
            <w:tcW w:w="1000" w:type="pct"/>
            <w:tcMar>
              <w:top w:w="28" w:type="dxa"/>
              <w:left w:w="80" w:type="dxa"/>
              <w:bottom w:w="28" w:type="dxa"/>
              <w:right w:w="80" w:type="dxa"/>
            </w:tcMar>
            <w:vAlign w:val="center"/>
          </w:tcPr>
          <w:p w14:paraId="3735DEE0" w14:textId="77777777" w:rsidR="0042033D" w:rsidRDefault="00000000">
            <w:pPr>
              <w:spacing w:line="232" w:lineRule="auto"/>
              <w:jc w:val="center"/>
              <w:rPr>
                <w:sz w:val="24"/>
                <w:szCs w:val="24"/>
              </w:rPr>
            </w:pPr>
            <w:r>
              <w:rPr>
                <w:b/>
                <w:bCs/>
                <w:sz w:val="24"/>
                <w:szCs w:val="24"/>
              </w:rPr>
              <w:t>23 %</w:t>
            </w:r>
          </w:p>
        </w:tc>
      </w:tr>
      <w:tr w:rsidR="0042033D" w14:paraId="64D626BE" w14:textId="77777777">
        <w:trPr>
          <w:cantSplit/>
        </w:trPr>
        <w:tc>
          <w:tcPr>
            <w:tcW w:w="2000" w:type="pct"/>
            <w:tcMar>
              <w:top w:w="28" w:type="dxa"/>
              <w:left w:w="80" w:type="dxa"/>
              <w:bottom w:w="28" w:type="dxa"/>
              <w:right w:w="80" w:type="dxa"/>
            </w:tcMar>
            <w:vAlign w:val="center"/>
          </w:tcPr>
          <w:p w14:paraId="1BEBE059" w14:textId="77777777" w:rsidR="0042033D" w:rsidRPr="00AE3011" w:rsidRDefault="00000000">
            <w:pPr>
              <w:spacing w:line="232" w:lineRule="auto"/>
              <w:rPr>
                <w:b/>
                <w:bCs/>
                <w:sz w:val="24"/>
                <w:szCs w:val="24"/>
              </w:rPr>
            </w:pPr>
            <w:r w:rsidRPr="00AE3011">
              <w:rPr>
                <w:b/>
                <w:bCs/>
                <w:sz w:val="24"/>
                <w:szCs w:val="24"/>
              </w:rPr>
              <w:t>Bénéficiaires / points suivis (cumul)</w:t>
            </w:r>
          </w:p>
        </w:tc>
        <w:tc>
          <w:tcPr>
            <w:tcW w:w="1000" w:type="pct"/>
            <w:tcMar>
              <w:top w:w="28" w:type="dxa"/>
              <w:left w:w="80" w:type="dxa"/>
              <w:bottom w:w="28" w:type="dxa"/>
              <w:right w:w="80" w:type="dxa"/>
            </w:tcMar>
            <w:vAlign w:val="center"/>
          </w:tcPr>
          <w:p w14:paraId="430A823C" w14:textId="77777777" w:rsidR="0042033D" w:rsidRPr="00AE3011" w:rsidRDefault="00000000">
            <w:pPr>
              <w:spacing w:line="232" w:lineRule="auto"/>
              <w:jc w:val="center"/>
              <w:rPr>
                <w:b/>
                <w:bCs/>
                <w:sz w:val="24"/>
                <w:szCs w:val="24"/>
              </w:rPr>
            </w:pPr>
            <w:r w:rsidRPr="00AE3011">
              <w:rPr>
                <w:b/>
                <w:bCs/>
                <w:sz w:val="24"/>
                <w:szCs w:val="24"/>
              </w:rPr>
              <w:t>930</w:t>
            </w:r>
          </w:p>
        </w:tc>
        <w:tc>
          <w:tcPr>
            <w:tcW w:w="1000" w:type="pct"/>
            <w:tcMar>
              <w:top w:w="28" w:type="dxa"/>
              <w:left w:w="80" w:type="dxa"/>
              <w:bottom w:w="28" w:type="dxa"/>
              <w:right w:w="80" w:type="dxa"/>
            </w:tcMar>
            <w:vAlign w:val="center"/>
          </w:tcPr>
          <w:p w14:paraId="053311B7" w14:textId="77777777" w:rsidR="0042033D" w:rsidRPr="00AE3011" w:rsidRDefault="00000000">
            <w:pPr>
              <w:spacing w:line="232" w:lineRule="auto"/>
              <w:jc w:val="center"/>
              <w:rPr>
                <w:b/>
                <w:bCs/>
                <w:sz w:val="24"/>
                <w:szCs w:val="24"/>
              </w:rPr>
            </w:pPr>
            <w:r w:rsidRPr="00AE3011">
              <w:rPr>
                <w:b/>
                <w:bCs/>
                <w:sz w:val="24"/>
                <w:szCs w:val="24"/>
              </w:rPr>
              <w:t>1 300</w:t>
            </w:r>
          </w:p>
        </w:tc>
        <w:tc>
          <w:tcPr>
            <w:tcW w:w="1000" w:type="pct"/>
            <w:tcMar>
              <w:top w:w="28" w:type="dxa"/>
              <w:left w:w="80" w:type="dxa"/>
              <w:bottom w:w="28" w:type="dxa"/>
              <w:right w:w="80" w:type="dxa"/>
            </w:tcMar>
            <w:vAlign w:val="center"/>
          </w:tcPr>
          <w:p w14:paraId="133B4BC3" w14:textId="77777777" w:rsidR="0042033D" w:rsidRPr="00AE3011" w:rsidRDefault="00000000">
            <w:pPr>
              <w:spacing w:line="232" w:lineRule="auto"/>
              <w:jc w:val="center"/>
              <w:rPr>
                <w:b/>
                <w:bCs/>
                <w:sz w:val="24"/>
                <w:szCs w:val="24"/>
              </w:rPr>
            </w:pPr>
            <w:r w:rsidRPr="00AE3011">
              <w:rPr>
                <w:b/>
                <w:bCs/>
                <w:sz w:val="24"/>
                <w:szCs w:val="24"/>
              </w:rPr>
              <w:t>2 500</w:t>
            </w:r>
          </w:p>
        </w:tc>
      </w:tr>
      <w:tr w:rsidR="0042033D" w14:paraId="412199B3" w14:textId="77777777">
        <w:trPr>
          <w:cantSplit/>
        </w:trPr>
        <w:tc>
          <w:tcPr>
            <w:tcW w:w="2000" w:type="pct"/>
            <w:tcMar>
              <w:top w:w="28" w:type="dxa"/>
              <w:left w:w="80" w:type="dxa"/>
              <w:bottom w:w="28" w:type="dxa"/>
              <w:right w:w="80" w:type="dxa"/>
            </w:tcMar>
            <w:vAlign w:val="center"/>
          </w:tcPr>
          <w:p w14:paraId="06993BFE" w14:textId="77777777" w:rsidR="0042033D" w:rsidRDefault="00000000">
            <w:pPr>
              <w:spacing w:line="232" w:lineRule="auto"/>
              <w:rPr>
                <w:sz w:val="24"/>
                <w:szCs w:val="24"/>
              </w:rPr>
            </w:pPr>
            <w:r>
              <w:rPr>
                <w:b/>
                <w:bCs/>
                <w:sz w:val="24"/>
                <w:szCs w:val="24"/>
              </w:rPr>
              <w:t>Taux de rétention clients</w:t>
            </w:r>
          </w:p>
        </w:tc>
        <w:tc>
          <w:tcPr>
            <w:tcW w:w="1000" w:type="pct"/>
            <w:tcMar>
              <w:top w:w="28" w:type="dxa"/>
              <w:left w:w="80" w:type="dxa"/>
              <w:bottom w:w="28" w:type="dxa"/>
              <w:right w:w="80" w:type="dxa"/>
            </w:tcMar>
            <w:vAlign w:val="center"/>
          </w:tcPr>
          <w:p w14:paraId="3F9F2124" w14:textId="77777777" w:rsidR="0042033D" w:rsidRDefault="00000000">
            <w:pPr>
              <w:spacing w:line="232" w:lineRule="auto"/>
              <w:jc w:val="center"/>
              <w:rPr>
                <w:sz w:val="24"/>
                <w:szCs w:val="24"/>
              </w:rPr>
            </w:pPr>
            <w:r>
              <w:rPr>
                <w:b/>
                <w:bCs/>
                <w:sz w:val="24"/>
                <w:szCs w:val="24"/>
              </w:rPr>
              <w:t>60 %</w:t>
            </w:r>
          </w:p>
        </w:tc>
        <w:tc>
          <w:tcPr>
            <w:tcW w:w="1000" w:type="pct"/>
            <w:tcMar>
              <w:top w:w="28" w:type="dxa"/>
              <w:left w:w="80" w:type="dxa"/>
              <w:bottom w:w="28" w:type="dxa"/>
              <w:right w:w="80" w:type="dxa"/>
            </w:tcMar>
            <w:vAlign w:val="center"/>
          </w:tcPr>
          <w:p w14:paraId="56C73FD0" w14:textId="77777777" w:rsidR="0042033D" w:rsidRDefault="00000000">
            <w:pPr>
              <w:spacing w:line="232" w:lineRule="auto"/>
              <w:jc w:val="center"/>
              <w:rPr>
                <w:sz w:val="24"/>
                <w:szCs w:val="24"/>
              </w:rPr>
            </w:pPr>
            <w:r>
              <w:rPr>
                <w:b/>
                <w:bCs/>
                <w:sz w:val="24"/>
                <w:szCs w:val="24"/>
              </w:rPr>
              <w:t>65 %</w:t>
            </w:r>
          </w:p>
        </w:tc>
        <w:tc>
          <w:tcPr>
            <w:tcW w:w="1000" w:type="pct"/>
            <w:tcMar>
              <w:top w:w="28" w:type="dxa"/>
              <w:left w:w="80" w:type="dxa"/>
              <w:bottom w:w="28" w:type="dxa"/>
              <w:right w:w="80" w:type="dxa"/>
            </w:tcMar>
            <w:vAlign w:val="center"/>
          </w:tcPr>
          <w:p w14:paraId="34E7F152" w14:textId="77777777" w:rsidR="0042033D" w:rsidRDefault="00000000">
            <w:pPr>
              <w:spacing w:line="232" w:lineRule="auto"/>
              <w:jc w:val="center"/>
              <w:rPr>
                <w:sz w:val="24"/>
                <w:szCs w:val="24"/>
              </w:rPr>
            </w:pPr>
            <w:r>
              <w:rPr>
                <w:b/>
                <w:bCs/>
                <w:sz w:val="24"/>
                <w:szCs w:val="24"/>
              </w:rPr>
              <w:t>70 %</w:t>
            </w:r>
          </w:p>
        </w:tc>
      </w:tr>
      <w:tr w:rsidR="0042033D" w14:paraId="4B7A7C6D" w14:textId="77777777">
        <w:trPr>
          <w:cantSplit/>
        </w:trPr>
        <w:tc>
          <w:tcPr>
            <w:tcW w:w="2000" w:type="pct"/>
            <w:tcMar>
              <w:top w:w="28" w:type="dxa"/>
              <w:left w:w="80" w:type="dxa"/>
              <w:bottom w:w="28" w:type="dxa"/>
              <w:right w:w="80" w:type="dxa"/>
            </w:tcMar>
            <w:vAlign w:val="center"/>
          </w:tcPr>
          <w:p w14:paraId="411249BC" w14:textId="77777777" w:rsidR="0042033D" w:rsidRDefault="00000000">
            <w:pPr>
              <w:spacing w:line="232" w:lineRule="auto"/>
              <w:rPr>
                <w:sz w:val="24"/>
                <w:szCs w:val="24"/>
              </w:rPr>
            </w:pPr>
            <w:r>
              <w:rPr>
                <w:b/>
                <w:bCs/>
                <w:sz w:val="24"/>
                <w:szCs w:val="24"/>
              </w:rPr>
              <w:t>Comptes B2B actifs</w:t>
            </w:r>
          </w:p>
        </w:tc>
        <w:tc>
          <w:tcPr>
            <w:tcW w:w="1000" w:type="pct"/>
            <w:tcMar>
              <w:top w:w="28" w:type="dxa"/>
              <w:left w:w="80" w:type="dxa"/>
              <w:bottom w:w="28" w:type="dxa"/>
              <w:right w:w="80" w:type="dxa"/>
            </w:tcMar>
            <w:vAlign w:val="center"/>
          </w:tcPr>
          <w:p w14:paraId="75A385BD" w14:textId="77777777" w:rsidR="0042033D" w:rsidRDefault="00000000">
            <w:pPr>
              <w:spacing w:line="232" w:lineRule="auto"/>
              <w:jc w:val="center"/>
              <w:rPr>
                <w:sz w:val="24"/>
                <w:szCs w:val="24"/>
              </w:rPr>
            </w:pPr>
            <w:r>
              <w:rPr>
                <w:b/>
                <w:bCs/>
                <w:sz w:val="24"/>
                <w:szCs w:val="24"/>
              </w:rPr>
              <w:t>5</w:t>
            </w:r>
          </w:p>
        </w:tc>
        <w:tc>
          <w:tcPr>
            <w:tcW w:w="1000" w:type="pct"/>
            <w:tcMar>
              <w:top w:w="28" w:type="dxa"/>
              <w:left w:w="80" w:type="dxa"/>
              <w:bottom w:w="28" w:type="dxa"/>
              <w:right w:w="80" w:type="dxa"/>
            </w:tcMar>
            <w:vAlign w:val="center"/>
          </w:tcPr>
          <w:p w14:paraId="1D4E98B3" w14:textId="77777777" w:rsidR="0042033D" w:rsidRDefault="00000000">
            <w:pPr>
              <w:spacing w:line="232" w:lineRule="auto"/>
              <w:jc w:val="center"/>
              <w:rPr>
                <w:sz w:val="24"/>
                <w:szCs w:val="24"/>
              </w:rPr>
            </w:pPr>
            <w:r>
              <w:rPr>
                <w:b/>
                <w:bCs/>
                <w:sz w:val="24"/>
                <w:szCs w:val="24"/>
              </w:rPr>
              <w:t>8</w:t>
            </w:r>
          </w:p>
        </w:tc>
        <w:tc>
          <w:tcPr>
            <w:tcW w:w="1000" w:type="pct"/>
            <w:tcMar>
              <w:top w:w="28" w:type="dxa"/>
              <w:left w:w="80" w:type="dxa"/>
              <w:bottom w:w="28" w:type="dxa"/>
              <w:right w:w="80" w:type="dxa"/>
            </w:tcMar>
            <w:vAlign w:val="center"/>
          </w:tcPr>
          <w:p w14:paraId="6B44DA60" w14:textId="77777777" w:rsidR="0042033D" w:rsidRDefault="00000000">
            <w:pPr>
              <w:spacing w:line="232" w:lineRule="auto"/>
              <w:jc w:val="center"/>
              <w:rPr>
                <w:sz w:val="24"/>
                <w:szCs w:val="24"/>
              </w:rPr>
            </w:pPr>
            <w:r>
              <w:rPr>
                <w:b/>
                <w:bCs/>
                <w:sz w:val="24"/>
                <w:szCs w:val="24"/>
              </w:rPr>
              <w:t>12</w:t>
            </w:r>
          </w:p>
        </w:tc>
      </w:tr>
      <w:tr w:rsidR="0042033D" w14:paraId="2CC33AEA" w14:textId="77777777">
        <w:trPr>
          <w:cantSplit/>
        </w:trPr>
        <w:tc>
          <w:tcPr>
            <w:tcW w:w="2000" w:type="pct"/>
            <w:tcMar>
              <w:top w:w="28" w:type="dxa"/>
              <w:left w:w="80" w:type="dxa"/>
              <w:bottom w:w="28" w:type="dxa"/>
              <w:right w:w="80" w:type="dxa"/>
            </w:tcMar>
            <w:vAlign w:val="center"/>
          </w:tcPr>
          <w:p w14:paraId="35043CA3" w14:textId="77777777" w:rsidR="0042033D" w:rsidRDefault="00000000">
            <w:pPr>
              <w:spacing w:line="232" w:lineRule="auto"/>
              <w:rPr>
                <w:sz w:val="24"/>
                <w:szCs w:val="24"/>
              </w:rPr>
            </w:pPr>
            <w:r>
              <w:rPr>
                <w:b/>
                <w:bCs/>
                <w:sz w:val="24"/>
                <w:szCs w:val="24"/>
              </w:rPr>
              <w:t>Revenus protéines larvaires (k $)</w:t>
            </w:r>
          </w:p>
        </w:tc>
        <w:tc>
          <w:tcPr>
            <w:tcW w:w="1000" w:type="pct"/>
            <w:tcMar>
              <w:top w:w="28" w:type="dxa"/>
              <w:left w:w="80" w:type="dxa"/>
              <w:bottom w:w="28" w:type="dxa"/>
              <w:right w:w="80" w:type="dxa"/>
            </w:tcMar>
            <w:vAlign w:val="center"/>
          </w:tcPr>
          <w:p w14:paraId="7E970749" w14:textId="77777777" w:rsidR="0042033D" w:rsidRDefault="00000000">
            <w:pPr>
              <w:spacing w:line="232" w:lineRule="auto"/>
              <w:jc w:val="center"/>
              <w:rPr>
                <w:sz w:val="24"/>
                <w:szCs w:val="24"/>
              </w:rPr>
            </w:pPr>
            <w:r>
              <w:rPr>
                <w:b/>
                <w:bCs/>
                <w:sz w:val="24"/>
                <w:szCs w:val="24"/>
              </w:rPr>
              <w:t>0</w:t>
            </w:r>
          </w:p>
        </w:tc>
        <w:tc>
          <w:tcPr>
            <w:tcW w:w="1000" w:type="pct"/>
            <w:tcMar>
              <w:top w:w="28" w:type="dxa"/>
              <w:left w:w="80" w:type="dxa"/>
              <w:bottom w:w="28" w:type="dxa"/>
              <w:right w:w="80" w:type="dxa"/>
            </w:tcMar>
            <w:vAlign w:val="center"/>
          </w:tcPr>
          <w:p w14:paraId="02FF8611" w14:textId="77777777" w:rsidR="0042033D" w:rsidRDefault="00000000">
            <w:pPr>
              <w:spacing w:line="232" w:lineRule="auto"/>
              <w:jc w:val="center"/>
              <w:rPr>
                <w:sz w:val="24"/>
                <w:szCs w:val="24"/>
              </w:rPr>
            </w:pPr>
            <w:r>
              <w:rPr>
                <w:b/>
                <w:bCs/>
                <w:sz w:val="24"/>
                <w:szCs w:val="24"/>
              </w:rPr>
              <w:t>0</w:t>
            </w:r>
          </w:p>
        </w:tc>
        <w:tc>
          <w:tcPr>
            <w:tcW w:w="1000" w:type="pct"/>
            <w:tcMar>
              <w:top w:w="28" w:type="dxa"/>
              <w:left w:w="80" w:type="dxa"/>
              <w:bottom w:w="28" w:type="dxa"/>
              <w:right w:w="80" w:type="dxa"/>
            </w:tcMar>
            <w:vAlign w:val="center"/>
          </w:tcPr>
          <w:p w14:paraId="1FC6E81C" w14:textId="77777777" w:rsidR="0042033D" w:rsidRDefault="00000000">
            <w:pPr>
              <w:spacing w:line="232" w:lineRule="auto"/>
              <w:jc w:val="center"/>
              <w:rPr>
                <w:sz w:val="24"/>
                <w:szCs w:val="24"/>
              </w:rPr>
            </w:pPr>
            <w:r>
              <w:rPr>
                <w:b/>
                <w:bCs/>
                <w:sz w:val="24"/>
                <w:szCs w:val="24"/>
              </w:rPr>
              <w:t>15</w:t>
            </w:r>
          </w:p>
        </w:tc>
      </w:tr>
      <w:tr w:rsidR="0042033D" w14:paraId="51FDA868" w14:textId="77777777">
        <w:trPr>
          <w:cantSplit/>
        </w:trPr>
        <w:tc>
          <w:tcPr>
            <w:tcW w:w="2000" w:type="pct"/>
            <w:tcMar>
              <w:top w:w="28" w:type="dxa"/>
              <w:left w:w="80" w:type="dxa"/>
              <w:bottom w:w="28" w:type="dxa"/>
              <w:right w:w="80" w:type="dxa"/>
            </w:tcMar>
            <w:vAlign w:val="center"/>
          </w:tcPr>
          <w:p w14:paraId="58B7EB16" w14:textId="77777777" w:rsidR="0042033D" w:rsidRDefault="00000000">
            <w:pPr>
              <w:spacing w:line="232" w:lineRule="auto"/>
              <w:rPr>
                <w:sz w:val="24"/>
                <w:szCs w:val="24"/>
              </w:rPr>
            </w:pPr>
            <w:r>
              <w:rPr>
                <w:b/>
                <w:bCs/>
                <w:sz w:val="24"/>
                <w:szCs w:val="24"/>
              </w:rPr>
              <w:t>Part du chiffre d'affaires hors FDA</w:t>
            </w:r>
          </w:p>
        </w:tc>
        <w:tc>
          <w:tcPr>
            <w:tcW w:w="1000" w:type="pct"/>
            <w:tcMar>
              <w:top w:w="28" w:type="dxa"/>
              <w:left w:w="80" w:type="dxa"/>
              <w:bottom w:w="28" w:type="dxa"/>
              <w:right w:w="80" w:type="dxa"/>
            </w:tcMar>
            <w:vAlign w:val="center"/>
          </w:tcPr>
          <w:p w14:paraId="22C2A128" w14:textId="77777777" w:rsidR="0042033D" w:rsidRDefault="00000000">
            <w:pPr>
              <w:spacing w:line="232" w:lineRule="auto"/>
              <w:jc w:val="center"/>
              <w:rPr>
                <w:sz w:val="24"/>
                <w:szCs w:val="24"/>
              </w:rPr>
            </w:pPr>
            <w:r>
              <w:rPr>
                <w:b/>
                <w:bCs/>
                <w:sz w:val="24"/>
                <w:szCs w:val="24"/>
              </w:rPr>
              <w:t>13 %</w:t>
            </w:r>
          </w:p>
        </w:tc>
        <w:tc>
          <w:tcPr>
            <w:tcW w:w="1000" w:type="pct"/>
            <w:tcMar>
              <w:top w:w="28" w:type="dxa"/>
              <w:left w:w="80" w:type="dxa"/>
              <w:bottom w:w="28" w:type="dxa"/>
              <w:right w:w="80" w:type="dxa"/>
            </w:tcMar>
            <w:vAlign w:val="center"/>
          </w:tcPr>
          <w:p w14:paraId="1FAD402B" w14:textId="77777777" w:rsidR="0042033D" w:rsidRDefault="00000000">
            <w:pPr>
              <w:spacing w:line="232" w:lineRule="auto"/>
              <w:jc w:val="center"/>
              <w:rPr>
                <w:sz w:val="24"/>
                <w:szCs w:val="24"/>
              </w:rPr>
            </w:pPr>
            <w:r>
              <w:rPr>
                <w:b/>
                <w:bCs/>
                <w:sz w:val="24"/>
                <w:szCs w:val="24"/>
              </w:rPr>
              <w:t>30 %</w:t>
            </w:r>
          </w:p>
        </w:tc>
        <w:tc>
          <w:tcPr>
            <w:tcW w:w="1000" w:type="pct"/>
            <w:tcMar>
              <w:top w:w="28" w:type="dxa"/>
              <w:left w:w="80" w:type="dxa"/>
              <w:bottom w:w="28" w:type="dxa"/>
              <w:right w:w="80" w:type="dxa"/>
            </w:tcMar>
            <w:vAlign w:val="center"/>
          </w:tcPr>
          <w:p w14:paraId="548373C8" w14:textId="77777777" w:rsidR="0042033D" w:rsidRDefault="00000000">
            <w:pPr>
              <w:spacing w:line="232" w:lineRule="auto"/>
              <w:jc w:val="center"/>
              <w:rPr>
                <w:sz w:val="24"/>
                <w:szCs w:val="24"/>
              </w:rPr>
            </w:pPr>
            <w:r>
              <w:rPr>
                <w:b/>
                <w:bCs/>
                <w:sz w:val="24"/>
                <w:szCs w:val="24"/>
              </w:rPr>
              <w:t>40-45 %</w:t>
            </w:r>
          </w:p>
        </w:tc>
      </w:tr>
      <w:tr w:rsidR="0042033D" w14:paraId="5CAC55F6" w14:textId="77777777">
        <w:trPr>
          <w:cantSplit/>
        </w:trPr>
        <w:tc>
          <w:tcPr>
            <w:tcW w:w="2000" w:type="pct"/>
            <w:tcMar>
              <w:top w:w="28" w:type="dxa"/>
              <w:left w:w="80" w:type="dxa"/>
              <w:bottom w:w="28" w:type="dxa"/>
              <w:right w:w="80" w:type="dxa"/>
            </w:tcMar>
            <w:vAlign w:val="center"/>
          </w:tcPr>
          <w:p w14:paraId="0B327514" w14:textId="77777777" w:rsidR="0042033D" w:rsidRDefault="00000000">
            <w:pPr>
              <w:spacing w:line="232" w:lineRule="auto"/>
              <w:rPr>
                <w:sz w:val="24"/>
                <w:szCs w:val="24"/>
              </w:rPr>
            </w:pPr>
            <w:r>
              <w:rPr>
                <w:b/>
                <w:bCs/>
                <w:sz w:val="24"/>
                <w:szCs w:val="24"/>
              </w:rPr>
              <w:t>Effectifs salariés (ETP CNAPS)</w:t>
            </w:r>
          </w:p>
        </w:tc>
        <w:tc>
          <w:tcPr>
            <w:tcW w:w="1000" w:type="pct"/>
            <w:tcMar>
              <w:top w:w="28" w:type="dxa"/>
              <w:left w:w="80" w:type="dxa"/>
              <w:bottom w:w="28" w:type="dxa"/>
              <w:right w:w="80" w:type="dxa"/>
            </w:tcMar>
            <w:vAlign w:val="center"/>
          </w:tcPr>
          <w:p w14:paraId="29C224D5" w14:textId="77777777" w:rsidR="0042033D" w:rsidRDefault="00000000">
            <w:pPr>
              <w:spacing w:line="232" w:lineRule="auto"/>
              <w:jc w:val="center"/>
              <w:rPr>
                <w:sz w:val="24"/>
                <w:szCs w:val="24"/>
              </w:rPr>
            </w:pPr>
            <w:r>
              <w:rPr>
                <w:b/>
                <w:bCs/>
                <w:sz w:val="24"/>
                <w:szCs w:val="24"/>
              </w:rPr>
              <w:t>16</w:t>
            </w:r>
          </w:p>
        </w:tc>
        <w:tc>
          <w:tcPr>
            <w:tcW w:w="1000" w:type="pct"/>
            <w:tcMar>
              <w:top w:w="28" w:type="dxa"/>
              <w:left w:w="80" w:type="dxa"/>
              <w:bottom w:w="28" w:type="dxa"/>
              <w:right w:w="80" w:type="dxa"/>
            </w:tcMar>
            <w:vAlign w:val="center"/>
          </w:tcPr>
          <w:p w14:paraId="180BCB6F" w14:textId="77777777" w:rsidR="0042033D" w:rsidRDefault="00000000">
            <w:pPr>
              <w:spacing w:line="232" w:lineRule="auto"/>
              <w:jc w:val="center"/>
              <w:rPr>
                <w:sz w:val="24"/>
                <w:szCs w:val="24"/>
              </w:rPr>
            </w:pPr>
            <w:r>
              <w:rPr>
                <w:b/>
                <w:bCs/>
                <w:sz w:val="24"/>
                <w:szCs w:val="24"/>
              </w:rPr>
              <w:t>19</w:t>
            </w:r>
          </w:p>
        </w:tc>
        <w:tc>
          <w:tcPr>
            <w:tcW w:w="1000" w:type="pct"/>
            <w:tcMar>
              <w:top w:w="28" w:type="dxa"/>
              <w:left w:w="80" w:type="dxa"/>
              <w:bottom w:w="28" w:type="dxa"/>
              <w:right w:w="80" w:type="dxa"/>
            </w:tcMar>
            <w:vAlign w:val="center"/>
          </w:tcPr>
          <w:p w14:paraId="178822D0" w14:textId="77777777" w:rsidR="0042033D" w:rsidRDefault="00000000">
            <w:pPr>
              <w:spacing w:line="232" w:lineRule="auto"/>
              <w:jc w:val="center"/>
              <w:rPr>
                <w:sz w:val="24"/>
                <w:szCs w:val="24"/>
              </w:rPr>
            </w:pPr>
            <w:r>
              <w:rPr>
                <w:b/>
                <w:bCs/>
                <w:sz w:val="24"/>
                <w:szCs w:val="24"/>
              </w:rPr>
              <w:t>26</w:t>
            </w:r>
          </w:p>
        </w:tc>
      </w:tr>
      <w:tr w:rsidR="0042033D" w14:paraId="1BACFD27" w14:textId="77777777">
        <w:trPr>
          <w:cantSplit/>
        </w:trPr>
        <w:tc>
          <w:tcPr>
            <w:tcW w:w="2000" w:type="pct"/>
            <w:tcMar>
              <w:top w:w="28" w:type="dxa"/>
              <w:left w:w="80" w:type="dxa"/>
              <w:bottom w:w="28" w:type="dxa"/>
              <w:right w:w="80" w:type="dxa"/>
            </w:tcMar>
            <w:vAlign w:val="center"/>
          </w:tcPr>
          <w:p w14:paraId="5A6A9462" w14:textId="77777777" w:rsidR="0042033D" w:rsidRDefault="00000000">
            <w:pPr>
              <w:spacing w:line="232" w:lineRule="auto"/>
              <w:rPr>
                <w:sz w:val="24"/>
                <w:szCs w:val="24"/>
              </w:rPr>
            </w:pPr>
            <w:r>
              <w:rPr>
                <w:b/>
                <w:bCs/>
                <w:sz w:val="24"/>
                <w:szCs w:val="24"/>
              </w:rPr>
              <w:t>Déchets valorisés (T/an)</w:t>
            </w:r>
          </w:p>
        </w:tc>
        <w:tc>
          <w:tcPr>
            <w:tcW w:w="1000" w:type="pct"/>
            <w:tcMar>
              <w:top w:w="28" w:type="dxa"/>
              <w:left w:w="80" w:type="dxa"/>
              <w:bottom w:w="28" w:type="dxa"/>
              <w:right w:w="80" w:type="dxa"/>
            </w:tcMar>
            <w:vAlign w:val="center"/>
          </w:tcPr>
          <w:p w14:paraId="45CB6185" w14:textId="77777777" w:rsidR="0042033D" w:rsidRDefault="00000000">
            <w:pPr>
              <w:spacing w:line="232" w:lineRule="auto"/>
              <w:jc w:val="center"/>
              <w:rPr>
                <w:sz w:val="24"/>
                <w:szCs w:val="24"/>
              </w:rPr>
            </w:pPr>
            <w:r>
              <w:rPr>
                <w:b/>
                <w:bCs/>
                <w:sz w:val="24"/>
                <w:szCs w:val="24"/>
              </w:rPr>
              <w:t>400</w:t>
            </w:r>
          </w:p>
        </w:tc>
        <w:tc>
          <w:tcPr>
            <w:tcW w:w="1000" w:type="pct"/>
            <w:tcMar>
              <w:top w:w="28" w:type="dxa"/>
              <w:left w:w="80" w:type="dxa"/>
              <w:bottom w:w="28" w:type="dxa"/>
              <w:right w:w="80" w:type="dxa"/>
            </w:tcMar>
            <w:vAlign w:val="center"/>
          </w:tcPr>
          <w:p w14:paraId="26691711" w14:textId="77777777" w:rsidR="0042033D" w:rsidRDefault="00000000">
            <w:pPr>
              <w:spacing w:line="232" w:lineRule="auto"/>
              <w:jc w:val="center"/>
              <w:rPr>
                <w:sz w:val="24"/>
                <w:szCs w:val="24"/>
              </w:rPr>
            </w:pPr>
            <w:r>
              <w:rPr>
                <w:b/>
                <w:bCs/>
                <w:sz w:val="24"/>
                <w:szCs w:val="24"/>
              </w:rPr>
              <w:t>750</w:t>
            </w:r>
          </w:p>
        </w:tc>
        <w:tc>
          <w:tcPr>
            <w:tcW w:w="1000" w:type="pct"/>
            <w:tcMar>
              <w:top w:w="28" w:type="dxa"/>
              <w:left w:w="80" w:type="dxa"/>
              <w:bottom w:w="28" w:type="dxa"/>
              <w:right w:w="80" w:type="dxa"/>
            </w:tcMar>
            <w:vAlign w:val="center"/>
          </w:tcPr>
          <w:p w14:paraId="28A6A24C" w14:textId="77777777" w:rsidR="0042033D" w:rsidRDefault="00000000">
            <w:pPr>
              <w:spacing w:line="232" w:lineRule="auto"/>
              <w:jc w:val="center"/>
              <w:rPr>
                <w:sz w:val="24"/>
                <w:szCs w:val="24"/>
              </w:rPr>
            </w:pPr>
            <w:r>
              <w:rPr>
                <w:b/>
                <w:bCs/>
                <w:sz w:val="24"/>
                <w:szCs w:val="24"/>
              </w:rPr>
              <w:t>900</w:t>
            </w:r>
          </w:p>
        </w:tc>
      </w:tr>
      <w:tr w:rsidR="0042033D" w14:paraId="78C7624E" w14:textId="77777777">
        <w:trPr>
          <w:cantSplit/>
        </w:trPr>
        <w:tc>
          <w:tcPr>
            <w:tcW w:w="2000" w:type="pct"/>
            <w:tcMar>
              <w:top w:w="28" w:type="dxa"/>
              <w:left w:w="80" w:type="dxa"/>
              <w:bottom w:w="28" w:type="dxa"/>
              <w:right w:w="80" w:type="dxa"/>
            </w:tcMar>
            <w:vAlign w:val="center"/>
          </w:tcPr>
          <w:p w14:paraId="567875D7" w14:textId="77777777" w:rsidR="0042033D" w:rsidRDefault="00000000">
            <w:pPr>
              <w:spacing w:line="232" w:lineRule="auto"/>
              <w:rPr>
                <w:sz w:val="24"/>
                <w:szCs w:val="24"/>
              </w:rPr>
            </w:pPr>
            <w:r>
              <w:rPr>
                <w:b/>
                <w:bCs/>
                <w:sz w:val="24"/>
                <w:szCs w:val="24"/>
              </w:rPr>
              <w:t>Agriculteurs soutenus (cumul)</w:t>
            </w:r>
          </w:p>
        </w:tc>
        <w:tc>
          <w:tcPr>
            <w:tcW w:w="1000" w:type="pct"/>
            <w:tcMar>
              <w:top w:w="28" w:type="dxa"/>
              <w:left w:w="80" w:type="dxa"/>
              <w:bottom w:w="28" w:type="dxa"/>
              <w:right w:w="80" w:type="dxa"/>
            </w:tcMar>
            <w:vAlign w:val="center"/>
          </w:tcPr>
          <w:p w14:paraId="664DAD8B" w14:textId="77777777" w:rsidR="0042033D" w:rsidRDefault="00000000">
            <w:pPr>
              <w:spacing w:line="232" w:lineRule="auto"/>
              <w:jc w:val="center"/>
              <w:rPr>
                <w:sz w:val="24"/>
                <w:szCs w:val="24"/>
              </w:rPr>
            </w:pPr>
            <w:r>
              <w:rPr>
                <w:b/>
                <w:bCs/>
                <w:sz w:val="24"/>
                <w:szCs w:val="24"/>
              </w:rPr>
              <w:t>430</w:t>
            </w:r>
          </w:p>
        </w:tc>
        <w:tc>
          <w:tcPr>
            <w:tcW w:w="1000" w:type="pct"/>
            <w:tcMar>
              <w:top w:w="28" w:type="dxa"/>
              <w:left w:w="80" w:type="dxa"/>
              <w:bottom w:w="28" w:type="dxa"/>
              <w:right w:w="80" w:type="dxa"/>
            </w:tcMar>
            <w:vAlign w:val="center"/>
          </w:tcPr>
          <w:p w14:paraId="4D0791AD" w14:textId="77777777" w:rsidR="0042033D" w:rsidRDefault="00000000">
            <w:pPr>
              <w:spacing w:line="232" w:lineRule="auto"/>
              <w:jc w:val="center"/>
              <w:rPr>
                <w:sz w:val="24"/>
                <w:szCs w:val="24"/>
              </w:rPr>
            </w:pPr>
            <w:r>
              <w:rPr>
                <w:b/>
                <w:bCs/>
                <w:sz w:val="24"/>
                <w:szCs w:val="24"/>
              </w:rPr>
              <w:t>640</w:t>
            </w:r>
          </w:p>
        </w:tc>
        <w:tc>
          <w:tcPr>
            <w:tcW w:w="1000" w:type="pct"/>
            <w:tcMar>
              <w:top w:w="28" w:type="dxa"/>
              <w:left w:w="80" w:type="dxa"/>
              <w:bottom w:w="28" w:type="dxa"/>
              <w:right w:w="80" w:type="dxa"/>
            </w:tcMar>
            <w:vAlign w:val="center"/>
          </w:tcPr>
          <w:p w14:paraId="366C6E11" w14:textId="77777777" w:rsidR="0042033D" w:rsidRDefault="00000000">
            <w:pPr>
              <w:spacing w:line="232" w:lineRule="auto"/>
              <w:jc w:val="center"/>
              <w:rPr>
                <w:sz w:val="24"/>
                <w:szCs w:val="24"/>
              </w:rPr>
            </w:pPr>
            <w:r>
              <w:rPr>
                <w:b/>
                <w:bCs/>
                <w:sz w:val="24"/>
                <w:szCs w:val="24"/>
              </w:rPr>
              <w:t>900</w:t>
            </w:r>
          </w:p>
        </w:tc>
      </w:tr>
    </w:tbl>
    <w:p w14:paraId="14134C44" w14:textId="77777777" w:rsidR="0042033D" w:rsidRDefault="00000000">
      <w:pPr>
        <w:keepNext/>
        <w:spacing w:before="140" w:after="50" w:line="260" w:lineRule="auto"/>
        <w:rPr>
          <w:sz w:val="24"/>
          <w:szCs w:val="24"/>
        </w:rPr>
      </w:pPr>
      <w:r>
        <w:rPr>
          <w:rFonts w:eastAsia="Arial"/>
          <w:b/>
          <w:bCs/>
          <w:color w:val="1A2330"/>
          <w:sz w:val="24"/>
          <w:szCs w:val="24"/>
        </w:rPr>
        <w:t>Tableau 23 bis — Tableau de bord « investor ready » : définitions, sources de vérification et fréquences de reporting</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1648"/>
        <w:gridCol w:w="3113"/>
        <w:gridCol w:w="2747"/>
        <w:gridCol w:w="1648"/>
      </w:tblGrid>
      <w:tr w:rsidR="0042033D" w14:paraId="60330059" w14:textId="77777777">
        <w:trPr>
          <w:cantSplit/>
          <w:tblHeader/>
        </w:trPr>
        <w:tc>
          <w:tcPr>
            <w:tcW w:w="900" w:type="pct"/>
            <w:shd w:val="clear" w:color="auto" w:fill="D4875A"/>
            <w:tcMar>
              <w:top w:w="36" w:type="dxa"/>
              <w:left w:w="80" w:type="dxa"/>
              <w:bottom w:w="36" w:type="dxa"/>
              <w:right w:w="80" w:type="dxa"/>
            </w:tcMar>
            <w:vAlign w:val="center"/>
          </w:tcPr>
          <w:p w14:paraId="43617EFB" w14:textId="77777777" w:rsidR="0042033D" w:rsidRDefault="00000000">
            <w:pPr>
              <w:spacing w:line="232" w:lineRule="auto"/>
              <w:jc w:val="center"/>
              <w:rPr>
                <w:sz w:val="24"/>
                <w:szCs w:val="24"/>
              </w:rPr>
            </w:pPr>
            <w:r>
              <w:rPr>
                <w:b/>
                <w:bCs/>
                <w:color w:val="FFFFFF"/>
                <w:sz w:val="24"/>
                <w:szCs w:val="24"/>
              </w:rPr>
              <w:t>Indicateur</w:t>
            </w:r>
          </w:p>
        </w:tc>
        <w:tc>
          <w:tcPr>
            <w:tcW w:w="1700" w:type="pct"/>
            <w:shd w:val="clear" w:color="auto" w:fill="D4875A"/>
            <w:tcMar>
              <w:top w:w="36" w:type="dxa"/>
              <w:left w:w="80" w:type="dxa"/>
              <w:bottom w:w="36" w:type="dxa"/>
              <w:right w:w="80" w:type="dxa"/>
            </w:tcMar>
            <w:vAlign w:val="center"/>
          </w:tcPr>
          <w:p w14:paraId="0E513875" w14:textId="77777777" w:rsidR="0042033D" w:rsidRDefault="00000000">
            <w:pPr>
              <w:spacing w:line="232" w:lineRule="auto"/>
              <w:jc w:val="center"/>
              <w:rPr>
                <w:sz w:val="24"/>
                <w:szCs w:val="24"/>
              </w:rPr>
            </w:pPr>
            <w:r>
              <w:rPr>
                <w:b/>
                <w:bCs/>
                <w:color w:val="FFFFFF"/>
                <w:sz w:val="24"/>
                <w:szCs w:val="24"/>
              </w:rPr>
              <w:t>Définition opérationnelle</w:t>
            </w:r>
          </w:p>
        </w:tc>
        <w:tc>
          <w:tcPr>
            <w:tcW w:w="1500" w:type="pct"/>
            <w:shd w:val="clear" w:color="auto" w:fill="D4875A"/>
            <w:tcMar>
              <w:top w:w="36" w:type="dxa"/>
              <w:left w:w="80" w:type="dxa"/>
              <w:bottom w:w="36" w:type="dxa"/>
              <w:right w:w="80" w:type="dxa"/>
            </w:tcMar>
            <w:vAlign w:val="center"/>
          </w:tcPr>
          <w:p w14:paraId="5CEF88BD" w14:textId="77777777" w:rsidR="0042033D" w:rsidRDefault="00000000">
            <w:pPr>
              <w:spacing w:line="232" w:lineRule="auto"/>
              <w:jc w:val="center"/>
              <w:rPr>
                <w:sz w:val="24"/>
                <w:szCs w:val="24"/>
              </w:rPr>
            </w:pPr>
            <w:r>
              <w:rPr>
                <w:b/>
                <w:bCs/>
                <w:color w:val="FFFFFF"/>
                <w:sz w:val="24"/>
                <w:szCs w:val="24"/>
              </w:rPr>
              <w:t>Source de vérification</w:t>
            </w:r>
          </w:p>
        </w:tc>
        <w:tc>
          <w:tcPr>
            <w:tcW w:w="900" w:type="pct"/>
            <w:shd w:val="clear" w:color="auto" w:fill="D4875A"/>
            <w:tcMar>
              <w:top w:w="36" w:type="dxa"/>
              <w:left w:w="80" w:type="dxa"/>
              <w:bottom w:w="36" w:type="dxa"/>
              <w:right w:w="80" w:type="dxa"/>
            </w:tcMar>
            <w:vAlign w:val="center"/>
          </w:tcPr>
          <w:p w14:paraId="6C5DA940" w14:textId="77777777" w:rsidR="0042033D" w:rsidRDefault="00000000">
            <w:pPr>
              <w:spacing w:line="232" w:lineRule="auto"/>
              <w:jc w:val="center"/>
              <w:rPr>
                <w:sz w:val="24"/>
                <w:szCs w:val="24"/>
              </w:rPr>
            </w:pPr>
            <w:r>
              <w:rPr>
                <w:b/>
                <w:bCs/>
                <w:color w:val="FFFFFF"/>
                <w:sz w:val="24"/>
                <w:szCs w:val="24"/>
              </w:rPr>
              <w:t>Fréquence de reporting</w:t>
            </w:r>
          </w:p>
        </w:tc>
      </w:tr>
      <w:tr w:rsidR="0042033D" w14:paraId="24334AE7" w14:textId="77777777">
        <w:trPr>
          <w:cantSplit/>
        </w:trPr>
        <w:tc>
          <w:tcPr>
            <w:tcW w:w="900" w:type="pct"/>
            <w:tcMar>
              <w:top w:w="28" w:type="dxa"/>
              <w:left w:w="80" w:type="dxa"/>
              <w:bottom w:w="28" w:type="dxa"/>
              <w:right w:w="80" w:type="dxa"/>
            </w:tcMar>
            <w:vAlign w:val="center"/>
          </w:tcPr>
          <w:p w14:paraId="1FA1392A" w14:textId="77777777" w:rsidR="0042033D" w:rsidRDefault="00000000">
            <w:pPr>
              <w:spacing w:line="232" w:lineRule="auto"/>
              <w:rPr>
                <w:sz w:val="24"/>
                <w:szCs w:val="24"/>
              </w:rPr>
            </w:pPr>
            <w:r>
              <w:rPr>
                <w:b/>
                <w:bCs/>
                <w:sz w:val="24"/>
                <w:szCs w:val="24"/>
              </w:rPr>
              <w:t>Production mensuelle</w:t>
            </w:r>
          </w:p>
        </w:tc>
        <w:tc>
          <w:tcPr>
            <w:tcW w:w="1700" w:type="pct"/>
            <w:tcMar>
              <w:top w:w="28" w:type="dxa"/>
              <w:left w:w="80" w:type="dxa"/>
              <w:bottom w:w="28" w:type="dxa"/>
              <w:right w:w="80" w:type="dxa"/>
            </w:tcMar>
            <w:vAlign w:val="center"/>
          </w:tcPr>
          <w:p w14:paraId="071ACA24" w14:textId="77777777" w:rsidR="0042033D" w:rsidRDefault="00000000">
            <w:pPr>
              <w:spacing w:line="232" w:lineRule="auto"/>
              <w:rPr>
                <w:sz w:val="24"/>
                <w:szCs w:val="24"/>
              </w:rPr>
            </w:pPr>
            <w:r>
              <w:rPr>
                <w:sz w:val="24"/>
                <w:szCs w:val="24"/>
              </w:rPr>
              <w:t>Tonnes de frass séché et conditionné sorties du site sur le mois</w:t>
            </w:r>
          </w:p>
        </w:tc>
        <w:tc>
          <w:tcPr>
            <w:tcW w:w="1500" w:type="pct"/>
            <w:tcMar>
              <w:top w:w="28" w:type="dxa"/>
              <w:left w:w="80" w:type="dxa"/>
              <w:bottom w:w="28" w:type="dxa"/>
              <w:right w:w="80" w:type="dxa"/>
            </w:tcMar>
            <w:vAlign w:val="center"/>
          </w:tcPr>
          <w:p w14:paraId="29C97E4D" w14:textId="77777777" w:rsidR="0042033D" w:rsidRDefault="00000000">
            <w:pPr>
              <w:spacing w:line="232" w:lineRule="auto"/>
              <w:rPr>
                <w:sz w:val="24"/>
                <w:szCs w:val="24"/>
              </w:rPr>
            </w:pPr>
            <w:r>
              <w:rPr>
                <w:sz w:val="24"/>
                <w:szCs w:val="24"/>
              </w:rPr>
              <w:t>Fiches de pesée journalières consolidées + photos horodatées des lots</w:t>
            </w:r>
          </w:p>
        </w:tc>
        <w:tc>
          <w:tcPr>
            <w:tcW w:w="900" w:type="pct"/>
            <w:tcMar>
              <w:top w:w="28" w:type="dxa"/>
              <w:left w:w="80" w:type="dxa"/>
              <w:bottom w:w="28" w:type="dxa"/>
              <w:right w:w="80" w:type="dxa"/>
            </w:tcMar>
            <w:vAlign w:val="center"/>
          </w:tcPr>
          <w:p w14:paraId="31FF24CB" w14:textId="77777777" w:rsidR="0042033D" w:rsidRDefault="00000000">
            <w:pPr>
              <w:spacing w:line="232" w:lineRule="auto"/>
              <w:rPr>
                <w:sz w:val="24"/>
                <w:szCs w:val="24"/>
              </w:rPr>
            </w:pPr>
            <w:r>
              <w:rPr>
                <w:sz w:val="24"/>
                <w:szCs w:val="24"/>
              </w:rPr>
              <w:t>Mensuel (J+5 ouvrés)</w:t>
            </w:r>
          </w:p>
        </w:tc>
      </w:tr>
      <w:tr w:rsidR="0042033D" w14:paraId="2258EA35" w14:textId="77777777">
        <w:trPr>
          <w:cantSplit/>
        </w:trPr>
        <w:tc>
          <w:tcPr>
            <w:tcW w:w="900" w:type="pct"/>
            <w:tcMar>
              <w:top w:w="28" w:type="dxa"/>
              <w:left w:w="80" w:type="dxa"/>
              <w:bottom w:w="28" w:type="dxa"/>
              <w:right w:w="80" w:type="dxa"/>
            </w:tcMar>
            <w:vAlign w:val="center"/>
          </w:tcPr>
          <w:p w14:paraId="5ECD3A83" w14:textId="77777777" w:rsidR="0042033D" w:rsidRDefault="00000000">
            <w:pPr>
              <w:spacing w:line="232" w:lineRule="auto"/>
              <w:rPr>
                <w:sz w:val="24"/>
                <w:szCs w:val="24"/>
              </w:rPr>
            </w:pPr>
            <w:r>
              <w:rPr>
                <w:b/>
                <w:bCs/>
                <w:sz w:val="24"/>
                <w:szCs w:val="24"/>
              </w:rPr>
              <w:t>Qualité produit</w:t>
            </w:r>
          </w:p>
        </w:tc>
        <w:tc>
          <w:tcPr>
            <w:tcW w:w="1700" w:type="pct"/>
            <w:tcMar>
              <w:top w:w="28" w:type="dxa"/>
              <w:left w:w="80" w:type="dxa"/>
              <w:bottom w:w="28" w:type="dxa"/>
              <w:right w:w="80" w:type="dxa"/>
            </w:tcMar>
            <w:vAlign w:val="center"/>
          </w:tcPr>
          <w:p w14:paraId="024A8F15" w14:textId="77777777" w:rsidR="0042033D" w:rsidRDefault="00000000">
            <w:pPr>
              <w:spacing w:line="232" w:lineRule="auto"/>
              <w:rPr>
                <w:sz w:val="24"/>
                <w:szCs w:val="24"/>
              </w:rPr>
            </w:pPr>
            <w:r>
              <w:rPr>
                <w:sz w:val="24"/>
                <w:szCs w:val="24"/>
              </w:rPr>
              <w:t>Conformité NPK, humidité et absence de pathogènes aux spécifications du lot-type</w:t>
            </w:r>
          </w:p>
        </w:tc>
        <w:tc>
          <w:tcPr>
            <w:tcW w:w="1500" w:type="pct"/>
            <w:tcMar>
              <w:top w:w="28" w:type="dxa"/>
              <w:left w:w="80" w:type="dxa"/>
              <w:bottom w:w="28" w:type="dxa"/>
              <w:right w:w="80" w:type="dxa"/>
            </w:tcMar>
            <w:vAlign w:val="center"/>
          </w:tcPr>
          <w:p w14:paraId="015FC3CB" w14:textId="77777777" w:rsidR="0042033D" w:rsidRDefault="00000000">
            <w:pPr>
              <w:spacing w:line="232" w:lineRule="auto"/>
              <w:rPr>
                <w:sz w:val="24"/>
                <w:szCs w:val="24"/>
              </w:rPr>
            </w:pPr>
            <w:r>
              <w:rPr>
                <w:sz w:val="24"/>
                <w:szCs w:val="24"/>
              </w:rPr>
              <w:t>Rapports laboratoire joints à chaque lot commercialisé</w:t>
            </w:r>
          </w:p>
        </w:tc>
        <w:tc>
          <w:tcPr>
            <w:tcW w:w="900" w:type="pct"/>
            <w:tcMar>
              <w:top w:w="28" w:type="dxa"/>
              <w:left w:w="80" w:type="dxa"/>
              <w:bottom w:w="28" w:type="dxa"/>
              <w:right w:w="80" w:type="dxa"/>
            </w:tcMar>
            <w:vAlign w:val="center"/>
          </w:tcPr>
          <w:p w14:paraId="51E6E7D6" w14:textId="77777777" w:rsidR="0042033D" w:rsidRDefault="00000000">
            <w:pPr>
              <w:spacing w:line="232" w:lineRule="auto"/>
              <w:rPr>
                <w:sz w:val="24"/>
                <w:szCs w:val="24"/>
              </w:rPr>
            </w:pPr>
            <w:r>
              <w:rPr>
                <w:sz w:val="24"/>
                <w:szCs w:val="24"/>
              </w:rPr>
              <w:t>Par lot</w:t>
            </w:r>
          </w:p>
        </w:tc>
      </w:tr>
      <w:tr w:rsidR="0042033D" w14:paraId="52393E6A" w14:textId="77777777">
        <w:trPr>
          <w:cantSplit/>
        </w:trPr>
        <w:tc>
          <w:tcPr>
            <w:tcW w:w="900" w:type="pct"/>
            <w:tcMar>
              <w:top w:w="28" w:type="dxa"/>
              <w:left w:w="80" w:type="dxa"/>
              <w:bottom w:w="28" w:type="dxa"/>
              <w:right w:w="80" w:type="dxa"/>
            </w:tcMar>
            <w:vAlign w:val="center"/>
          </w:tcPr>
          <w:p w14:paraId="481DC872" w14:textId="77777777" w:rsidR="0042033D" w:rsidRDefault="00000000">
            <w:pPr>
              <w:spacing w:line="232" w:lineRule="auto"/>
              <w:rPr>
                <w:sz w:val="24"/>
                <w:szCs w:val="24"/>
              </w:rPr>
            </w:pPr>
            <w:r>
              <w:rPr>
                <w:b/>
                <w:bCs/>
                <w:sz w:val="24"/>
                <w:szCs w:val="24"/>
              </w:rPr>
              <w:t>Trésorerie</w:t>
            </w:r>
          </w:p>
        </w:tc>
        <w:tc>
          <w:tcPr>
            <w:tcW w:w="1700" w:type="pct"/>
            <w:tcMar>
              <w:top w:w="28" w:type="dxa"/>
              <w:left w:w="80" w:type="dxa"/>
              <w:bottom w:w="28" w:type="dxa"/>
              <w:right w:w="80" w:type="dxa"/>
            </w:tcMar>
            <w:vAlign w:val="center"/>
          </w:tcPr>
          <w:p w14:paraId="399FAB69" w14:textId="77777777" w:rsidR="0042033D" w:rsidRDefault="00000000">
            <w:pPr>
              <w:spacing w:line="232" w:lineRule="auto"/>
              <w:rPr>
                <w:sz w:val="24"/>
                <w:szCs w:val="24"/>
              </w:rPr>
            </w:pPr>
            <w:r>
              <w:rPr>
                <w:sz w:val="24"/>
                <w:szCs w:val="24"/>
              </w:rPr>
              <w:t>Solde bancaire net au dernier jour ouvré, dont réserve BFR affectée</w:t>
            </w:r>
          </w:p>
        </w:tc>
        <w:tc>
          <w:tcPr>
            <w:tcW w:w="1500" w:type="pct"/>
            <w:tcMar>
              <w:top w:w="28" w:type="dxa"/>
              <w:left w:w="80" w:type="dxa"/>
              <w:bottom w:w="28" w:type="dxa"/>
              <w:right w:w="80" w:type="dxa"/>
            </w:tcMar>
            <w:vAlign w:val="center"/>
          </w:tcPr>
          <w:p w14:paraId="3D7FA77F" w14:textId="7C6F8CFE" w:rsidR="0042033D" w:rsidRDefault="00000000">
            <w:pPr>
              <w:spacing w:line="232" w:lineRule="auto"/>
              <w:rPr>
                <w:sz w:val="24"/>
                <w:szCs w:val="24"/>
              </w:rPr>
            </w:pPr>
            <w:r>
              <w:rPr>
                <w:sz w:val="24"/>
                <w:szCs w:val="24"/>
              </w:rPr>
              <w:t xml:space="preserve">Relevés bancaires </w:t>
            </w:r>
            <w:r w:rsidR="00ED4AD3">
              <w:rPr>
                <w:sz w:val="24"/>
                <w:szCs w:val="24"/>
              </w:rPr>
              <w:t>BNI</w:t>
            </w:r>
            <w:r>
              <w:rPr>
                <w:sz w:val="24"/>
                <w:szCs w:val="24"/>
              </w:rPr>
              <w:t xml:space="preserve"> et balance de trésorerie prévisionnelle</w:t>
            </w:r>
          </w:p>
        </w:tc>
        <w:tc>
          <w:tcPr>
            <w:tcW w:w="900" w:type="pct"/>
            <w:tcMar>
              <w:top w:w="28" w:type="dxa"/>
              <w:left w:w="80" w:type="dxa"/>
              <w:bottom w:w="28" w:type="dxa"/>
              <w:right w:w="80" w:type="dxa"/>
            </w:tcMar>
            <w:vAlign w:val="center"/>
          </w:tcPr>
          <w:p w14:paraId="6549907F" w14:textId="77777777" w:rsidR="0042033D" w:rsidRDefault="00000000">
            <w:pPr>
              <w:spacing w:line="232" w:lineRule="auto"/>
              <w:rPr>
                <w:sz w:val="24"/>
                <w:szCs w:val="24"/>
              </w:rPr>
            </w:pPr>
            <w:r>
              <w:rPr>
                <w:sz w:val="24"/>
                <w:szCs w:val="24"/>
              </w:rPr>
              <w:t>Mensuel</w:t>
            </w:r>
          </w:p>
        </w:tc>
      </w:tr>
      <w:tr w:rsidR="0042033D" w14:paraId="4F849DCF" w14:textId="77777777">
        <w:trPr>
          <w:cantSplit/>
        </w:trPr>
        <w:tc>
          <w:tcPr>
            <w:tcW w:w="900" w:type="pct"/>
            <w:tcMar>
              <w:top w:w="28" w:type="dxa"/>
              <w:left w:w="80" w:type="dxa"/>
              <w:bottom w:w="28" w:type="dxa"/>
              <w:right w:w="80" w:type="dxa"/>
            </w:tcMar>
            <w:vAlign w:val="center"/>
          </w:tcPr>
          <w:p w14:paraId="791C4005" w14:textId="77777777" w:rsidR="0042033D" w:rsidRDefault="00000000">
            <w:pPr>
              <w:spacing w:line="232" w:lineRule="auto"/>
              <w:rPr>
                <w:sz w:val="24"/>
                <w:szCs w:val="24"/>
              </w:rPr>
            </w:pPr>
            <w:r>
              <w:rPr>
                <w:b/>
                <w:bCs/>
                <w:sz w:val="24"/>
                <w:szCs w:val="24"/>
              </w:rPr>
              <w:lastRenderedPageBreak/>
              <w:t>Clients B2B</w:t>
            </w:r>
          </w:p>
        </w:tc>
        <w:tc>
          <w:tcPr>
            <w:tcW w:w="1700" w:type="pct"/>
            <w:tcMar>
              <w:top w:w="28" w:type="dxa"/>
              <w:left w:w="80" w:type="dxa"/>
              <w:bottom w:w="28" w:type="dxa"/>
              <w:right w:w="80" w:type="dxa"/>
            </w:tcMar>
            <w:vAlign w:val="center"/>
          </w:tcPr>
          <w:p w14:paraId="4BD10603" w14:textId="77777777" w:rsidR="0042033D" w:rsidRDefault="00000000">
            <w:pPr>
              <w:spacing w:line="232" w:lineRule="auto"/>
              <w:rPr>
                <w:sz w:val="24"/>
                <w:szCs w:val="24"/>
              </w:rPr>
            </w:pPr>
            <w:r>
              <w:rPr>
                <w:sz w:val="24"/>
                <w:szCs w:val="24"/>
              </w:rPr>
              <w:t>Comptes ayant passé au moins une commande &gt; 2 T sur le trimestre</w:t>
            </w:r>
          </w:p>
        </w:tc>
        <w:tc>
          <w:tcPr>
            <w:tcW w:w="1500" w:type="pct"/>
            <w:tcMar>
              <w:top w:w="28" w:type="dxa"/>
              <w:left w:w="80" w:type="dxa"/>
              <w:bottom w:w="28" w:type="dxa"/>
              <w:right w:w="80" w:type="dxa"/>
            </w:tcMar>
            <w:vAlign w:val="center"/>
          </w:tcPr>
          <w:p w14:paraId="2CE08738" w14:textId="77777777" w:rsidR="0042033D" w:rsidRDefault="00000000">
            <w:pPr>
              <w:spacing w:line="232" w:lineRule="auto"/>
              <w:rPr>
                <w:sz w:val="24"/>
                <w:szCs w:val="24"/>
              </w:rPr>
            </w:pPr>
            <w:r>
              <w:rPr>
                <w:sz w:val="24"/>
                <w:szCs w:val="24"/>
              </w:rPr>
              <w:t>Factures et bons de livraison archivés</w:t>
            </w:r>
          </w:p>
        </w:tc>
        <w:tc>
          <w:tcPr>
            <w:tcW w:w="900" w:type="pct"/>
            <w:tcMar>
              <w:top w:w="28" w:type="dxa"/>
              <w:left w:w="80" w:type="dxa"/>
              <w:bottom w:w="28" w:type="dxa"/>
              <w:right w:w="80" w:type="dxa"/>
            </w:tcMar>
            <w:vAlign w:val="center"/>
          </w:tcPr>
          <w:p w14:paraId="3CB038ED" w14:textId="77777777" w:rsidR="0042033D" w:rsidRDefault="00000000">
            <w:pPr>
              <w:spacing w:line="232" w:lineRule="auto"/>
              <w:rPr>
                <w:sz w:val="24"/>
                <w:szCs w:val="24"/>
              </w:rPr>
            </w:pPr>
            <w:r>
              <w:rPr>
                <w:sz w:val="24"/>
                <w:szCs w:val="24"/>
              </w:rPr>
              <w:t>Trimestriel</w:t>
            </w:r>
          </w:p>
        </w:tc>
      </w:tr>
      <w:tr w:rsidR="0042033D" w14:paraId="795A3C0E" w14:textId="77777777">
        <w:trPr>
          <w:cantSplit/>
        </w:trPr>
        <w:tc>
          <w:tcPr>
            <w:tcW w:w="900" w:type="pct"/>
            <w:tcMar>
              <w:top w:w="28" w:type="dxa"/>
              <w:left w:w="80" w:type="dxa"/>
              <w:bottom w:w="28" w:type="dxa"/>
              <w:right w:w="80" w:type="dxa"/>
            </w:tcMar>
            <w:vAlign w:val="center"/>
          </w:tcPr>
          <w:p w14:paraId="2DA6F381" w14:textId="77777777" w:rsidR="0042033D" w:rsidRDefault="00000000">
            <w:pPr>
              <w:spacing w:line="232" w:lineRule="auto"/>
              <w:rPr>
                <w:sz w:val="24"/>
                <w:szCs w:val="24"/>
              </w:rPr>
            </w:pPr>
            <w:r>
              <w:rPr>
                <w:b/>
                <w:bCs/>
                <w:sz w:val="24"/>
                <w:szCs w:val="24"/>
              </w:rPr>
              <w:t>Créances en date</w:t>
            </w:r>
          </w:p>
        </w:tc>
        <w:tc>
          <w:tcPr>
            <w:tcW w:w="1700" w:type="pct"/>
            <w:tcMar>
              <w:top w:w="28" w:type="dxa"/>
              <w:left w:w="80" w:type="dxa"/>
              <w:bottom w:w="28" w:type="dxa"/>
              <w:right w:w="80" w:type="dxa"/>
            </w:tcMar>
            <w:vAlign w:val="center"/>
          </w:tcPr>
          <w:p w14:paraId="78D86584" w14:textId="77777777" w:rsidR="0042033D" w:rsidRDefault="00000000">
            <w:pPr>
              <w:spacing w:line="232" w:lineRule="auto"/>
              <w:rPr>
                <w:sz w:val="24"/>
                <w:szCs w:val="24"/>
              </w:rPr>
            </w:pPr>
            <w:r>
              <w:rPr>
                <w:sz w:val="24"/>
                <w:szCs w:val="24"/>
              </w:rPr>
              <w:t>Âge médian des créances clients FDA et B2B (pilotage du risque de délai)</w:t>
            </w:r>
          </w:p>
        </w:tc>
        <w:tc>
          <w:tcPr>
            <w:tcW w:w="1500" w:type="pct"/>
            <w:tcMar>
              <w:top w:w="28" w:type="dxa"/>
              <w:left w:w="80" w:type="dxa"/>
              <w:bottom w:w="28" w:type="dxa"/>
              <w:right w:w="80" w:type="dxa"/>
            </w:tcMar>
            <w:vAlign w:val="center"/>
          </w:tcPr>
          <w:p w14:paraId="20BB6800" w14:textId="77777777" w:rsidR="0042033D" w:rsidRDefault="00000000">
            <w:pPr>
              <w:spacing w:line="232" w:lineRule="auto"/>
              <w:rPr>
                <w:sz w:val="24"/>
                <w:szCs w:val="24"/>
              </w:rPr>
            </w:pPr>
            <w:r>
              <w:rPr>
                <w:sz w:val="24"/>
                <w:szCs w:val="24"/>
              </w:rPr>
              <w:t>Balance âgée établie depuis la comptabilité</w:t>
            </w:r>
          </w:p>
        </w:tc>
        <w:tc>
          <w:tcPr>
            <w:tcW w:w="900" w:type="pct"/>
            <w:tcMar>
              <w:top w:w="28" w:type="dxa"/>
              <w:left w:w="80" w:type="dxa"/>
              <w:bottom w:w="28" w:type="dxa"/>
              <w:right w:w="80" w:type="dxa"/>
            </w:tcMar>
            <w:vAlign w:val="center"/>
          </w:tcPr>
          <w:p w14:paraId="509182F8" w14:textId="77777777" w:rsidR="0042033D" w:rsidRDefault="00000000">
            <w:pPr>
              <w:spacing w:line="232" w:lineRule="auto"/>
              <w:rPr>
                <w:sz w:val="24"/>
                <w:szCs w:val="24"/>
              </w:rPr>
            </w:pPr>
            <w:r>
              <w:rPr>
                <w:sz w:val="24"/>
                <w:szCs w:val="24"/>
              </w:rPr>
              <w:t>Mensuel</w:t>
            </w:r>
          </w:p>
        </w:tc>
      </w:tr>
    </w:tbl>
    <w:p w14:paraId="15BEEEBB" w14:textId="77777777" w:rsidR="0042033D" w:rsidRDefault="00000000">
      <w:pPr>
        <w:pStyle w:val="Heading2"/>
        <w:spacing w:before="150" w:after="60"/>
        <w:rPr>
          <w:rFonts w:ascii="Times New Roman" w:hAnsi="Times New Roman"/>
        </w:rPr>
      </w:pPr>
      <w:bookmarkStart w:id="108" w:name="_Toc100108"/>
      <w:r>
        <w:rPr>
          <w:rFonts w:ascii="Times New Roman" w:hAnsi="Times New Roman"/>
        </w:rPr>
        <w:t>24.2 Feuille de route qualité et certifications</w:t>
      </w:r>
      <w:bookmarkEnd w:id="108"/>
    </w:p>
    <w:p w14:paraId="58D94955" w14:textId="77777777" w:rsidR="0042033D" w:rsidRDefault="00000000">
      <w:pPr>
        <w:spacing w:after="60"/>
        <w:jc w:val="both"/>
        <w:rPr>
          <w:sz w:val="24"/>
          <w:szCs w:val="24"/>
        </w:rPr>
      </w:pPr>
      <w:r>
        <w:rPr>
          <w:sz w:val="24"/>
          <w:szCs w:val="24"/>
        </w:rPr>
        <w:t>La montée en qualité est séquencée en quatre étapes, chacune adossée à une échéance, un coût et un KPI de vérification. Les deux premières sont financées par le présent ticket ; les suivantes relèvent du palier 2 et conditionnent l'ouverture des marchés à plus forte valeur ajoutée, notamment le canal export (sections 6.5 et 10.4).</w:t>
      </w:r>
    </w:p>
    <w:p w14:paraId="22DF3412" w14:textId="77777777" w:rsidR="0042033D" w:rsidRDefault="00000000">
      <w:pPr>
        <w:keepNext/>
        <w:spacing w:before="140" w:after="50" w:line="260" w:lineRule="auto"/>
        <w:rPr>
          <w:sz w:val="24"/>
          <w:szCs w:val="24"/>
        </w:rPr>
      </w:pPr>
      <w:r>
        <w:rPr>
          <w:rFonts w:eastAsia="Arial"/>
          <w:b/>
          <w:bCs/>
          <w:color w:val="1A2330"/>
          <w:sz w:val="24"/>
          <w:szCs w:val="24"/>
        </w:rPr>
        <w:t>Tableau 24 bis — Feuille de route qualité et certifications</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3663"/>
        <w:gridCol w:w="1282"/>
        <w:gridCol w:w="2197"/>
        <w:gridCol w:w="2014"/>
      </w:tblGrid>
      <w:tr w:rsidR="0042033D" w14:paraId="7726AEF0" w14:textId="77777777">
        <w:trPr>
          <w:cantSplit/>
          <w:tblHeader/>
        </w:trPr>
        <w:tc>
          <w:tcPr>
            <w:tcW w:w="2000" w:type="pct"/>
            <w:shd w:val="clear" w:color="auto" w:fill="D4875A"/>
            <w:tcMar>
              <w:top w:w="36" w:type="dxa"/>
              <w:left w:w="80" w:type="dxa"/>
              <w:bottom w:w="36" w:type="dxa"/>
              <w:right w:w="80" w:type="dxa"/>
            </w:tcMar>
            <w:vAlign w:val="center"/>
          </w:tcPr>
          <w:p w14:paraId="67DD697C" w14:textId="77777777" w:rsidR="0042033D" w:rsidRDefault="00000000">
            <w:pPr>
              <w:spacing w:line="232" w:lineRule="auto"/>
              <w:jc w:val="center"/>
              <w:rPr>
                <w:sz w:val="24"/>
                <w:szCs w:val="24"/>
              </w:rPr>
            </w:pPr>
            <w:r>
              <w:rPr>
                <w:b/>
                <w:bCs/>
                <w:color w:val="FFFFFF"/>
                <w:sz w:val="24"/>
                <w:szCs w:val="24"/>
              </w:rPr>
              <w:t>Étape</w:t>
            </w:r>
          </w:p>
        </w:tc>
        <w:tc>
          <w:tcPr>
            <w:tcW w:w="700" w:type="pct"/>
            <w:shd w:val="clear" w:color="auto" w:fill="D4875A"/>
            <w:tcMar>
              <w:top w:w="36" w:type="dxa"/>
              <w:left w:w="80" w:type="dxa"/>
              <w:bottom w:w="36" w:type="dxa"/>
              <w:right w:w="80" w:type="dxa"/>
            </w:tcMar>
            <w:vAlign w:val="center"/>
          </w:tcPr>
          <w:p w14:paraId="342496CF" w14:textId="77777777" w:rsidR="0042033D" w:rsidRDefault="00000000">
            <w:pPr>
              <w:spacing w:line="232" w:lineRule="auto"/>
              <w:jc w:val="center"/>
              <w:rPr>
                <w:sz w:val="24"/>
                <w:szCs w:val="24"/>
              </w:rPr>
            </w:pPr>
            <w:r>
              <w:rPr>
                <w:b/>
                <w:bCs/>
                <w:color w:val="FFFFFF"/>
                <w:sz w:val="24"/>
                <w:szCs w:val="24"/>
              </w:rPr>
              <w:t>Échéance</w:t>
            </w:r>
          </w:p>
        </w:tc>
        <w:tc>
          <w:tcPr>
            <w:tcW w:w="1200" w:type="pct"/>
            <w:shd w:val="clear" w:color="auto" w:fill="D4875A"/>
            <w:tcMar>
              <w:top w:w="36" w:type="dxa"/>
              <w:left w:w="80" w:type="dxa"/>
              <w:bottom w:w="36" w:type="dxa"/>
              <w:right w:w="80" w:type="dxa"/>
            </w:tcMar>
            <w:vAlign w:val="center"/>
          </w:tcPr>
          <w:p w14:paraId="7ABA5817" w14:textId="77777777" w:rsidR="0042033D" w:rsidRDefault="00000000">
            <w:pPr>
              <w:spacing w:line="232" w:lineRule="auto"/>
              <w:jc w:val="center"/>
              <w:rPr>
                <w:sz w:val="24"/>
                <w:szCs w:val="24"/>
              </w:rPr>
            </w:pPr>
            <w:r>
              <w:rPr>
                <w:b/>
                <w:bCs/>
                <w:color w:val="FFFFFF"/>
                <w:sz w:val="24"/>
                <w:szCs w:val="24"/>
              </w:rPr>
              <w:t>Coût</w:t>
            </w:r>
          </w:p>
        </w:tc>
        <w:tc>
          <w:tcPr>
            <w:tcW w:w="1100" w:type="pct"/>
            <w:shd w:val="clear" w:color="auto" w:fill="D4875A"/>
            <w:tcMar>
              <w:top w:w="36" w:type="dxa"/>
              <w:left w:w="80" w:type="dxa"/>
              <w:bottom w:w="36" w:type="dxa"/>
              <w:right w:w="80" w:type="dxa"/>
            </w:tcMar>
            <w:vAlign w:val="center"/>
          </w:tcPr>
          <w:p w14:paraId="59D262D7" w14:textId="77777777" w:rsidR="0042033D" w:rsidRDefault="00000000">
            <w:pPr>
              <w:spacing w:line="232" w:lineRule="auto"/>
              <w:jc w:val="center"/>
              <w:rPr>
                <w:sz w:val="24"/>
                <w:szCs w:val="24"/>
              </w:rPr>
            </w:pPr>
            <w:r>
              <w:rPr>
                <w:b/>
                <w:bCs/>
                <w:color w:val="FFFFFF"/>
                <w:sz w:val="24"/>
                <w:szCs w:val="24"/>
              </w:rPr>
              <w:t>KPI</w:t>
            </w:r>
          </w:p>
        </w:tc>
      </w:tr>
      <w:tr w:rsidR="0042033D" w14:paraId="397DF0C8" w14:textId="77777777">
        <w:trPr>
          <w:cantSplit/>
        </w:trPr>
        <w:tc>
          <w:tcPr>
            <w:tcW w:w="2000" w:type="pct"/>
            <w:tcMar>
              <w:top w:w="28" w:type="dxa"/>
              <w:left w:w="80" w:type="dxa"/>
              <w:bottom w:w="28" w:type="dxa"/>
              <w:right w:w="80" w:type="dxa"/>
            </w:tcMar>
            <w:vAlign w:val="center"/>
          </w:tcPr>
          <w:p w14:paraId="22122F6A" w14:textId="77777777" w:rsidR="0042033D" w:rsidRDefault="00000000">
            <w:pPr>
              <w:spacing w:line="232" w:lineRule="auto"/>
              <w:rPr>
                <w:sz w:val="24"/>
                <w:szCs w:val="24"/>
              </w:rPr>
            </w:pPr>
            <w:r>
              <w:rPr>
                <w:b/>
                <w:bCs/>
                <w:sz w:val="24"/>
                <w:szCs w:val="24"/>
              </w:rPr>
              <w:t>Lot-type frass validé (NPK, humidité, pathogènes)</w:t>
            </w:r>
          </w:p>
        </w:tc>
        <w:tc>
          <w:tcPr>
            <w:tcW w:w="700" w:type="pct"/>
            <w:tcMar>
              <w:top w:w="28" w:type="dxa"/>
              <w:left w:w="80" w:type="dxa"/>
              <w:bottom w:w="28" w:type="dxa"/>
              <w:right w:w="80" w:type="dxa"/>
            </w:tcMar>
            <w:vAlign w:val="center"/>
          </w:tcPr>
          <w:p w14:paraId="2EB1C3A9" w14:textId="77777777" w:rsidR="0042033D" w:rsidRDefault="00000000">
            <w:pPr>
              <w:spacing w:line="232" w:lineRule="auto"/>
              <w:jc w:val="center"/>
              <w:rPr>
                <w:sz w:val="24"/>
                <w:szCs w:val="24"/>
              </w:rPr>
            </w:pPr>
            <w:r>
              <w:rPr>
                <w:b/>
                <w:bCs/>
                <w:sz w:val="24"/>
                <w:szCs w:val="24"/>
              </w:rPr>
              <w:t>M+9</w:t>
            </w:r>
          </w:p>
        </w:tc>
        <w:tc>
          <w:tcPr>
            <w:tcW w:w="1200" w:type="pct"/>
            <w:tcMar>
              <w:top w:w="28" w:type="dxa"/>
              <w:left w:w="80" w:type="dxa"/>
              <w:bottom w:w="28" w:type="dxa"/>
              <w:right w:w="80" w:type="dxa"/>
            </w:tcMar>
            <w:vAlign w:val="center"/>
          </w:tcPr>
          <w:p w14:paraId="74ABEF2D" w14:textId="77777777" w:rsidR="0042033D" w:rsidRDefault="00000000">
            <w:pPr>
              <w:spacing w:line="232" w:lineRule="auto"/>
              <w:jc w:val="center"/>
              <w:rPr>
                <w:sz w:val="24"/>
                <w:szCs w:val="24"/>
              </w:rPr>
            </w:pPr>
            <w:r>
              <w:rPr>
                <w:sz w:val="24"/>
                <w:szCs w:val="24"/>
              </w:rPr>
              <w:t>Inclus dans le poste qualité (2 000 $)</w:t>
            </w:r>
          </w:p>
        </w:tc>
        <w:tc>
          <w:tcPr>
            <w:tcW w:w="1100" w:type="pct"/>
            <w:tcMar>
              <w:top w:w="28" w:type="dxa"/>
              <w:left w:w="80" w:type="dxa"/>
              <w:bottom w:w="28" w:type="dxa"/>
              <w:right w:w="80" w:type="dxa"/>
            </w:tcMar>
            <w:vAlign w:val="center"/>
          </w:tcPr>
          <w:p w14:paraId="030387D0" w14:textId="77777777" w:rsidR="0042033D" w:rsidRDefault="00000000">
            <w:pPr>
              <w:spacing w:line="232" w:lineRule="auto"/>
              <w:rPr>
                <w:sz w:val="24"/>
                <w:szCs w:val="24"/>
              </w:rPr>
            </w:pPr>
            <w:r>
              <w:rPr>
                <w:sz w:val="24"/>
                <w:szCs w:val="24"/>
              </w:rPr>
              <w:t>Conformité 100 %</w:t>
            </w:r>
          </w:p>
        </w:tc>
      </w:tr>
      <w:tr w:rsidR="0042033D" w14:paraId="1410AC18" w14:textId="77777777">
        <w:trPr>
          <w:cantSplit/>
        </w:trPr>
        <w:tc>
          <w:tcPr>
            <w:tcW w:w="2000" w:type="pct"/>
            <w:tcMar>
              <w:top w:w="28" w:type="dxa"/>
              <w:left w:w="80" w:type="dxa"/>
              <w:bottom w:w="28" w:type="dxa"/>
              <w:right w:w="80" w:type="dxa"/>
            </w:tcMar>
            <w:vAlign w:val="center"/>
          </w:tcPr>
          <w:p w14:paraId="2F8B07AB" w14:textId="77777777" w:rsidR="0042033D" w:rsidRDefault="00000000">
            <w:pPr>
              <w:spacing w:line="232" w:lineRule="auto"/>
              <w:rPr>
                <w:sz w:val="24"/>
                <w:szCs w:val="24"/>
              </w:rPr>
            </w:pPr>
            <w:r>
              <w:rPr>
                <w:b/>
                <w:bCs/>
                <w:sz w:val="24"/>
                <w:szCs w:val="24"/>
              </w:rPr>
              <w:t>HACCP mis en place</w:t>
            </w:r>
          </w:p>
        </w:tc>
        <w:tc>
          <w:tcPr>
            <w:tcW w:w="700" w:type="pct"/>
            <w:tcMar>
              <w:top w:w="28" w:type="dxa"/>
              <w:left w:w="80" w:type="dxa"/>
              <w:bottom w:w="28" w:type="dxa"/>
              <w:right w:w="80" w:type="dxa"/>
            </w:tcMar>
            <w:vAlign w:val="center"/>
          </w:tcPr>
          <w:p w14:paraId="03B201E4" w14:textId="77777777" w:rsidR="0042033D" w:rsidRDefault="00000000">
            <w:pPr>
              <w:spacing w:line="232" w:lineRule="auto"/>
              <w:jc w:val="center"/>
              <w:rPr>
                <w:sz w:val="24"/>
                <w:szCs w:val="24"/>
              </w:rPr>
            </w:pPr>
            <w:r>
              <w:rPr>
                <w:b/>
                <w:bCs/>
                <w:sz w:val="24"/>
                <w:szCs w:val="24"/>
              </w:rPr>
              <w:t>T2 2027</w:t>
            </w:r>
          </w:p>
        </w:tc>
        <w:tc>
          <w:tcPr>
            <w:tcW w:w="1200" w:type="pct"/>
            <w:tcMar>
              <w:top w:w="28" w:type="dxa"/>
              <w:left w:w="80" w:type="dxa"/>
              <w:bottom w:w="28" w:type="dxa"/>
              <w:right w:w="80" w:type="dxa"/>
            </w:tcMar>
            <w:vAlign w:val="center"/>
          </w:tcPr>
          <w:p w14:paraId="5EFF4857" w14:textId="77777777" w:rsidR="0042033D" w:rsidRDefault="00000000">
            <w:pPr>
              <w:spacing w:line="232" w:lineRule="auto"/>
              <w:jc w:val="center"/>
              <w:rPr>
                <w:sz w:val="24"/>
                <w:szCs w:val="24"/>
              </w:rPr>
            </w:pPr>
            <w:r>
              <w:rPr>
                <w:sz w:val="24"/>
                <w:szCs w:val="24"/>
              </w:rPr>
              <w:t>≈ 5 000 $</w:t>
            </w:r>
          </w:p>
        </w:tc>
        <w:tc>
          <w:tcPr>
            <w:tcW w:w="1100" w:type="pct"/>
            <w:tcMar>
              <w:top w:w="28" w:type="dxa"/>
              <w:left w:w="80" w:type="dxa"/>
              <w:bottom w:w="28" w:type="dxa"/>
              <w:right w:w="80" w:type="dxa"/>
            </w:tcMar>
            <w:vAlign w:val="center"/>
          </w:tcPr>
          <w:p w14:paraId="02871A82" w14:textId="77777777" w:rsidR="0042033D" w:rsidRDefault="00000000">
            <w:pPr>
              <w:spacing w:line="232" w:lineRule="auto"/>
              <w:rPr>
                <w:sz w:val="24"/>
                <w:szCs w:val="24"/>
              </w:rPr>
            </w:pPr>
            <w:r>
              <w:rPr>
                <w:sz w:val="24"/>
                <w:szCs w:val="24"/>
              </w:rPr>
              <w:t>Audit interne conclu</w:t>
            </w:r>
          </w:p>
        </w:tc>
      </w:tr>
      <w:tr w:rsidR="0042033D" w14:paraId="0658D3AD" w14:textId="77777777">
        <w:trPr>
          <w:cantSplit/>
        </w:trPr>
        <w:tc>
          <w:tcPr>
            <w:tcW w:w="2000" w:type="pct"/>
            <w:tcMar>
              <w:top w:w="28" w:type="dxa"/>
              <w:left w:w="80" w:type="dxa"/>
              <w:bottom w:w="28" w:type="dxa"/>
              <w:right w:w="80" w:type="dxa"/>
            </w:tcMar>
            <w:vAlign w:val="center"/>
          </w:tcPr>
          <w:p w14:paraId="5EA6D768" w14:textId="77777777" w:rsidR="0042033D" w:rsidRDefault="00000000">
            <w:pPr>
              <w:spacing w:line="232" w:lineRule="auto"/>
              <w:rPr>
                <w:sz w:val="24"/>
                <w:szCs w:val="24"/>
              </w:rPr>
            </w:pPr>
            <w:r>
              <w:rPr>
                <w:b/>
                <w:bCs/>
                <w:sz w:val="24"/>
                <w:szCs w:val="24"/>
              </w:rPr>
              <w:t>ISO 22000 engagée</w:t>
            </w:r>
          </w:p>
        </w:tc>
        <w:tc>
          <w:tcPr>
            <w:tcW w:w="700" w:type="pct"/>
            <w:tcMar>
              <w:top w:w="28" w:type="dxa"/>
              <w:left w:w="80" w:type="dxa"/>
              <w:bottom w:w="28" w:type="dxa"/>
              <w:right w:w="80" w:type="dxa"/>
            </w:tcMar>
            <w:vAlign w:val="center"/>
          </w:tcPr>
          <w:p w14:paraId="41A29496" w14:textId="77777777" w:rsidR="0042033D" w:rsidRDefault="00000000">
            <w:pPr>
              <w:spacing w:line="232" w:lineRule="auto"/>
              <w:jc w:val="center"/>
              <w:rPr>
                <w:sz w:val="24"/>
                <w:szCs w:val="24"/>
              </w:rPr>
            </w:pPr>
            <w:r>
              <w:rPr>
                <w:b/>
                <w:bCs/>
                <w:sz w:val="24"/>
                <w:szCs w:val="24"/>
              </w:rPr>
              <w:t>T4 2027</w:t>
            </w:r>
          </w:p>
        </w:tc>
        <w:tc>
          <w:tcPr>
            <w:tcW w:w="1200" w:type="pct"/>
            <w:tcMar>
              <w:top w:w="28" w:type="dxa"/>
              <w:left w:w="80" w:type="dxa"/>
              <w:bottom w:w="28" w:type="dxa"/>
              <w:right w:w="80" w:type="dxa"/>
            </w:tcMar>
            <w:vAlign w:val="center"/>
          </w:tcPr>
          <w:p w14:paraId="152B163C" w14:textId="77777777" w:rsidR="0042033D" w:rsidRDefault="00000000">
            <w:pPr>
              <w:spacing w:line="232" w:lineRule="auto"/>
              <w:jc w:val="center"/>
              <w:rPr>
                <w:sz w:val="24"/>
                <w:szCs w:val="24"/>
              </w:rPr>
            </w:pPr>
            <w:r>
              <w:rPr>
                <w:sz w:val="24"/>
                <w:szCs w:val="24"/>
              </w:rPr>
              <w:t>12 000 $</w:t>
            </w:r>
          </w:p>
        </w:tc>
        <w:tc>
          <w:tcPr>
            <w:tcW w:w="1100" w:type="pct"/>
            <w:tcMar>
              <w:top w:w="28" w:type="dxa"/>
              <w:left w:w="80" w:type="dxa"/>
              <w:bottom w:w="28" w:type="dxa"/>
              <w:right w:w="80" w:type="dxa"/>
            </w:tcMar>
            <w:vAlign w:val="center"/>
          </w:tcPr>
          <w:p w14:paraId="3100CA2C" w14:textId="77777777" w:rsidR="0042033D" w:rsidRDefault="00000000">
            <w:pPr>
              <w:spacing w:line="232" w:lineRule="auto"/>
              <w:rPr>
                <w:sz w:val="24"/>
                <w:szCs w:val="24"/>
              </w:rPr>
            </w:pPr>
            <w:r>
              <w:rPr>
                <w:sz w:val="24"/>
                <w:szCs w:val="24"/>
              </w:rPr>
              <w:t>Certification obtenue</w:t>
            </w:r>
          </w:p>
        </w:tc>
      </w:tr>
      <w:tr w:rsidR="0042033D" w14:paraId="74C47D87" w14:textId="77777777">
        <w:trPr>
          <w:cantSplit/>
        </w:trPr>
        <w:tc>
          <w:tcPr>
            <w:tcW w:w="2000" w:type="pct"/>
            <w:tcMar>
              <w:top w:w="28" w:type="dxa"/>
              <w:left w:w="80" w:type="dxa"/>
              <w:bottom w:w="28" w:type="dxa"/>
              <w:right w:w="80" w:type="dxa"/>
            </w:tcMar>
            <w:vAlign w:val="center"/>
          </w:tcPr>
          <w:p w14:paraId="18BD5796" w14:textId="77777777" w:rsidR="0042033D" w:rsidRDefault="00000000">
            <w:pPr>
              <w:spacing w:line="232" w:lineRule="auto"/>
              <w:rPr>
                <w:sz w:val="24"/>
                <w:szCs w:val="24"/>
              </w:rPr>
            </w:pPr>
            <w:r>
              <w:rPr>
                <w:b/>
                <w:bCs/>
                <w:sz w:val="24"/>
                <w:szCs w:val="24"/>
              </w:rPr>
              <w:t>Labellisation biologique</w:t>
            </w:r>
          </w:p>
        </w:tc>
        <w:tc>
          <w:tcPr>
            <w:tcW w:w="700" w:type="pct"/>
            <w:tcMar>
              <w:top w:w="28" w:type="dxa"/>
              <w:left w:w="80" w:type="dxa"/>
              <w:bottom w:w="28" w:type="dxa"/>
              <w:right w:w="80" w:type="dxa"/>
            </w:tcMar>
            <w:vAlign w:val="center"/>
          </w:tcPr>
          <w:p w14:paraId="32D5D0C3" w14:textId="77777777" w:rsidR="0042033D" w:rsidRDefault="00000000">
            <w:pPr>
              <w:spacing w:line="232" w:lineRule="auto"/>
              <w:jc w:val="center"/>
              <w:rPr>
                <w:sz w:val="24"/>
                <w:szCs w:val="24"/>
              </w:rPr>
            </w:pPr>
            <w:r>
              <w:rPr>
                <w:b/>
                <w:bCs/>
                <w:sz w:val="24"/>
                <w:szCs w:val="24"/>
              </w:rPr>
              <w:t>T2 2028</w:t>
            </w:r>
          </w:p>
        </w:tc>
        <w:tc>
          <w:tcPr>
            <w:tcW w:w="1200" w:type="pct"/>
            <w:tcMar>
              <w:top w:w="28" w:type="dxa"/>
              <w:left w:w="80" w:type="dxa"/>
              <w:bottom w:w="28" w:type="dxa"/>
              <w:right w:w="80" w:type="dxa"/>
            </w:tcMar>
            <w:vAlign w:val="center"/>
          </w:tcPr>
          <w:p w14:paraId="4FB69651" w14:textId="77777777" w:rsidR="0042033D" w:rsidRDefault="00000000">
            <w:pPr>
              <w:spacing w:line="232" w:lineRule="auto"/>
              <w:jc w:val="center"/>
              <w:rPr>
                <w:sz w:val="24"/>
                <w:szCs w:val="24"/>
              </w:rPr>
            </w:pPr>
            <w:r>
              <w:rPr>
                <w:sz w:val="24"/>
                <w:szCs w:val="24"/>
              </w:rPr>
              <w:t>≈ 8 000 $</w:t>
            </w:r>
          </w:p>
        </w:tc>
        <w:tc>
          <w:tcPr>
            <w:tcW w:w="1100" w:type="pct"/>
            <w:tcMar>
              <w:top w:w="28" w:type="dxa"/>
              <w:left w:w="80" w:type="dxa"/>
              <w:bottom w:w="28" w:type="dxa"/>
              <w:right w:w="80" w:type="dxa"/>
            </w:tcMar>
            <w:vAlign w:val="center"/>
          </w:tcPr>
          <w:p w14:paraId="2AB17439" w14:textId="77777777" w:rsidR="0042033D" w:rsidRDefault="00000000">
            <w:pPr>
              <w:spacing w:line="232" w:lineRule="auto"/>
              <w:rPr>
                <w:sz w:val="24"/>
                <w:szCs w:val="24"/>
              </w:rPr>
            </w:pPr>
            <w:r>
              <w:rPr>
                <w:sz w:val="24"/>
                <w:szCs w:val="24"/>
              </w:rPr>
              <w:t>Label obtenu</w:t>
            </w:r>
          </w:p>
        </w:tc>
      </w:tr>
    </w:tbl>
    <w:p w14:paraId="3110A78B" w14:textId="77777777" w:rsidR="0042033D" w:rsidRDefault="00000000">
      <w:pPr>
        <w:spacing w:after="60"/>
        <w:jc w:val="both"/>
        <w:rPr>
          <w:sz w:val="24"/>
          <w:szCs w:val="24"/>
        </w:rPr>
      </w:pPr>
      <w:r>
        <w:rPr>
          <w:b/>
          <w:bCs/>
          <w:sz w:val="24"/>
          <w:szCs w:val="24"/>
        </w:rPr>
        <w:t>Clause de sauvegarde : en cas de non-atteinte de plus de 60 % des KPI à M+12, un plan de redressement est soumis au financeur dans un délai de 30 jours. En cas d'échec du redressement, les actifs financés — équipements d'une valeur résiduelle estimée à environ 15 000 $ au douzième mois — sont mobilisables en garantie. L'entreprise s'engage à un reporting trimestriel transparent</w:t>
      </w:r>
      <w:r>
        <w:rPr>
          <w:sz w:val="24"/>
          <w:szCs w:val="24"/>
        </w:rPr>
        <w:t>, établi sur les définitions du Tableau 23 bis et remis au plus tard 45 jours après la fin de chaque trimestre.</w:t>
      </w:r>
    </w:p>
    <w:p w14:paraId="66F850F1" w14:textId="77777777" w:rsidR="0042033D" w:rsidRDefault="00000000">
      <w:pPr>
        <w:pStyle w:val="Heading2"/>
        <w:spacing w:before="150" w:after="60"/>
        <w:rPr>
          <w:rFonts w:ascii="Times New Roman" w:hAnsi="Times New Roman"/>
        </w:rPr>
      </w:pPr>
      <w:bookmarkStart w:id="109" w:name="_Toc100109"/>
      <w:r>
        <w:rPr>
          <w:rFonts w:ascii="Times New Roman" w:hAnsi="Times New Roman"/>
        </w:rPr>
        <w:t>24.3 Milestones associés au financement catalytique</w:t>
      </w:r>
      <w:bookmarkEnd w:id="109"/>
    </w:p>
    <w:p w14:paraId="5F461866" w14:textId="77777777" w:rsidR="0042033D" w:rsidRDefault="00000000">
      <w:pPr>
        <w:spacing w:after="60"/>
        <w:jc w:val="both"/>
        <w:rPr>
          <w:sz w:val="24"/>
          <w:szCs w:val="24"/>
        </w:rPr>
      </w:pPr>
      <w:r>
        <w:rPr>
          <w:sz w:val="24"/>
          <w:szCs w:val="24"/>
        </w:rPr>
        <w:t>Les milestones sont calés sur les vingt-quatre mois qui suivent le déboursement, avec une séquence précise reliant chaque tranche d'investissement à un résultat opérationnel mesurable : cette logique permet au bailleur de conditionner les tranches suivantes à l'atteinte des objectifs et à la direction de structurer l'exécution.</w:t>
      </w:r>
    </w:p>
    <w:p w14:paraId="1F22DBA5" w14:textId="77777777" w:rsidR="0042033D" w:rsidRDefault="00000000">
      <w:pPr>
        <w:keepNext/>
        <w:spacing w:before="140" w:after="50" w:line="260" w:lineRule="auto"/>
        <w:rPr>
          <w:sz w:val="24"/>
          <w:szCs w:val="24"/>
        </w:rPr>
      </w:pPr>
      <w:r>
        <w:rPr>
          <w:rFonts w:eastAsia="Arial"/>
          <w:b/>
          <w:bCs/>
          <w:color w:val="1A2330"/>
          <w:sz w:val="24"/>
          <w:szCs w:val="24"/>
        </w:rPr>
        <w:t>Tableau 24 — Milestones opérationnels et commerciaux associés au financement</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1099"/>
        <w:gridCol w:w="1692"/>
        <w:gridCol w:w="2428"/>
        <w:gridCol w:w="1923"/>
        <w:gridCol w:w="2014"/>
      </w:tblGrid>
      <w:tr w:rsidR="0042033D" w:rsidRPr="00AE3011" w14:paraId="0BDFDA07" w14:textId="77777777" w:rsidTr="00AE3011">
        <w:trPr>
          <w:cantSplit/>
          <w:tblHeader/>
        </w:trPr>
        <w:tc>
          <w:tcPr>
            <w:tcW w:w="600" w:type="pct"/>
            <w:shd w:val="clear" w:color="auto" w:fill="D4875A"/>
            <w:tcMar>
              <w:top w:w="36" w:type="dxa"/>
              <w:left w:w="80" w:type="dxa"/>
              <w:bottom w:w="36" w:type="dxa"/>
              <w:right w:w="80" w:type="dxa"/>
            </w:tcMar>
            <w:vAlign w:val="center"/>
          </w:tcPr>
          <w:p w14:paraId="17511393" w14:textId="77777777" w:rsidR="0042033D" w:rsidRPr="00AE3011" w:rsidRDefault="00000000">
            <w:pPr>
              <w:spacing w:line="232" w:lineRule="auto"/>
              <w:jc w:val="center"/>
              <w:rPr>
                <w:rFonts w:ascii="Arial Narrow" w:hAnsi="Arial Narrow"/>
                <w:b/>
                <w:bCs/>
                <w:sz w:val="24"/>
                <w:szCs w:val="24"/>
              </w:rPr>
            </w:pPr>
            <w:r w:rsidRPr="00AE3011">
              <w:rPr>
                <w:rFonts w:ascii="Arial Narrow" w:hAnsi="Arial Narrow"/>
                <w:b/>
                <w:bCs/>
                <w:color w:val="FFFFFF"/>
                <w:sz w:val="24"/>
                <w:szCs w:val="24"/>
              </w:rPr>
              <w:t>Période</w:t>
            </w:r>
          </w:p>
        </w:tc>
        <w:tc>
          <w:tcPr>
            <w:tcW w:w="924" w:type="pct"/>
            <w:shd w:val="clear" w:color="auto" w:fill="D4875A"/>
            <w:tcMar>
              <w:top w:w="36" w:type="dxa"/>
              <w:left w:w="80" w:type="dxa"/>
              <w:bottom w:w="36" w:type="dxa"/>
              <w:right w:w="80" w:type="dxa"/>
            </w:tcMar>
            <w:vAlign w:val="center"/>
          </w:tcPr>
          <w:p w14:paraId="1C689E95" w14:textId="77777777" w:rsidR="0042033D" w:rsidRPr="00AE3011" w:rsidRDefault="00000000">
            <w:pPr>
              <w:spacing w:line="232" w:lineRule="auto"/>
              <w:jc w:val="center"/>
              <w:rPr>
                <w:rFonts w:ascii="Arial Narrow" w:hAnsi="Arial Narrow"/>
                <w:b/>
                <w:bCs/>
                <w:sz w:val="24"/>
                <w:szCs w:val="24"/>
              </w:rPr>
            </w:pPr>
            <w:r w:rsidRPr="00AE3011">
              <w:rPr>
                <w:rFonts w:ascii="Arial Narrow" w:hAnsi="Arial Narrow"/>
                <w:b/>
                <w:bCs/>
                <w:color w:val="FFFFFF"/>
                <w:sz w:val="24"/>
                <w:szCs w:val="24"/>
              </w:rPr>
              <w:t>Investissement</w:t>
            </w:r>
          </w:p>
        </w:tc>
        <w:tc>
          <w:tcPr>
            <w:tcW w:w="1326" w:type="pct"/>
            <w:shd w:val="clear" w:color="auto" w:fill="D4875A"/>
            <w:tcMar>
              <w:top w:w="36" w:type="dxa"/>
              <w:left w:w="80" w:type="dxa"/>
              <w:bottom w:w="36" w:type="dxa"/>
              <w:right w:w="80" w:type="dxa"/>
            </w:tcMar>
            <w:vAlign w:val="center"/>
          </w:tcPr>
          <w:p w14:paraId="74988C19" w14:textId="77777777" w:rsidR="0042033D" w:rsidRPr="00AE3011" w:rsidRDefault="00000000">
            <w:pPr>
              <w:spacing w:line="232" w:lineRule="auto"/>
              <w:jc w:val="center"/>
              <w:rPr>
                <w:rFonts w:ascii="Arial Narrow" w:hAnsi="Arial Narrow"/>
                <w:b/>
                <w:bCs/>
                <w:sz w:val="24"/>
                <w:szCs w:val="24"/>
              </w:rPr>
            </w:pPr>
            <w:r w:rsidRPr="00AE3011">
              <w:rPr>
                <w:rFonts w:ascii="Arial Narrow" w:hAnsi="Arial Narrow"/>
                <w:b/>
                <w:bCs/>
                <w:color w:val="FFFFFF"/>
                <w:sz w:val="24"/>
                <w:szCs w:val="24"/>
              </w:rPr>
              <w:t>Action</w:t>
            </w:r>
          </w:p>
        </w:tc>
        <w:tc>
          <w:tcPr>
            <w:tcW w:w="1050" w:type="pct"/>
            <w:shd w:val="clear" w:color="auto" w:fill="D4875A"/>
            <w:tcMar>
              <w:top w:w="36" w:type="dxa"/>
              <w:left w:w="80" w:type="dxa"/>
              <w:bottom w:w="36" w:type="dxa"/>
              <w:right w:w="80" w:type="dxa"/>
            </w:tcMar>
            <w:vAlign w:val="center"/>
          </w:tcPr>
          <w:p w14:paraId="1B439059" w14:textId="77777777" w:rsidR="0042033D" w:rsidRPr="00AE3011" w:rsidRDefault="00000000">
            <w:pPr>
              <w:spacing w:line="232" w:lineRule="auto"/>
              <w:jc w:val="center"/>
              <w:rPr>
                <w:rFonts w:ascii="Arial Narrow" w:hAnsi="Arial Narrow"/>
                <w:b/>
                <w:bCs/>
                <w:sz w:val="24"/>
                <w:szCs w:val="24"/>
              </w:rPr>
            </w:pPr>
            <w:r w:rsidRPr="00AE3011">
              <w:rPr>
                <w:rFonts w:ascii="Arial Narrow" w:hAnsi="Arial Narrow"/>
                <w:b/>
                <w:bCs/>
                <w:color w:val="FFFFFF"/>
                <w:sz w:val="24"/>
                <w:szCs w:val="24"/>
              </w:rPr>
              <w:t>KPI cible</w:t>
            </w:r>
          </w:p>
        </w:tc>
        <w:tc>
          <w:tcPr>
            <w:tcW w:w="1100" w:type="pct"/>
            <w:shd w:val="clear" w:color="auto" w:fill="D4875A"/>
            <w:tcMar>
              <w:top w:w="36" w:type="dxa"/>
              <w:left w:w="80" w:type="dxa"/>
              <w:bottom w:w="36" w:type="dxa"/>
              <w:right w:w="80" w:type="dxa"/>
            </w:tcMar>
            <w:vAlign w:val="center"/>
          </w:tcPr>
          <w:p w14:paraId="0A056427" w14:textId="77777777" w:rsidR="0042033D" w:rsidRPr="00AE3011" w:rsidRDefault="00000000">
            <w:pPr>
              <w:spacing w:line="232" w:lineRule="auto"/>
              <w:jc w:val="center"/>
              <w:rPr>
                <w:rFonts w:ascii="Arial Narrow" w:hAnsi="Arial Narrow"/>
                <w:b/>
                <w:bCs/>
                <w:sz w:val="24"/>
                <w:szCs w:val="24"/>
              </w:rPr>
            </w:pPr>
            <w:r w:rsidRPr="00AE3011">
              <w:rPr>
                <w:rFonts w:ascii="Arial Narrow" w:hAnsi="Arial Narrow"/>
                <w:b/>
                <w:bCs/>
                <w:color w:val="FFFFFF"/>
                <w:sz w:val="24"/>
                <w:szCs w:val="24"/>
              </w:rPr>
              <w:t>Résultat attendu</w:t>
            </w:r>
          </w:p>
        </w:tc>
      </w:tr>
      <w:tr w:rsidR="0042033D" w:rsidRPr="00AE3011" w14:paraId="580AA3C6" w14:textId="77777777" w:rsidTr="00AE3011">
        <w:trPr>
          <w:cantSplit/>
        </w:trPr>
        <w:tc>
          <w:tcPr>
            <w:tcW w:w="600" w:type="pct"/>
            <w:tcMar>
              <w:top w:w="28" w:type="dxa"/>
              <w:left w:w="80" w:type="dxa"/>
              <w:bottom w:w="28" w:type="dxa"/>
              <w:right w:w="80" w:type="dxa"/>
            </w:tcMar>
            <w:vAlign w:val="center"/>
          </w:tcPr>
          <w:p w14:paraId="25BBF851"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M+1 à M+3</w:t>
            </w:r>
          </w:p>
        </w:tc>
        <w:tc>
          <w:tcPr>
            <w:tcW w:w="924" w:type="pct"/>
            <w:tcMar>
              <w:top w:w="28" w:type="dxa"/>
              <w:left w:w="80" w:type="dxa"/>
              <w:bottom w:w="28" w:type="dxa"/>
              <w:right w:w="80" w:type="dxa"/>
            </w:tcMar>
            <w:vAlign w:val="center"/>
          </w:tcPr>
          <w:p w14:paraId="3731F0A0"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CAPEX et expansion (13,5 K)</w:t>
            </w:r>
          </w:p>
        </w:tc>
        <w:tc>
          <w:tcPr>
            <w:tcW w:w="1326" w:type="pct"/>
            <w:tcMar>
              <w:top w:w="28" w:type="dxa"/>
              <w:left w:w="80" w:type="dxa"/>
              <w:bottom w:w="28" w:type="dxa"/>
              <w:right w:w="80" w:type="dxa"/>
            </w:tcMar>
            <w:vAlign w:val="center"/>
          </w:tcPr>
          <w:p w14:paraId="11E9029E"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Acquisition et installation des équipements, dont sécheurs larves</w:t>
            </w:r>
          </w:p>
        </w:tc>
        <w:tc>
          <w:tcPr>
            <w:tcW w:w="1050" w:type="pct"/>
            <w:tcMar>
              <w:top w:w="28" w:type="dxa"/>
              <w:left w:w="80" w:type="dxa"/>
              <w:bottom w:w="28" w:type="dxa"/>
              <w:right w:w="80" w:type="dxa"/>
            </w:tcMar>
            <w:vAlign w:val="center"/>
          </w:tcPr>
          <w:p w14:paraId="33162EBB"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Livraison et mise en service</w:t>
            </w:r>
          </w:p>
        </w:tc>
        <w:tc>
          <w:tcPr>
            <w:tcW w:w="1100" w:type="pct"/>
            <w:tcMar>
              <w:top w:w="28" w:type="dxa"/>
              <w:left w:w="80" w:type="dxa"/>
              <w:bottom w:w="28" w:type="dxa"/>
              <w:right w:w="80" w:type="dxa"/>
            </w:tcMar>
            <w:vAlign w:val="center"/>
          </w:tcPr>
          <w:p w14:paraId="750B92C6"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Capacité mensuelle portée de 10 à 18 T</w:t>
            </w:r>
          </w:p>
        </w:tc>
      </w:tr>
      <w:tr w:rsidR="0042033D" w:rsidRPr="00AE3011" w14:paraId="76751189" w14:textId="77777777" w:rsidTr="00AE3011">
        <w:trPr>
          <w:cantSplit/>
        </w:trPr>
        <w:tc>
          <w:tcPr>
            <w:tcW w:w="600" w:type="pct"/>
            <w:tcMar>
              <w:top w:w="28" w:type="dxa"/>
              <w:left w:w="80" w:type="dxa"/>
              <w:bottom w:w="28" w:type="dxa"/>
              <w:right w:w="80" w:type="dxa"/>
            </w:tcMar>
            <w:vAlign w:val="center"/>
          </w:tcPr>
          <w:p w14:paraId="2B39C7DC"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M+2 à M+6</w:t>
            </w:r>
          </w:p>
        </w:tc>
        <w:tc>
          <w:tcPr>
            <w:tcW w:w="924" w:type="pct"/>
            <w:tcMar>
              <w:top w:w="28" w:type="dxa"/>
              <w:left w:w="80" w:type="dxa"/>
              <w:bottom w:w="28" w:type="dxa"/>
              <w:right w:w="80" w:type="dxa"/>
            </w:tcMar>
            <w:vAlign w:val="center"/>
          </w:tcPr>
          <w:p w14:paraId="62B51019"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Expansion et RH (6,5 K)</w:t>
            </w:r>
          </w:p>
        </w:tc>
        <w:tc>
          <w:tcPr>
            <w:tcW w:w="1326" w:type="pct"/>
            <w:tcMar>
              <w:top w:w="28" w:type="dxa"/>
              <w:left w:w="80" w:type="dxa"/>
              <w:bottom w:w="28" w:type="dxa"/>
              <w:right w:w="80" w:type="dxa"/>
            </w:tcMar>
            <w:vAlign w:val="center"/>
          </w:tcPr>
          <w:p w14:paraId="57376C5E"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Bacs et infrastructure climatique ; commercial (M+2) et formation</w:t>
            </w:r>
          </w:p>
        </w:tc>
        <w:tc>
          <w:tcPr>
            <w:tcW w:w="1050" w:type="pct"/>
            <w:tcMar>
              <w:top w:w="28" w:type="dxa"/>
              <w:left w:w="80" w:type="dxa"/>
              <w:bottom w:w="28" w:type="dxa"/>
              <w:right w:w="80" w:type="dxa"/>
            </w:tcMar>
            <w:vAlign w:val="center"/>
          </w:tcPr>
          <w:p w14:paraId="04453176"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Production mensuelle ≥ 14 T</w:t>
            </w:r>
          </w:p>
        </w:tc>
        <w:tc>
          <w:tcPr>
            <w:tcW w:w="1100" w:type="pct"/>
            <w:tcMar>
              <w:top w:w="28" w:type="dxa"/>
              <w:left w:w="80" w:type="dxa"/>
              <w:bottom w:w="28" w:type="dxa"/>
              <w:right w:w="80" w:type="dxa"/>
            </w:tcMar>
            <w:vAlign w:val="center"/>
          </w:tcPr>
          <w:p w14:paraId="6D873124"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Coût de revient inférieur à 1 000 MGA/kg</w:t>
            </w:r>
          </w:p>
        </w:tc>
      </w:tr>
      <w:tr w:rsidR="0042033D" w:rsidRPr="00AE3011" w14:paraId="7288CAF5" w14:textId="77777777" w:rsidTr="00AE3011">
        <w:trPr>
          <w:cantSplit/>
        </w:trPr>
        <w:tc>
          <w:tcPr>
            <w:tcW w:w="600" w:type="pct"/>
            <w:tcMar>
              <w:top w:w="28" w:type="dxa"/>
              <w:left w:w="80" w:type="dxa"/>
              <w:bottom w:w="28" w:type="dxa"/>
              <w:right w:w="80" w:type="dxa"/>
            </w:tcMar>
            <w:vAlign w:val="center"/>
          </w:tcPr>
          <w:p w14:paraId="042E9E7F"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lastRenderedPageBreak/>
              <w:t>M+3 à M+11</w:t>
            </w:r>
          </w:p>
        </w:tc>
        <w:tc>
          <w:tcPr>
            <w:tcW w:w="924" w:type="pct"/>
            <w:tcMar>
              <w:top w:w="28" w:type="dxa"/>
              <w:left w:w="80" w:type="dxa"/>
              <w:bottom w:w="28" w:type="dxa"/>
              <w:right w:w="80" w:type="dxa"/>
            </w:tcMar>
            <w:vAlign w:val="center"/>
          </w:tcPr>
          <w:p w14:paraId="0B832D01"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Commercial B2B (8 K)</w:t>
            </w:r>
          </w:p>
        </w:tc>
        <w:tc>
          <w:tcPr>
            <w:tcW w:w="1326" w:type="pct"/>
            <w:tcMar>
              <w:top w:w="28" w:type="dxa"/>
              <w:left w:w="80" w:type="dxa"/>
              <w:bottom w:w="28" w:type="dxa"/>
              <w:right w:w="80" w:type="dxa"/>
            </w:tcMar>
            <w:vAlign w:val="center"/>
          </w:tcPr>
          <w:p w14:paraId="4262420D"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Déploiement du pipeline qualifié de dix comptes (Tableau 10 bis)</w:t>
            </w:r>
          </w:p>
        </w:tc>
        <w:tc>
          <w:tcPr>
            <w:tcW w:w="1050" w:type="pct"/>
            <w:tcMar>
              <w:top w:w="28" w:type="dxa"/>
              <w:left w:w="80" w:type="dxa"/>
              <w:bottom w:w="28" w:type="dxa"/>
              <w:right w:w="80" w:type="dxa"/>
            </w:tcMar>
            <w:vAlign w:val="center"/>
          </w:tcPr>
          <w:p w14:paraId="4E8CB986"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Au moins 3 nouveaux clients B2B hors FDA validés</w:t>
            </w:r>
          </w:p>
        </w:tc>
        <w:tc>
          <w:tcPr>
            <w:tcW w:w="1100" w:type="pct"/>
            <w:tcMar>
              <w:top w:w="28" w:type="dxa"/>
              <w:left w:w="80" w:type="dxa"/>
              <w:bottom w:w="28" w:type="dxa"/>
              <w:right w:w="80" w:type="dxa"/>
            </w:tcMar>
            <w:vAlign w:val="center"/>
          </w:tcPr>
          <w:p w14:paraId="07B62A7E"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Mix hors FDA porté de 13 % à environ 30 % puis 40-45 % en 2027</w:t>
            </w:r>
          </w:p>
        </w:tc>
      </w:tr>
      <w:tr w:rsidR="0042033D" w:rsidRPr="00AE3011" w14:paraId="6ED776AE" w14:textId="77777777" w:rsidTr="00AE3011">
        <w:trPr>
          <w:cantSplit/>
        </w:trPr>
        <w:tc>
          <w:tcPr>
            <w:tcW w:w="600" w:type="pct"/>
            <w:tcMar>
              <w:top w:w="28" w:type="dxa"/>
              <w:left w:w="80" w:type="dxa"/>
              <w:bottom w:w="28" w:type="dxa"/>
              <w:right w:w="80" w:type="dxa"/>
            </w:tcMar>
            <w:vAlign w:val="center"/>
          </w:tcPr>
          <w:p w14:paraId="04DF1923"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M+6 à M+9</w:t>
            </w:r>
          </w:p>
        </w:tc>
        <w:tc>
          <w:tcPr>
            <w:tcW w:w="924" w:type="pct"/>
            <w:tcMar>
              <w:top w:w="28" w:type="dxa"/>
              <w:left w:w="80" w:type="dxa"/>
              <w:bottom w:w="28" w:type="dxa"/>
              <w:right w:w="80" w:type="dxa"/>
            </w:tcMar>
            <w:vAlign w:val="center"/>
          </w:tcPr>
          <w:p w14:paraId="7DD3F834"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Qualité (2 K)</w:t>
            </w:r>
          </w:p>
        </w:tc>
        <w:tc>
          <w:tcPr>
            <w:tcW w:w="1326" w:type="pct"/>
            <w:tcMar>
              <w:top w:w="28" w:type="dxa"/>
              <w:left w:w="80" w:type="dxa"/>
              <w:bottom w:w="28" w:type="dxa"/>
              <w:right w:w="80" w:type="dxa"/>
            </w:tcMar>
            <w:vAlign w:val="center"/>
          </w:tcPr>
          <w:p w14:paraId="47E5CE56"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Mise en place du contrôle qualité et du lot-type</w:t>
            </w:r>
          </w:p>
        </w:tc>
        <w:tc>
          <w:tcPr>
            <w:tcW w:w="1050" w:type="pct"/>
            <w:tcMar>
              <w:top w:w="28" w:type="dxa"/>
              <w:left w:w="80" w:type="dxa"/>
              <w:bottom w:w="28" w:type="dxa"/>
              <w:right w:w="80" w:type="dxa"/>
            </w:tcMar>
            <w:vAlign w:val="center"/>
          </w:tcPr>
          <w:p w14:paraId="5629A55D"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Lot-type validé (NPK, humidité, pathogènes)</w:t>
            </w:r>
          </w:p>
        </w:tc>
        <w:tc>
          <w:tcPr>
            <w:tcW w:w="1100" w:type="pct"/>
            <w:tcMar>
              <w:top w:w="28" w:type="dxa"/>
              <w:left w:w="80" w:type="dxa"/>
              <w:bottom w:w="28" w:type="dxa"/>
              <w:right w:w="80" w:type="dxa"/>
            </w:tcMar>
            <w:vAlign w:val="center"/>
          </w:tcPr>
          <w:p w14:paraId="16B9BEC0"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Éligibilité aux marchés à plus forte valeur ajoutée</w:t>
            </w:r>
          </w:p>
        </w:tc>
      </w:tr>
      <w:tr w:rsidR="0042033D" w:rsidRPr="00AE3011" w14:paraId="1824E32D" w14:textId="77777777" w:rsidTr="00AE3011">
        <w:trPr>
          <w:cantSplit/>
        </w:trPr>
        <w:tc>
          <w:tcPr>
            <w:tcW w:w="600" w:type="pct"/>
            <w:tcMar>
              <w:top w:w="28" w:type="dxa"/>
              <w:left w:w="80" w:type="dxa"/>
              <w:bottom w:w="28" w:type="dxa"/>
              <w:right w:w="80" w:type="dxa"/>
            </w:tcMar>
            <w:vAlign w:val="center"/>
          </w:tcPr>
          <w:p w14:paraId="5AF0F47C"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En continu</w:t>
            </w:r>
          </w:p>
        </w:tc>
        <w:tc>
          <w:tcPr>
            <w:tcW w:w="924" w:type="pct"/>
            <w:tcMar>
              <w:top w:w="28" w:type="dxa"/>
              <w:left w:w="80" w:type="dxa"/>
              <w:bottom w:w="28" w:type="dxa"/>
              <w:right w:w="80" w:type="dxa"/>
            </w:tcMar>
            <w:vAlign w:val="center"/>
          </w:tcPr>
          <w:p w14:paraId="68E01BE0"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Réserve BFR (18 K)</w:t>
            </w:r>
          </w:p>
        </w:tc>
        <w:tc>
          <w:tcPr>
            <w:tcW w:w="1326" w:type="pct"/>
            <w:tcMar>
              <w:top w:w="28" w:type="dxa"/>
              <w:left w:w="80" w:type="dxa"/>
              <w:bottom w:w="28" w:type="dxa"/>
              <w:right w:w="80" w:type="dxa"/>
            </w:tcMar>
            <w:vAlign w:val="center"/>
          </w:tcPr>
          <w:p w14:paraId="789A509D"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Amortissement des créances FDA et stocks tampon</w:t>
            </w:r>
          </w:p>
        </w:tc>
        <w:tc>
          <w:tcPr>
            <w:tcW w:w="1050" w:type="pct"/>
            <w:tcMar>
              <w:top w:w="28" w:type="dxa"/>
              <w:left w:w="80" w:type="dxa"/>
              <w:bottom w:w="28" w:type="dxa"/>
              <w:right w:w="80" w:type="dxa"/>
            </w:tcMar>
            <w:vAlign w:val="center"/>
          </w:tcPr>
          <w:p w14:paraId="53139AFC"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Trésorerie ≥ 2 mois d'OPEX (Tableau 15 bis)</w:t>
            </w:r>
          </w:p>
        </w:tc>
        <w:tc>
          <w:tcPr>
            <w:tcW w:w="1100" w:type="pct"/>
            <w:tcMar>
              <w:top w:w="28" w:type="dxa"/>
              <w:left w:w="80" w:type="dxa"/>
              <w:bottom w:w="28" w:type="dxa"/>
              <w:right w:w="80" w:type="dxa"/>
            </w:tcMar>
            <w:vAlign w:val="center"/>
          </w:tcPr>
          <w:p w14:paraId="322D8A71"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Aucune tension de paiement pendant la montée en cadence</w:t>
            </w:r>
          </w:p>
        </w:tc>
      </w:tr>
      <w:tr w:rsidR="0042033D" w:rsidRPr="00AE3011" w14:paraId="3961E89A" w14:textId="77777777" w:rsidTr="00AE3011">
        <w:trPr>
          <w:cantSplit/>
        </w:trPr>
        <w:tc>
          <w:tcPr>
            <w:tcW w:w="600" w:type="pct"/>
            <w:tcMar>
              <w:top w:w="28" w:type="dxa"/>
              <w:left w:w="80" w:type="dxa"/>
              <w:bottom w:w="28" w:type="dxa"/>
              <w:right w:w="80" w:type="dxa"/>
            </w:tcMar>
            <w:vAlign w:val="center"/>
          </w:tcPr>
          <w:p w14:paraId="5A2BEBD2"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M+9 à M+12</w:t>
            </w:r>
          </w:p>
        </w:tc>
        <w:tc>
          <w:tcPr>
            <w:tcW w:w="924" w:type="pct"/>
            <w:tcMar>
              <w:top w:w="28" w:type="dxa"/>
              <w:left w:w="80" w:type="dxa"/>
              <w:bottom w:w="28" w:type="dxa"/>
              <w:right w:w="80" w:type="dxa"/>
            </w:tcMar>
            <w:vAlign w:val="center"/>
          </w:tcPr>
          <w:p w14:paraId="6202B326"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Contingence (6 K)</w:t>
            </w:r>
          </w:p>
        </w:tc>
        <w:tc>
          <w:tcPr>
            <w:tcW w:w="1326" w:type="pct"/>
            <w:tcMar>
              <w:top w:w="28" w:type="dxa"/>
              <w:left w:w="80" w:type="dxa"/>
              <w:bottom w:w="28" w:type="dxa"/>
              <w:right w:w="80" w:type="dxa"/>
            </w:tcMar>
            <w:vAlign w:val="center"/>
          </w:tcPr>
          <w:p w14:paraId="1C9FAD2C"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Absorption des aléas d'installation sur justificatif</w:t>
            </w:r>
          </w:p>
        </w:tc>
        <w:tc>
          <w:tcPr>
            <w:tcW w:w="1050" w:type="pct"/>
            <w:tcMar>
              <w:top w:w="28" w:type="dxa"/>
              <w:left w:w="80" w:type="dxa"/>
              <w:bottom w:w="28" w:type="dxa"/>
              <w:right w:w="80" w:type="dxa"/>
            </w:tcMar>
            <w:vAlign w:val="center"/>
          </w:tcPr>
          <w:p w14:paraId="34C327D5"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Écarts résorbés sans dérive budgétaire</w:t>
            </w:r>
          </w:p>
        </w:tc>
        <w:tc>
          <w:tcPr>
            <w:tcW w:w="1100" w:type="pct"/>
            <w:tcMar>
              <w:top w:w="28" w:type="dxa"/>
              <w:left w:w="80" w:type="dxa"/>
              <w:bottom w:w="28" w:type="dxa"/>
              <w:right w:w="80" w:type="dxa"/>
            </w:tcMar>
            <w:vAlign w:val="center"/>
          </w:tcPr>
          <w:p w14:paraId="3DDBEEB8"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Plan initial tenu au budget</w:t>
            </w:r>
          </w:p>
        </w:tc>
      </w:tr>
      <w:tr w:rsidR="0042033D" w:rsidRPr="00AE3011" w14:paraId="02E8675C" w14:textId="77777777" w:rsidTr="00AE3011">
        <w:trPr>
          <w:cantSplit/>
        </w:trPr>
        <w:tc>
          <w:tcPr>
            <w:tcW w:w="600" w:type="pct"/>
            <w:tcMar>
              <w:top w:w="28" w:type="dxa"/>
              <w:left w:w="80" w:type="dxa"/>
              <w:bottom w:w="28" w:type="dxa"/>
              <w:right w:w="80" w:type="dxa"/>
            </w:tcMar>
            <w:vAlign w:val="center"/>
          </w:tcPr>
          <w:p w14:paraId="7C253B07"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M+12 à M+24</w:t>
            </w:r>
          </w:p>
        </w:tc>
        <w:tc>
          <w:tcPr>
            <w:tcW w:w="924" w:type="pct"/>
            <w:tcMar>
              <w:top w:w="28" w:type="dxa"/>
              <w:left w:w="80" w:type="dxa"/>
              <w:bottom w:w="28" w:type="dxa"/>
              <w:right w:w="80" w:type="dxa"/>
            </w:tcMar>
            <w:vAlign w:val="center"/>
          </w:tcPr>
          <w:p w14:paraId="3B5668A4"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Total (50 K)</w:t>
            </w:r>
          </w:p>
        </w:tc>
        <w:tc>
          <w:tcPr>
            <w:tcW w:w="1326" w:type="pct"/>
            <w:tcMar>
              <w:top w:w="28" w:type="dxa"/>
              <w:left w:w="80" w:type="dxa"/>
              <w:bottom w:w="28" w:type="dxa"/>
              <w:right w:w="80" w:type="dxa"/>
            </w:tcMar>
            <w:vAlign w:val="center"/>
          </w:tcPr>
          <w:p w14:paraId="7CF92109"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Validation de la trajectoire ; préparation palier 2</w:t>
            </w:r>
          </w:p>
        </w:tc>
        <w:tc>
          <w:tcPr>
            <w:tcW w:w="1050" w:type="pct"/>
            <w:tcMar>
              <w:top w:w="28" w:type="dxa"/>
              <w:left w:w="80" w:type="dxa"/>
              <w:bottom w:w="28" w:type="dxa"/>
              <w:right w:w="80" w:type="dxa"/>
            </w:tcMar>
            <w:vAlign w:val="center"/>
          </w:tcPr>
          <w:p w14:paraId="7C753EB7"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CA annuel ≥ 80 K $ puis ≥ 145 K $ ; EBITDA ≥ 15 K $</w:t>
            </w:r>
          </w:p>
        </w:tc>
        <w:tc>
          <w:tcPr>
            <w:tcW w:w="1100" w:type="pct"/>
            <w:tcMar>
              <w:top w:w="28" w:type="dxa"/>
              <w:left w:w="80" w:type="dxa"/>
              <w:bottom w:w="28" w:type="dxa"/>
              <w:right w:w="80" w:type="dxa"/>
            </w:tcMar>
            <w:vAlign w:val="center"/>
          </w:tcPr>
          <w:p w14:paraId="38F3FAC7" w14:textId="77777777" w:rsidR="0042033D" w:rsidRPr="00AE3011" w:rsidRDefault="00000000">
            <w:pPr>
              <w:spacing w:line="232" w:lineRule="auto"/>
              <w:rPr>
                <w:rFonts w:ascii="Arial Narrow" w:hAnsi="Arial Narrow"/>
                <w:sz w:val="24"/>
                <w:szCs w:val="24"/>
              </w:rPr>
            </w:pPr>
            <w:r w:rsidRPr="00AE3011">
              <w:rPr>
                <w:rFonts w:ascii="Arial Narrow" w:hAnsi="Arial Narrow"/>
                <w:sz w:val="24"/>
                <w:szCs w:val="24"/>
              </w:rPr>
              <w:t>Éligibilité au prêt à impact / subvention scale-up (200-500 K $)</w:t>
            </w:r>
          </w:p>
        </w:tc>
      </w:tr>
    </w:tbl>
    <w:p w14:paraId="28D1D757" w14:textId="77777777" w:rsidR="0042033D" w:rsidRDefault="00000000">
      <w:pPr>
        <w:pStyle w:val="Heading2"/>
        <w:spacing w:before="150" w:after="60"/>
        <w:rPr>
          <w:rFonts w:ascii="Times New Roman" w:hAnsi="Times New Roman"/>
        </w:rPr>
      </w:pPr>
      <w:bookmarkStart w:id="110" w:name="_Toc100110"/>
      <w:r>
        <w:rPr>
          <w:rFonts w:ascii="Times New Roman" w:hAnsi="Times New Roman"/>
        </w:rPr>
        <w:t>24.4 Trajectoire de financement : du catalytique à l'autonomie financière</w:t>
      </w:r>
      <w:bookmarkEnd w:id="110"/>
    </w:p>
    <w:p w14:paraId="153EF0D0" w14:textId="77777777" w:rsidR="0042033D" w:rsidRDefault="00000000">
      <w:pPr>
        <w:spacing w:after="60"/>
        <w:jc w:val="both"/>
        <w:rPr>
          <w:sz w:val="24"/>
          <w:szCs w:val="24"/>
        </w:rPr>
      </w:pPr>
      <w:r>
        <w:rPr>
          <w:sz w:val="24"/>
          <w:szCs w:val="24"/>
        </w:rPr>
        <w:t xml:space="preserve">Le financement catalytique de 50 000 $ est conçu comme une séquence de causalité économique stricte : investissement, équipement, capacité, production effective, ventes, revenus, rentabilité, validation commerciale, éligibilité au financement suivant. Chaque maillon est conditionné par le précédent, ce qui rend le risque de détournement d'usage minimal et l'effet de levier maximal. Le plan s'organise en deux phases : la </w:t>
      </w:r>
      <w:r>
        <w:rPr>
          <w:b/>
          <w:bCs/>
          <w:sz w:val="24"/>
          <w:szCs w:val="24"/>
        </w:rPr>
        <w:t>phase 1</w:t>
      </w:r>
      <w:r>
        <w:rPr>
          <w:sz w:val="24"/>
          <w:szCs w:val="24"/>
        </w:rPr>
        <w:t xml:space="preserve">, financée par le présent ticket, concentre les ressources sur la consolidation du frass et du marché B2B domestique — la montée commerciale de la ligne larves étant plafonnée à la part validée de l'enveloppe biologique — ; la </w:t>
      </w:r>
      <w:r>
        <w:rPr>
          <w:b/>
          <w:bCs/>
          <w:sz w:val="24"/>
          <w:szCs w:val="24"/>
        </w:rPr>
        <w:t>phase 2</w:t>
      </w:r>
      <w:r>
        <w:rPr>
          <w:sz w:val="24"/>
          <w:szCs w:val="24"/>
        </w:rPr>
        <w:t xml:space="preserve"> (protéines accélérées et relais export) ne se déclenche qu'à la réunion conjointe de trois critères objectifs : (a) dix comptes B2B frass récurrents servis, (b) certification qualité obtenue (lot-type certifié puis ISO 22000) et (c) lettre d'intention d'un acheteur de farine de larves issue des cibles du Tableau 5 bis.</w:t>
      </w:r>
    </w:p>
    <w:p w14:paraId="2AA91BA1" w14:textId="77777777" w:rsidR="0042033D" w:rsidRDefault="00000000">
      <w:pPr>
        <w:spacing w:after="60"/>
        <w:jc w:val="both"/>
        <w:rPr>
          <w:sz w:val="24"/>
          <w:szCs w:val="24"/>
        </w:rPr>
      </w:pPr>
      <w:r>
        <w:rPr>
          <w:b/>
          <w:bCs/>
          <w:sz w:val="24"/>
          <w:szCs w:val="24"/>
        </w:rPr>
        <w:t>Palier 1 (2026) — financement catalytique de 50 K $.</w:t>
      </w:r>
      <w:r>
        <w:rPr>
          <w:sz w:val="24"/>
          <w:szCs w:val="24"/>
        </w:rPr>
        <w:t xml:space="preserve"> Déblocage conditionné à la publication définitive de l'immatriculation de la SARL, avec la procédure de repli sur pièces de la section 19.1 en cas de retard administratif. Objectifs : capacité de 10 à 18-22 tonnes par mois, industrialisation de la ligne larves, validation du lot-type qualité, trois comptes B2B hors FDA en douze mois puis cinq sur vingt-quatre, 80 K $ de chiffre d'affaires pour un EBITDA de 15 K $. </w:t>
      </w:r>
      <w:r>
        <w:rPr>
          <w:b/>
          <w:bCs/>
          <w:sz w:val="24"/>
          <w:szCs w:val="24"/>
        </w:rPr>
        <w:t>Palier 2 (2027-2028) — prêt à impact ou subvention scale-up de 200 à 500 K $.</w:t>
      </w:r>
      <w:r>
        <w:rPr>
          <w:sz w:val="24"/>
          <w:szCs w:val="24"/>
        </w:rPr>
        <w:t xml:space="preserve"> Capacité de 26 à 36 tonnes par mois, second hangar, extension de la ligne protéines sous critères de phase, plan export après certification ISO 22000 (12 000 $ d'assistance technique, dix-huit à vingt-quatre mois), chiffre d'affaires de 145 à 315 K $ pour un EBITDA de 34 à 62 K $. </w:t>
      </w:r>
      <w:r>
        <w:rPr>
          <w:b/>
          <w:bCs/>
          <w:sz w:val="24"/>
          <w:szCs w:val="24"/>
        </w:rPr>
        <w:t>Palier 3 (2028-2029) — dette mezzanine verte de 1 à 3 M $.</w:t>
      </w:r>
      <w:r>
        <w:rPr>
          <w:sz w:val="24"/>
          <w:szCs w:val="24"/>
        </w:rPr>
        <w:t xml:space="preserve"> Dimensionnement semi-industriel (46 puis 56 tonnes mensuelles, architecture compatible avec 3 tonnes par jour), chiffre d'affaires de 315 à 420 K $ pour un EBITDA de 97 à 139 K $ ; le caractère vert de l'instrument est documenté par la trajectoire ESG (économie circulaire, CO2e évitées selon la méthodologie EPA ajustée, </w:t>
      </w:r>
      <w:r>
        <w:rPr>
          <w:sz w:val="24"/>
          <w:szCs w:val="24"/>
        </w:rPr>
        <w:lastRenderedPageBreak/>
        <w:t xml:space="preserve">inclusion rurale). </w:t>
      </w:r>
      <w:r>
        <w:rPr>
          <w:b/>
          <w:bCs/>
          <w:sz w:val="24"/>
          <w:szCs w:val="24"/>
        </w:rPr>
        <w:t>Palier 4 (2030 et au-delà) — autofinancement et dette bancaire classique.</w:t>
      </w:r>
      <w:r>
        <w:rPr>
          <w:sz w:val="24"/>
          <w:szCs w:val="24"/>
        </w:rPr>
        <w:t xml:space="preserve"> Au-delà d'un EBITDA annuel supérieur à 139 K $, la trajectoire évolue vers l'autofinancement prioritaire et l'instrumentation de marché standard.</w:t>
      </w:r>
    </w:p>
    <w:p w14:paraId="3495AE94" w14:textId="77777777" w:rsidR="0042033D" w:rsidRDefault="00000000">
      <w:pPr>
        <w:keepNext/>
        <w:spacing w:before="140" w:after="50" w:line="260" w:lineRule="auto"/>
        <w:rPr>
          <w:sz w:val="24"/>
          <w:szCs w:val="24"/>
        </w:rPr>
      </w:pPr>
      <w:r>
        <w:rPr>
          <w:rFonts w:eastAsia="Arial"/>
          <w:b/>
          <w:bCs/>
          <w:color w:val="1A2330"/>
          <w:sz w:val="24"/>
          <w:szCs w:val="24"/>
        </w:rPr>
        <w:t>Tableau 25 — Synthèse de la trajectoire de financement et effet catalytique</w:t>
      </w:r>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381"/>
        <w:gridCol w:w="1190"/>
        <w:gridCol w:w="3021"/>
        <w:gridCol w:w="1282"/>
        <w:gridCol w:w="1282"/>
      </w:tblGrid>
      <w:tr w:rsidR="0042033D" w14:paraId="66BBFA4E" w14:textId="77777777">
        <w:trPr>
          <w:cantSplit/>
          <w:tblHeader/>
        </w:trPr>
        <w:tc>
          <w:tcPr>
            <w:tcW w:w="1300" w:type="pct"/>
            <w:shd w:val="clear" w:color="auto" w:fill="D4875A"/>
            <w:tcMar>
              <w:top w:w="36" w:type="dxa"/>
              <w:left w:w="80" w:type="dxa"/>
              <w:bottom w:w="36" w:type="dxa"/>
              <w:right w:w="80" w:type="dxa"/>
            </w:tcMar>
            <w:vAlign w:val="center"/>
          </w:tcPr>
          <w:p w14:paraId="6D573B5B" w14:textId="77777777" w:rsidR="0042033D" w:rsidRDefault="00000000">
            <w:pPr>
              <w:spacing w:line="232" w:lineRule="auto"/>
              <w:jc w:val="center"/>
              <w:rPr>
                <w:sz w:val="24"/>
                <w:szCs w:val="24"/>
              </w:rPr>
            </w:pPr>
            <w:r>
              <w:rPr>
                <w:b/>
                <w:bCs/>
                <w:color w:val="FFFFFF"/>
                <w:sz w:val="24"/>
                <w:szCs w:val="24"/>
              </w:rPr>
              <w:t>Palier</w:t>
            </w:r>
          </w:p>
        </w:tc>
        <w:tc>
          <w:tcPr>
            <w:tcW w:w="650" w:type="pct"/>
            <w:shd w:val="clear" w:color="auto" w:fill="D4875A"/>
            <w:tcMar>
              <w:top w:w="36" w:type="dxa"/>
              <w:left w:w="80" w:type="dxa"/>
              <w:bottom w:w="36" w:type="dxa"/>
              <w:right w:w="80" w:type="dxa"/>
            </w:tcMar>
            <w:vAlign w:val="center"/>
          </w:tcPr>
          <w:p w14:paraId="468CF8DC" w14:textId="77777777" w:rsidR="0042033D" w:rsidRDefault="00000000">
            <w:pPr>
              <w:spacing w:line="232" w:lineRule="auto"/>
              <w:jc w:val="center"/>
              <w:rPr>
                <w:sz w:val="24"/>
                <w:szCs w:val="24"/>
              </w:rPr>
            </w:pPr>
            <w:r>
              <w:rPr>
                <w:b/>
                <w:bCs/>
                <w:color w:val="FFFFFF"/>
                <w:sz w:val="24"/>
                <w:szCs w:val="24"/>
              </w:rPr>
              <w:t>Année</w:t>
            </w:r>
          </w:p>
        </w:tc>
        <w:tc>
          <w:tcPr>
            <w:tcW w:w="1650" w:type="pct"/>
            <w:shd w:val="clear" w:color="auto" w:fill="D4875A"/>
            <w:tcMar>
              <w:top w:w="36" w:type="dxa"/>
              <w:left w:w="80" w:type="dxa"/>
              <w:bottom w:w="36" w:type="dxa"/>
              <w:right w:w="80" w:type="dxa"/>
            </w:tcMar>
            <w:vAlign w:val="center"/>
          </w:tcPr>
          <w:p w14:paraId="2933F1DB" w14:textId="77777777" w:rsidR="0042033D" w:rsidRDefault="00000000">
            <w:pPr>
              <w:spacing w:line="232" w:lineRule="auto"/>
              <w:jc w:val="center"/>
              <w:rPr>
                <w:sz w:val="24"/>
                <w:szCs w:val="24"/>
              </w:rPr>
            </w:pPr>
            <w:r>
              <w:rPr>
                <w:b/>
                <w:bCs/>
                <w:color w:val="FFFFFF"/>
                <w:sz w:val="24"/>
                <w:szCs w:val="24"/>
              </w:rPr>
              <w:t>Instrument et montant</w:t>
            </w:r>
          </w:p>
        </w:tc>
        <w:tc>
          <w:tcPr>
            <w:tcW w:w="700" w:type="pct"/>
            <w:shd w:val="clear" w:color="auto" w:fill="D4875A"/>
            <w:tcMar>
              <w:top w:w="36" w:type="dxa"/>
              <w:left w:w="80" w:type="dxa"/>
              <w:bottom w:w="36" w:type="dxa"/>
              <w:right w:w="80" w:type="dxa"/>
            </w:tcMar>
            <w:vAlign w:val="center"/>
          </w:tcPr>
          <w:p w14:paraId="48D2218B" w14:textId="77777777" w:rsidR="0042033D" w:rsidRDefault="00000000">
            <w:pPr>
              <w:spacing w:line="232" w:lineRule="auto"/>
              <w:jc w:val="center"/>
              <w:rPr>
                <w:sz w:val="24"/>
                <w:szCs w:val="24"/>
              </w:rPr>
            </w:pPr>
            <w:r>
              <w:rPr>
                <w:b/>
                <w:bCs/>
                <w:color w:val="FFFFFF"/>
                <w:sz w:val="24"/>
                <w:szCs w:val="24"/>
              </w:rPr>
              <w:t>CA cible (k $)</w:t>
            </w:r>
          </w:p>
        </w:tc>
        <w:tc>
          <w:tcPr>
            <w:tcW w:w="700" w:type="pct"/>
            <w:shd w:val="clear" w:color="auto" w:fill="D4875A"/>
            <w:tcMar>
              <w:top w:w="36" w:type="dxa"/>
              <w:left w:w="80" w:type="dxa"/>
              <w:bottom w:w="36" w:type="dxa"/>
              <w:right w:w="80" w:type="dxa"/>
            </w:tcMar>
            <w:vAlign w:val="center"/>
          </w:tcPr>
          <w:p w14:paraId="405DBA2C" w14:textId="77777777" w:rsidR="0042033D" w:rsidRDefault="00000000">
            <w:pPr>
              <w:spacing w:line="232" w:lineRule="auto"/>
              <w:jc w:val="center"/>
              <w:rPr>
                <w:sz w:val="24"/>
                <w:szCs w:val="24"/>
              </w:rPr>
            </w:pPr>
            <w:r>
              <w:rPr>
                <w:b/>
                <w:bCs/>
                <w:color w:val="FFFFFF"/>
                <w:sz w:val="24"/>
                <w:szCs w:val="24"/>
              </w:rPr>
              <w:t>EBITDA cible (k $)</w:t>
            </w:r>
          </w:p>
        </w:tc>
      </w:tr>
      <w:tr w:rsidR="0042033D" w14:paraId="089E843D" w14:textId="77777777">
        <w:trPr>
          <w:cantSplit/>
        </w:trPr>
        <w:tc>
          <w:tcPr>
            <w:tcW w:w="1300" w:type="pct"/>
            <w:tcMar>
              <w:top w:w="28" w:type="dxa"/>
              <w:left w:w="80" w:type="dxa"/>
              <w:bottom w:w="28" w:type="dxa"/>
              <w:right w:w="80" w:type="dxa"/>
            </w:tcMar>
            <w:vAlign w:val="center"/>
          </w:tcPr>
          <w:p w14:paraId="547E77BF" w14:textId="77777777" w:rsidR="0042033D" w:rsidRDefault="00000000">
            <w:pPr>
              <w:spacing w:line="232" w:lineRule="auto"/>
              <w:rPr>
                <w:sz w:val="24"/>
                <w:szCs w:val="24"/>
              </w:rPr>
            </w:pPr>
            <w:r>
              <w:rPr>
                <w:b/>
                <w:bCs/>
                <w:sz w:val="24"/>
                <w:szCs w:val="24"/>
              </w:rPr>
              <w:t>Palier 1 — catalytique (sollicité)</w:t>
            </w:r>
          </w:p>
        </w:tc>
        <w:tc>
          <w:tcPr>
            <w:tcW w:w="650" w:type="pct"/>
            <w:tcMar>
              <w:top w:w="28" w:type="dxa"/>
              <w:left w:w="80" w:type="dxa"/>
              <w:bottom w:w="28" w:type="dxa"/>
              <w:right w:w="80" w:type="dxa"/>
            </w:tcMar>
            <w:vAlign w:val="center"/>
          </w:tcPr>
          <w:p w14:paraId="12C4CC6E" w14:textId="77777777" w:rsidR="0042033D" w:rsidRDefault="00000000">
            <w:pPr>
              <w:spacing w:line="232" w:lineRule="auto"/>
              <w:jc w:val="center"/>
              <w:rPr>
                <w:sz w:val="24"/>
                <w:szCs w:val="24"/>
              </w:rPr>
            </w:pPr>
            <w:r>
              <w:rPr>
                <w:b/>
                <w:bCs/>
                <w:sz w:val="24"/>
                <w:szCs w:val="24"/>
              </w:rPr>
              <w:t>2026</w:t>
            </w:r>
          </w:p>
        </w:tc>
        <w:tc>
          <w:tcPr>
            <w:tcW w:w="1650" w:type="pct"/>
            <w:tcMar>
              <w:top w:w="28" w:type="dxa"/>
              <w:left w:w="80" w:type="dxa"/>
              <w:bottom w:w="28" w:type="dxa"/>
              <w:right w:w="80" w:type="dxa"/>
            </w:tcMar>
            <w:vAlign w:val="center"/>
          </w:tcPr>
          <w:p w14:paraId="22E35CF9" w14:textId="77777777" w:rsidR="0042033D" w:rsidRDefault="00000000">
            <w:pPr>
              <w:spacing w:line="232" w:lineRule="auto"/>
              <w:rPr>
                <w:sz w:val="24"/>
                <w:szCs w:val="24"/>
              </w:rPr>
            </w:pPr>
            <w:r>
              <w:rPr>
                <w:b/>
                <w:bCs/>
                <w:sz w:val="24"/>
                <w:szCs w:val="24"/>
              </w:rPr>
              <w:t>Financement catalytique — 50 K $</w:t>
            </w:r>
          </w:p>
        </w:tc>
        <w:tc>
          <w:tcPr>
            <w:tcW w:w="700" w:type="pct"/>
            <w:tcMar>
              <w:top w:w="28" w:type="dxa"/>
              <w:left w:w="80" w:type="dxa"/>
              <w:bottom w:w="28" w:type="dxa"/>
              <w:right w:w="80" w:type="dxa"/>
            </w:tcMar>
            <w:vAlign w:val="center"/>
          </w:tcPr>
          <w:p w14:paraId="07727B1A" w14:textId="77777777" w:rsidR="0042033D" w:rsidRDefault="00000000">
            <w:pPr>
              <w:spacing w:line="232" w:lineRule="auto"/>
              <w:jc w:val="center"/>
              <w:rPr>
                <w:sz w:val="24"/>
                <w:szCs w:val="24"/>
              </w:rPr>
            </w:pPr>
            <w:r>
              <w:rPr>
                <w:b/>
                <w:bCs/>
                <w:sz w:val="24"/>
                <w:szCs w:val="24"/>
              </w:rPr>
              <w:t>80</w:t>
            </w:r>
          </w:p>
        </w:tc>
        <w:tc>
          <w:tcPr>
            <w:tcW w:w="700" w:type="pct"/>
            <w:tcMar>
              <w:top w:w="28" w:type="dxa"/>
              <w:left w:w="80" w:type="dxa"/>
              <w:bottom w:w="28" w:type="dxa"/>
              <w:right w:w="80" w:type="dxa"/>
            </w:tcMar>
            <w:vAlign w:val="center"/>
          </w:tcPr>
          <w:p w14:paraId="4DE9423A" w14:textId="77777777" w:rsidR="0042033D" w:rsidRDefault="00000000">
            <w:pPr>
              <w:spacing w:line="232" w:lineRule="auto"/>
              <w:jc w:val="center"/>
              <w:rPr>
                <w:sz w:val="24"/>
                <w:szCs w:val="24"/>
              </w:rPr>
            </w:pPr>
            <w:r>
              <w:rPr>
                <w:b/>
                <w:bCs/>
                <w:sz w:val="24"/>
                <w:szCs w:val="24"/>
              </w:rPr>
              <w:t>15</w:t>
            </w:r>
          </w:p>
        </w:tc>
      </w:tr>
      <w:tr w:rsidR="0042033D" w14:paraId="22E3FB81" w14:textId="77777777">
        <w:trPr>
          <w:cantSplit/>
        </w:trPr>
        <w:tc>
          <w:tcPr>
            <w:tcW w:w="1300" w:type="pct"/>
            <w:tcMar>
              <w:top w:w="28" w:type="dxa"/>
              <w:left w:w="80" w:type="dxa"/>
              <w:bottom w:w="28" w:type="dxa"/>
              <w:right w:w="80" w:type="dxa"/>
            </w:tcMar>
            <w:vAlign w:val="center"/>
          </w:tcPr>
          <w:p w14:paraId="4443D17B" w14:textId="77777777" w:rsidR="0042033D" w:rsidRDefault="00000000">
            <w:pPr>
              <w:spacing w:line="232" w:lineRule="auto"/>
              <w:rPr>
                <w:sz w:val="24"/>
                <w:szCs w:val="24"/>
              </w:rPr>
            </w:pPr>
            <w:r>
              <w:rPr>
                <w:b/>
                <w:bCs/>
                <w:sz w:val="24"/>
                <w:szCs w:val="24"/>
              </w:rPr>
              <w:t>Palier 2 — scale-up</w:t>
            </w:r>
          </w:p>
        </w:tc>
        <w:tc>
          <w:tcPr>
            <w:tcW w:w="650" w:type="pct"/>
            <w:tcMar>
              <w:top w:w="28" w:type="dxa"/>
              <w:left w:w="80" w:type="dxa"/>
              <w:bottom w:w="28" w:type="dxa"/>
              <w:right w:w="80" w:type="dxa"/>
            </w:tcMar>
            <w:vAlign w:val="center"/>
          </w:tcPr>
          <w:p w14:paraId="78C833CC" w14:textId="77777777" w:rsidR="0042033D" w:rsidRDefault="00000000">
            <w:pPr>
              <w:spacing w:line="232" w:lineRule="auto"/>
              <w:jc w:val="center"/>
              <w:rPr>
                <w:sz w:val="24"/>
                <w:szCs w:val="24"/>
              </w:rPr>
            </w:pPr>
            <w:r>
              <w:rPr>
                <w:b/>
                <w:bCs/>
                <w:sz w:val="24"/>
                <w:szCs w:val="24"/>
              </w:rPr>
              <w:t>2027-2028</w:t>
            </w:r>
          </w:p>
        </w:tc>
        <w:tc>
          <w:tcPr>
            <w:tcW w:w="1650" w:type="pct"/>
            <w:tcMar>
              <w:top w:w="28" w:type="dxa"/>
              <w:left w:w="80" w:type="dxa"/>
              <w:bottom w:w="28" w:type="dxa"/>
              <w:right w:w="80" w:type="dxa"/>
            </w:tcMar>
            <w:vAlign w:val="center"/>
          </w:tcPr>
          <w:p w14:paraId="33780A54" w14:textId="77777777" w:rsidR="0042033D" w:rsidRDefault="00000000">
            <w:pPr>
              <w:spacing w:line="232" w:lineRule="auto"/>
              <w:rPr>
                <w:sz w:val="24"/>
                <w:szCs w:val="24"/>
              </w:rPr>
            </w:pPr>
            <w:r>
              <w:rPr>
                <w:b/>
                <w:bCs/>
                <w:sz w:val="24"/>
                <w:szCs w:val="24"/>
              </w:rPr>
              <w:t>Prêt à impact / subvention scale-up — 200 à 500 K $</w:t>
            </w:r>
          </w:p>
        </w:tc>
        <w:tc>
          <w:tcPr>
            <w:tcW w:w="700" w:type="pct"/>
            <w:tcMar>
              <w:top w:w="28" w:type="dxa"/>
              <w:left w:w="80" w:type="dxa"/>
              <w:bottom w:w="28" w:type="dxa"/>
              <w:right w:w="80" w:type="dxa"/>
            </w:tcMar>
            <w:vAlign w:val="center"/>
          </w:tcPr>
          <w:p w14:paraId="1F30FDAD" w14:textId="77777777" w:rsidR="0042033D" w:rsidRDefault="00000000">
            <w:pPr>
              <w:spacing w:line="232" w:lineRule="auto"/>
              <w:jc w:val="center"/>
              <w:rPr>
                <w:sz w:val="24"/>
                <w:szCs w:val="24"/>
              </w:rPr>
            </w:pPr>
            <w:r>
              <w:rPr>
                <w:b/>
                <w:bCs/>
                <w:sz w:val="24"/>
                <w:szCs w:val="24"/>
              </w:rPr>
              <w:t>145-315</w:t>
            </w:r>
          </w:p>
        </w:tc>
        <w:tc>
          <w:tcPr>
            <w:tcW w:w="700" w:type="pct"/>
            <w:tcMar>
              <w:top w:w="28" w:type="dxa"/>
              <w:left w:w="80" w:type="dxa"/>
              <w:bottom w:w="28" w:type="dxa"/>
              <w:right w:w="80" w:type="dxa"/>
            </w:tcMar>
            <w:vAlign w:val="center"/>
          </w:tcPr>
          <w:p w14:paraId="3580A26D" w14:textId="77777777" w:rsidR="0042033D" w:rsidRDefault="00000000">
            <w:pPr>
              <w:spacing w:line="232" w:lineRule="auto"/>
              <w:jc w:val="center"/>
              <w:rPr>
                <w:sz w:val="24"/>
                <w:szCs w:val="24"/>
              </w:rPr>
            </w:pPr>
            <w:r>
              <w:rPr>
                <w:b/>
                <w:bCs/>
                <w:sz w:val="24"/>
                <w:szCs w:val="24"/>
              </w:rPr>
              <w:t>34-62</w:t>
            </w:r>
          </w:p>
        </w:tc>
      </w:tr>
      <w:tr w:rsidR="0042033D" w14:paraId="15DF5775" w14:textId="77777777">
        <w:trPr>
          <w:cantSplit/>
        </w:trPr>
        <w:tc>
          <w:tcPr>
            <w:tcW w:w="1300" w:type="pct"/>
            <w:tcMar>
              <w:top w:w="28" w:type="dxa"/>
              <w:left w:w="80" w:type="dxa"/>
              <w:bottom w:w="28" w:type="dxa"/>
              <w:right w:w="80" w:type="dxa"/>
            </w:tcMar>
            <w:vAlign w:val="center"/>
          </w:tcPr>
          <w:p w14:paraId="1F34376B" w14:textId="77777777" w:rsidR="0042033D" w:rsidRDefault="00000000">
            <w:pPr>
              <w:spacing w:line="232" w:lineRule="auto"/>
              <w:rPr>
                <w:sz w:val="24"/>
                <w:szCs w:val="24"/>
              </w:rPr>
            </w:pPr>
            <w:r>
              <w:rPr>
                <w:b/>
                <w:bCs/>
                <w:sz w:val="24"/>
                <w:szCs w:val="24"/>
              </w:rPr>
              <w:t>Palier 3 — industriel</w:t>
            </w:r>
          </w:p>
        </w:tc>
        <w:tc>
          <w:tcPr>
            <w:tcW w:w="650" w:type="pct"/>
            <w:tcMar>
              <w:top w:w="28" w:type="dxa"/>
              <w:left w:w="80" w:type="dxa"/>
              <w:bottom w:w="28" w:type="dxa"/>
              <w:right w:w="80" w:type="dxa"/>
            </w:tcMar>
            <w:vAlign w:val="center"/>
          </w:tcPr>
          <w:p w14:paraId="313EB626" w14:textId="77777777" w:rsidR="0042033D" w:rsidRDefault="00000000">
            <w:pPr>
              <w:spacing w:line="232" w:lineRule="auto"/>
              <w:jc w:val="center"/>
              <w:rPr>
                <w:sz w:val="24"/>
                <w:szCs w:val="24"/>
              </w:rPr>
            </w:pPr>
            <w:r>
              <w:rPr>
                <w:b/>
                <w:bCs/>
                <w:sz w:val="24"/>
                <w:szCs w:val="24"/>
              </w:rPr>
              <w:t>2028-2029</w:t>
            </w:r>
          </w:p>
        </w:tc>
        <w:tc>
          <w:tcPr>
            <w:tcW w:w="1650" w:type="pct"/>
            <w:tcMar>
              <w:top w:w="28" w:type="dxa"/>
              <w:left w:w="80" w:type="dxa"/>
              <w:bottom w:w="28" w:type="dxa"/>
              <w:right w:w="80" w:type="dxa"/>
            </w:tcMar>
            <w:vAlign w:val="center"/>
          </w:tcPr>
          <w:p w14:paraId="4DDEA513" w14:textId="77777777" w:rsidR="0042033D" w:rsidRDefault="00000000">
            <w:pPr>
              <w:spacing w:line="232" w:lineRule="auto"/>
              <w:rPr>
                <w:sz w:val="24"/>
                <w:szCs w:val="24"/>
              </w:rPr>
            </w:pPr>
            <w:r>
              <w:rPr>
                <w:b/>
                <w:bCs/>
                <w:sz w:val="24"/>
                <w:szCs w:val="24"/>
              </w:rPr>
              <w:t>Dette mezzanine verte — 1 à 3 M $</w:t>
            </w:r>
          </w:p>
        </w:tc>
        <w:tc>
          <w:tcPr>
            <w:tcW w:w="700" w:type="pct"/>
            <w:tcMar>
              <w:top w:w="28" w:type="dxa"/>
              <w:left w:w="80" w:type="dxa"/>
              <w:bottom w:w="28" w:type="dxa"/>
              <w:right w:w="80" w:type="dxa"/>
            </w:tcMar>
            <w:vAlign w:val="center"/>
          </w:tcPr>
          <w:p w14:paraId="716F9880" w14:textId="77777777" w:rsidR="0042033D" w:rsidRDefault="00000000">
            <w:pPr>
              <w:spacing w:line="232" w:lineRule="auto"/>
              <w:jc w:val="center"/>
              <w:rPr>
                <w:sz w:val="24"/>
                <w:szCs w:val="24"/>
              </w:rPr>
            </w:pPr>
            <w:r>
              <w:rPr>
                <w:b/>
                <w:bCs/>
                <w:sz w:val="24"/>
                <w:szCs w:val="24"/>
              </w:rPr>
              <w:t>225-420</w:t>
            </w:r>
          </w:p>
        </w:tc>
        <w:tc>
          <w:tcPr>
            <w:tcW w:w="700" w:type="pct"/>
            <w:tcMar>
              <w:top w:w="28" w:type="dxa"/>
              <w:left w:w="80" w:type="dxa"/>
              <w:bottom w:w="28" w:type="dxa"/>
              <w:right w:w="80" w:type="dxa"/>
            </w:tcMar>
            <w:vAlign w:val="center"/>
          </w:tcPr>
          <w:p w14:paraId="613A5518" w14:textId="77777777" w:rsidR="0042033D" w:rsidRDefault="00000000">
            <w:pPr>
              <w:spacing w:line="232" w:lineRule="auto"/>
              <w:jc w:val="center"/>
              <w:rPr>
                <w:sz w:val="24"/>
                <w:szCs w:val="24"/>
              </w:rPr>
            </w:pPr>
            <w:r>
              <w:rPr>
                <w:b/>
                <w:bCs/>
                <w:sz w:val="24"/>
                <w:szCs w:val="24"/>
              </w:rPr>
              <w:t>62-139</w:t>
            </w:r>
          </w:p>
        </w:tc>
      </w:tr>
      <w:tr w:rsidR="0042033D" w14:paraId="200B491D" w14:textId="77777777">
        <w:trPr>
          <w:cantSplit/>
        </w:trPr>
        <w:tc>
          <w:tcPr>
            <w:tcW w:w="1300" w:type="pct"/>
            <w:tcMar>
              <w:top w:w="28" w:type="dxa"/>
              <w:left w:w="80" w:type="dxa"/>
              <w:bottom w:w="28" w:type="dxa"/>
              <w:right w:w="80" w:type="dxa"/>
            </w:tcMar>
            <w:vAlign w:val="center"/>
          </w:tcPr>
          <w:p w14:paraId="342ADFE6" w14:textId="77777777" w:rsidR="0042033D" w:rsidRDefault="00000000">
            <w:pPr>
              <w:spacing w:line="232" w:lineRule="auto"/>
              <w:rPr>
                <w:sz w:val="24"/>
                <w:szCs w:val="24"/>
              </w:rPr>
            </w:pPr>
            <w:r>
              <w:rPr>
                <w:b/>
                <w:bCs/>
                <w:sz w:val="24"/>
                <w:szCs w:val="24"/>
              </w:rPr>
              <w:t>Palier 4 — autonomie</w:t>
            </w:r>
          </w:p>
        </w:tc>
        <w:tc>
          <w:tcPr>
            <w:tcW w:w="650" w:type="pct"/>
            <w:tcMar>
              <w:top w:w="28" w:type="dxa"/>
              <w:left w:w="80" w:type="dxa"/>
              <w:bottom w:w="28" w:type="dxa"/>
              <w:right w:w="80" w:type="dxa"/>
            </w:tcMar>
            <w:vAlign w:val="center"/>
          </w:tcPr>
          <w:p w14:paraId="6BDC3D77" w14:textId="77777777" w:rsidR="0042033D" w:rsidRDefault="00000000">
            <w:pPr>
              <w:spacing w:line="232" w:lineRule="auto"/>
              <w:jc w:val="center"/>
              <w:rPr>
                <w:sz w:val="24"/>
                <w:szCs w:val="24"/>
              </w:rPr>
            </w:pPr>
            <w:r>
              <w:rPr>
                <w:b/>
                <w:bCs/>
                <w:sz w:val="24"/>
                <w:szCs w:val="24"/>
              </w:rPr>
              <w:t>2030+</w:t>
            </w:r>
          </w:p>
        </w:tc>
        <w:tc>
          <w:tcPr>
            <w:tcW w:w="1650" w:type="pct"/>
            <w:tcMar>
              <w:top w:w="28" w:type="dxa"/>
              <w:left w:w="80" w:type="dxa"/>
              <w:bottom w:w="28" w:type="dxa"/>
              <w:right w:w="80" w:type="dxa"/>
            </w:tcMar>
            <w:vAlign w:val="center"/>
          </w:tcPr>
          <w:p w14:paraId="7B2EDFEF" w14:textId="77777777" w:rsidR="0042033D" w:rsidRDefault="00000000">
            <w:pPr>
              <w:spacing w:line="232" w:lineRule="auto"/>
              <w:rPr>
                <w:sz w:val="24"/>
                <w:szCs w:val="24"/>
              </w:rPr>
            </w:pPr>
            <w:r>
              <w:rPr>
                <w:b/>
                <w:bCs/>
                <w:sz w:val="24"/>
                <w:szCs w:val="24"/>
              </w:rPr>
              <w:t>Autofinancement et dette bancaire classique</w:t>
            </w:r>
          </w:p>
        </w:tc>
        <w:tc>
          <w:tcPr>
            <w:tcW w:w="700" w:type="pct"/>
            <w:tcMar>
              <w:top w:w="28" w:type="dxa"/>
              <w:left w:w="80" w:type="dxa"/>
              <w:bottom w:w="28" w:type="dxa"/>
              <w:right w:w="80" w:type="dxa"/>
            </w:tcMar>
            <w:vAlign w:val="center"/>
          </w:tcPr>
          <w:p w14:paraId="5051CEA2" w14:textId="77777777" w:rsidR="0042033D" w:rsidRDefault="00000000">
            <w:pPr>
              <w:spacing w:line="232" w:lineRule="auto"/>
              <w:jc w:val="center"/>
              <w:rPr>
                <w:sz w:val="24"/>
                <w:szCs w:val="24"/>
              </w:rPr>
            </w:pPr>
            <w:r>
              <w:rPr>
                <w:b/>
                <w:bCs/>
                <w:sz w:val="24"/>
                <w:szCs w:val="24"/>
              </w:rPr>
              <w:t>420 et plus</w:t>
            </w:r>
          </w:p>
        </w:tc>
        <w:tc>
          <w:tcPr>
            <w:tcW w:w="700" w:type="pct"/>
            <w:tcMar>
              <w:top w:w="28" w:type="dxa"/>
              <w:left w:w="80" w:type="dxa"/>
              <w:bottom w:w="28" w:type="dxa"/>
              <w:right w:w="80" w:type="dxa"/>
            </w:tcMar>
            <w:vAlign w:val="center"/>
          </w:tcPr>
          <w:p w14:paraId="6D70EB99" w14:textId="77777777" w:rsidR="0042033D" w:rsidRDefault="00000000">
            <w:pPr>
              <w:spacing w:line="232" w:lineRule="auto"/>
              <w:jc w:val="center"/>
              <w:rPr>
                <w:sz w:val="24"/>
                <w:szCs w:val="24"/>
              </w:rPr>
            </w:pPr>
            <w:r>
              <w:rPr>
                <w:b/>
                <w:bCs/>
                <w:sz w:val="24"/>
                <w:szCs w:val="24"/>
              </w:rPr>
              <w:t>139 et plus</w:t>
            </w:r>
          </w:p>
        </w:tc>
      </w:tr>
    </w:tbl>
    <w:p w14:paraId="6C00B32D" w14:textId="77777777" w:rsidR="0042033D" w:rsidRDefault="00000000">
      <w:pPr>
        <w:pBdr>
          <w:left w:val="single" w:sz="10" w:space="12" w:color="D4875A"/>
        </w:pBdr>
        <w:spacing w:before="80" w:after="140" w:line="300" w:lineRule="auto"/>
        <w:ind w:left="360" w:right="240"/>
        <w:jc w:val="both"/>
        <w:rPr>
          <w:lang w:val="fr-FR"/>
        </w:rPr>
      </w:pPr>
      <w:r>
        <w:t>L'effet catalytique du ticket repose sur une chaîne de causalité mesurable : investissement productif, capacité disponible, volumes, ventes, génération de marge et renforcement de la trésorerie. Dans le scénario central, les flux modélisés donnent une VAN indicative d'environ 110 K$ au taux d'actualisation de 12 %, un TRI mathématique d'environ 56,6 % et un délai de récupération actualisé d'environ 2,7 ans. Ces métriques décrivent le scénario financier retenu ; elles ne constituent ni une promesse de rendement ni une valorisation de l'entreprise.</w:t>
      </w:r>
    </w:p>
    <w:p w14:paraId="2DB71C1F" w14:textId="77777777" w:rsidR="004B7298" w:rsidRDefault="004B7298" w:rsidP="004B7298">
      <w:pPr>
        <w:rPr>
          <w:lang w:val="fr-FR"/>
        </w:rPr>
      </w:pPr>
    </w:p>
    <w:p w14:paraId="7F5B3146" w14:textId="77777777" w:rsidR="004B7298" w:rsidRDefault="004B7298" w:rsidP="004B7298">
      <w:pPr>
        <w:rPr>
          <w:lang w:val="fr-FR"/>
        </w:rPr>
      </w:pPr>
    </w:p>
    <w:p w14:paraId="163F8D8E" w14:textId="77777777" w:rsidR="004B7298" w:rsidRDefault="004B7298" w:rsidP="004B7298">
      <w:pPr>
        <w:rPr>
          <w:lang w:val="fr-FR"/>
        </w:rPr>
      </w:pPr>
    </w:p>
    <w:p w14:paraId="09BA8D49" w14:textId="77777777" w:rsidR="004B7298" w:rsidRDefault="004B7298" w:rsidP="004B7298">
      <w:pPr>
        <w:rPr>
          <w:lang w:val="fr-FR"/>
        </w:rPr>
      </w:pPr>
    </w:p>
    <w:p w14:paraId="26AFFDE4" w14:textId="77777777" w:rsidR="004B7298" w:rsidRDefault="004B7298" w:rsidP="004B7298">
      <w:pPr>
        <w:rPr>
          <w:lang w:val="fr-FR"/>
        </w:rPr>
      </w:pPr>
    </w:p>
    <w:p w14:paraId="0BFB4CB1" w14:textId="77777777" w:rsidR="004B7298" w:rsidRDefault="004B7298" w:rsidP="004B7298">
      <w:pPr>
        <w:rPr>
          <w:lang w:val="fr-FR"/>
        </w:rPr>
      </w:pPr>
    </w:p>
    <w:p w14:paraId="51D4CABF" w14:textId="77777777" w:rsidR="004B7298" w:rsidRDefault="004B7298" w:rsidP="004B7298">
      <w:pPr>
        <w:rPr>
          <w:lang w:val="fr-FR"/>
        </w:rPr>
      </w:pPr>
    </w:p>
    <w:p w14:paraId="5267F8B1" w14:textId="77777777" w:rsidR="004B7298" w:rsidRDefault="004B7298" w:rsidP="004B7298">
      <w:pPr>
        <w:rPr>
          <w:lang w:val="fr-FR"/>
        </w:rPr>
      </w:pPr>
    </w:p>
    <w:p w14:paraId="353DA75C" w14:textId="77777777" w:rsidR="004B7298" w:rsidRDefault="004B7298" w:rsidP="004B7298">
      <w:pPr>
        <w:rPr>
          <w:lang w:val="fr-FR"/>
        </w:rPr>
      </w:pPr>
    </w:p>
    <w:p w14:paraId="673A70F0" w14:textId="77777777" w:rsidR="004B7298" w:rsidRDefault="004B7298" w:rsidP="004B7298">
      <w:pPr>
        <w:rPr>
          <w:lang w:val="fr-FR"/>
        </w:rPr>
      </w:pPr>
    </w:p>
    <w:p w14:paraId="31A22A1E" w14:textId="77777777" w:rsidR="004B7298" w:rsidRDefault="004B7298" w:rsidP="004B7298">
      <w:pPr>
        <w:rPr>
          <w:lang w:val="fr-FR"/>
        </w:rPr>
      </w:pPr>
    </w:p>
    <w:p w14:paraId="61E758A6" w14:textId="77777777" w:rsidR="004B7298" w:rsidRDefault="004B7298" w:rsidP="004B7298">
      <w:pPr>
        <w:rPr>
          <w:lang w:val="fr-FR"/>
        </w:rPr>
      </w:pPr>
    </w:p>
    <w:p w14:paraId="10B68D1B" w14:textId="77777777" w:rsidR="004B7298" w:rsidRDefault="004B7298" w:rsidP="004B7298">
      <w:pPr>
        <w:rPr>
          <w:lang w:val="fr-FR"/>
        </w:rPr>
      </w:pPr>
    </w:p>
    <w:p w14:paraId="7C1EF49A" w14:textId="77777777" w:rsidR="004B7298" w:rsidRDefault="004B7298" w:rsidP="004B7298">
      <w:pPr>
        <w:rPr>
          <w:lang w:val="fr-FR"/>
        </w:rPr>
      </w:pPr>
    </w:p>
    <w:p w14:paraId="3E49CBCB" w14:textId="77777777" w:rsidR="008E425A" w:rsidRDefault="008E425A" w:rsidP="004B7298">
      <w:pPr>
        <w:rPr>
          <w:lang w:val="fr-FR"/>
        </w:rPr>
      </w:pPr>
    </w:p>
    <w:p w14:paraId="66A74302" w14:textId="77777777" w:rsidR="008E425A" w:rsidRDefault="008E425A" w:rsidP="004B7298">
      <w:pPr>
        <w:rPr>
          <w:lang w:val="fr-FR"/>
        </w:rPr>
      </w:pPr>
    </w:p>
    <w:p w14:paraId="7831E556" w14:textId="77777777" w:rsidR="008E425A" w:rsidRDefault="008E425A" w:rsidP="004B7298">
      <w:pPr>
        <w:rPr>
          <w:lang w:val="fr-FR"/>
        </w:rPr>
      </w:pPr>
    </w:p>
    <w:p w14:paraId="44F09D59" w14:textId="77777777" w:rsidR="008E425A" w:rsidRDefault="008E425A" w:rsidP="004B7298">
      <w:pPr>
        <w:rPr>
          <w:lang w:val="fr-FR"/>
        </w:rPr>
      </w:pPr>
    </w:p>
    <w:p w14:paraId="13FC6DD3" w14:textId="77777777" w:rsidR="008E425A" w:rsidRDefault="008E425A" w:rsidP="004B7298">
      <w:pPr>
        <w:rPr>
          <w:lang w:val="fr-FR"/>
        </w:rPr>
      </w:pPr>
    </w:p>
    <w:p w14:paraId="5565A014" w14:textId="77777777" w:rsidR="008E425A" w:rsidRDefault="008E425A" w:rsidP="004B7298">
      <w:pPr>
        <w:rPr>
          <w:lang w:val="fr-FR"/>
        </w:rPr>
      </w:pPr>
    </w:p>
    <w:p w14:paraId="1A4E7E88" w14:textId="77777777" w:rsidR="008E425A" w:rsidRDefault="008E425A" w:rsidP="004B7298">
      <w:pPr>
        <w:rPr>
          <w:lang w:val="fr-FR"/>
        </w:rPr>
      </w:pPr>
    </w:p>
    <w:p w14:paraId="2637EB40" w14:textId="77777777" w:rsidR="008E425A" w:rsidRDefault="008E425A" w:rsidP="004B7298">
      <w:pPr>
        <w:rPr>
          <w:lang w:val="fr-FR"/>
        </w:rPr>
      </w:pPr>
    </w:p>
    <w:p w14:paraId="48E9EAA4" w14:textId="77777777" w:rsidR="008E425A" w:rsidRDefault="008E425A" w:rsidP="004B7298">
      <w:pPr>
        <w:rPr>
          <w:lang w:val="fr-FR"/>
        </w:rPr>
      </w:pPr>
    </w:p>
    <w:p w14:paraId="1F3FF4E7" w14:textId="77777777" w:rsidR="008E425A" w:rsidRPr="004B7298" w:rsidRDefault="008E425A" w:rsidP="004B7298">
      <w:pPr>
        <w:rPr>
          <w:lang w:val="fr-FR"/>
        </w:rPr>
      </w:pPr>
    </w:p>
    <w:p w14:paraId="71E6B6C9" w14:textId="77777777" w:rsidR="0042033D" w:rsidRPr="004B7298" w:rsidRDefault="00000000">
      <w:pPr>
        <w:pStyle w:val="Heading1"/>
        <w:pBdr>
          <w:bottom w:val="single" w:sz="6" w:space="4" w:color="D4875A"/>
        </w:pBdr>
        <w:spacing w:before="200" w:after="90"/>
        <w:rPr>
          <w:rFonts w:ascii="League Spartan" w:hAnsi="League Spartan"/>
          <w:sz w:val="40"/>
          <w:szCs w:val="40"/>
        </w:rPr>
      </w:pPr>
      <w:bookmarkStart w:id="111" w:name="_Toc238821304"/>
      <w:r w:rsidRPr="004B7298">
        <w:rPr>
          <w:rFonts w:ascii="League Spartan" w:hAnsi="League Spartan"/>
          <w:sz w:val="40"/>
          <w:szCs w:val="40"/>
        </w:rPr>
        <w:lastRenderedPageBreak/>
        <w:t>25. Conclusion : dossier d'investissement</w:t>
      </w:r>
      <w:bookmarkEnd w:id="111"/>
    </w:p>
    <w:p w14:paraId="3AFF3D86" w14:textId="77777777" w:rsidR="0042033D" w:rsidRDefault="00000000">
      <w:pPr>
        <w:pStyle w:val="Heading2"/>
        <w:spacing w:before="150" w:after="60"/>
        <w:rPr>
          <w:rFonts w:ascii="Times New Roman" w:hAnsi="Times New Roman"/>
        </w:rPr>
      </w:pPr>
      <w:bookmarkStart w:id="112" w:name="_Toc100112"/>
      <w:r>
        <w:rPr>
          <w:rFonts w:ascii="Times New Roman" w:hAnsi="Times New Roman"/>
        </w:rPr>
        <w:t>25.1 Synthèse : pourquoi financer Bio Source Farm</w:t>
      </w:r>
      <w:bookmarkEnd w:id="112"/>
    </w:p>
    <w:p w14:paraId="6CE804EF" w14:textId="3D89E553" w:rsidR="0042033D" w:rsidRPr="00AE3011" w:rsidRDefault="00000000">
      <w:pPr>
        <w:spacing w:after="60"/>
        <w:jc w:val="both"/>
        <w:rPr>
          <w:sz w:val="32"/>
          <w:szCs w:val="32"/>
        </w:rPr>
      </w:pPr>
      <w:r w:rsidRPr="00AE3011">
        <w:rPr>
          <w:sz w:val="24"/>
          <w:szCs w:val="24"/>
        </w:rPr>
        <w:t>Cinq éléments convergents soutiennent le financement catalytique. Premièrement, l'entreprise répond à un besoin concret de valorisation des déchets organiques et d'accès à des intrants agricoles locaux. Deuxièmement, trente mois d'exploitation ont permis de construire une preuve opérationnelle et commerciale, avec 80 210 $ de chiffre d'affaires certifié sur les deux exercices clos et environ 116 000 $ de chiffre d'affaires cumulé incluant le second semestre 202</w:t>
      </w:r>
      <w:r w:rsidR="00AE3011">
        <w:rPr>
          <w:sz w:val="24"/>
          <w:szCs w:val="24"/>
          <w:lang w:val="fr-FR"/>
        </w:rPr>
        <w:t>6</w:t>
      </w:r>
      <w:r w:rsidRPr="00AE3011">
        <w:rPr>
          <w:sz w:val="24"/>
          <w:szCs w:val="24"/>
        </w:rPr>
        <w:t xml:space="preserve"> encore en consolidation. Troisièmement, le savoir-faire opérationnel est documenté par un SOP industriel et par l'expérience acquise à Toamasina. Quatrièmement, le ticket de 50 000 $ est fléché vers des actifs et des fonctions identifiables, avec des KPI et des jalons associés. Cinquièmement, la croissance est séquencée : le scénario central reste domestique, l'export et les investissements lourds étant conditionnés à des preuves commerciales, qualité et réglementaires.</w:t>
      </w:r>
    </w:p>
    <w:p w14:paraId="1C123B10" w14:textId="77777777" w:rsidR="0042033D" w:rsidRDefault="00000000">
      <w:pPr>
        <w:pStyle w:val="Heading2"/>
        <w:spacing w:before="150" w:after="60"/>
        <w:rPr>
          <w:rFonts w:ascii="Times New Roman" w:hAnsi="Times New Roman"/>
        </w:rPr>
      </w:pPr>
      <w:bookmarkStart w:id="113" w:name="_Toc100114"/>
      <w:bookmarkEnd w:id="113"/>
      <w:r>
        <w:rPr>
          <w:rFonts w:ascii="Times New Roman" w:hAnsi="Times New Roman"/>
        </w:rPr>
        <w:t>25.2 Appel à la décision</w:t>
      </w:r>
    </w:p>
    <w:p w14:paraId="0270A092" w14:textId="77777777" w:rsidR="0042033D" w:rsidRDefault="00000000">
      <w:pPr>
        <w:spacing w:after="60"/>
        <w:jc w:val="both"/>
        <w:rPr>
          <w:sz w:val="24"/>
          <w:szCs w:val="24"/>
          <w:lang w:val="fr-FR"/>
        </w:rPr>
      </w:pPr>
      <w:r>
        <w:rPr>
          <w:sz w:val="24"/>
          <w:szCs w:val="24"/>
        </w:rPr>
        <w:t>Bio Source Farm sollicite un financement catalytique de 50 000 $ selon le mécanisme de décaissement par tranches décrit dans le plan d’investissement. Le financement vise un palier de production de 18–22 T/mois, la qualification de la ligne protéines, la diversification commerciale et la sécurisation du besoin en fonds de roulement. Les résultats futurs restent conditionnés à l’exécution opérationnelle, à la conversion du pipeline en engagements et à la validation réglementaire des nouveaux produits. Les pièces comptables, juridiques, commerciales et opérationnelles sont disponibles dans la data room.</w:t>
      </w:r>
    </w:p>
    <w:p w14:paraId="3C9B3FB8" w14:textId="77777777" w:rsidR="008E425A" w:rsidRDefault="008E425A">
      <w:pPr>
        <w:spacing w:after="60"/>
        <w:jc w:val="both"/>
        <w:rPr>
          <w:sz w:val="24"/>
          <w:szCs w:val="24"/>
          <w:lang w:val="fr-FR"/>
        </w:rPr>
      </w:pPr>
    </w:p>
    <w:p w14:paraId="649A836D" w14:textId="77777777" w:rsidR="008E425A" w:rsidRDefault="008E425A">
      <w:pPr>
        <w:spacing w:after="60"/>
        <w:jc w:val="both"/>
        <w:rPr>
          <w:sz w:val="24"/>
          <w:szCs w:val="24"/>
          <w:lang w:val="fr-FR"/>
        </w:rPr>
      </w:pPr>
    </w:p>
    <w:p w14:paraId="1E8847F5" w14:textId="77777777" w:rsidR="008E425A" w:rsidRDefault="008E425A">
      <w:pPr>
        <w:spacing w:after="60"/>
        <w:jc w:val="both"/>
        <w:rPr>
          <w:sz w:val="24"/>
          <w:szCs w:val="24"/>
          <w:lang w:val="fr-FR"/>
        </w:rPr>
      </w:pPr>
    </w:p>
    <w:p w14:paraId="27DB759C" w14:textId="77777777" w:rsidR="008E425A" w:rsidRDefault="008E425A">
      <w:pPr>
        <w:spacing w:after="60"/>
        <w:jc w:val="both"/>
        <w:rPr>
          <w:sz w:val="24"/>
          <w:szCs w:val="24"/>
          <w:lang w:val="fr-FR"/>
        </w:rPr>
      </w:pPr>
    </w:p>
    <w:p w14:paraId="4E7FDD60" w14:textId="77777777" w:rsidR="008E425A" w:rsidRDefault="008E425A">
      <w:pPr>
        <w:spacing w:after="60"/>
        <w:jc w:val="both"/>
        <w:rPr>
          <w:sz w:val="24"/>
          <w:szCs w:val="24"/>
          <w:lang w:val="fr-FR"/>
        </w:rPr>
      </w:pPr>
    </w:p>
    <w:p w14:paraId="705BDEC9" w14:textId="77777777" w:rsidR="008E425A" w:rsidRDefault="008E425A">
      <w:pPr>
        <w:spacing w:after="60"/>
        <w:jc w:val="both"/>
        <w:rPr>
          <w:sz w:val="24"/>
          <w:szCs w:val="24"/>
          <w:lang w:val="fr-FR"/>
        </w:rPr>
      </w:pPr>
    </w:p>
    <w:p w14:paraId="5CA58878" w14:textId="77777777" w:rsidR="008E425A" w:rsidRDefault="008E425A">
      <w:pPr>
        <w:spacing w:after="60"/>
        <w:jc w:val="both"/>
        <w:rPr>
          <w:sz w:val="24"/>
          <w:szCs w:val="24"/>
          <w:lang w:val="fr-FR"/>
        </w:rPr>
      </w:pPr>
    </w:p>
    <w:p w14:paraId="37F45170" w14:textId="77777777" w:rsidR="008E425A" w:rsidRDefault="008E425A">
      <w:pPr>
        <w:spacing w:after="60"/>
        <w:jc w:val="both"/>
        <w:rPr>
          <w:sz w:val="24"/>
          <w:szCs w:val="24"/>
          <w:lang w:val="fr-FR"/>
        </w:rPr>
      </w:pPr>
    </w:p>
    <w:p w14:paraId="10A2AAE3" w14:textId="77777777" w:rsidR="008E425A" w:rsidRDefault="008E425A">
      <w:pPr>
        <w:spacing w:after="60"/>
        <w:jc w:val="both"/>
        <w:rPr>
          <w:sz w:val="24"/>
          <w:szCs w:val="24"/>
          <w:lang w:val="fr-FR"/>
        </w:rPr>
      </w:pPr>
    </w:p>
    <w:p w14:paraId="1DD9E766" w14:textId="77777777" w:rsidR="008E425A" w:rsidRDefault="008E425A">
      <w:pPr>
        <w:spacing w:after="60"/>
        <w:jc w:val="both"/>
        <w:rPr>
          <w:sz w:val="24"/>
          <w:szCs w:val="24"/>
          <w:lang w:val="fr-FR"/>
        </w:rPr>
      </w:pPr>
    </w:p>
    <w:p w14:paraId="11C51631" w14:textId="77777777" w:rsidR="008E425A" w:rsidRDefault="008E425A">
      <w:pPr>
        <w:spacing w:after="60"/>
        <w:jc w:val="both"/>
        <w:rPr>
          <w:sz w:val="24"/>
          <w:szCs w:val="24"/>
          <w:lang w:val="fr-FR"/>
        </w:rPr>
      </w:pPr>
    </w:p>
    <w:p w14:paraId="6D21B3B8" w14:textId="77777777" w:rsidR="008E425A" w:rsidRDefault="008E425A">
      <w:pPr>
        <w:spacing w:after="60"/>
        <w:jc w:val="both"/>
        <w:rPr>
          <w:sz w:val="24"/>
          <w:szCs w:val="24"/>
          <w:lang w:val="fr-FR"/>
        </w:rPr>
      </w:pPr>
    </w:p>
    <w:p w14:paraId="095D1DC8" w14:textId="77777777" w:rsidR="008E425A" w:rsidRPr="008E425A" w:rsidRDefault="008E425A">
      <w:pPr>
        <w:spacing w:after="60"/>
        <w:jc w:val="both"/>
        <w:rPr>
          <w:sz w:val="24"/>
          <w:szCs w:val="24"/>
          <w:lang w:val="fr-FR"/>
        </w:rPr>
      </w:pPr>
    </w:p>
    <w:p w14:paraId="35CCA6A7" w14:textId="77777777" w:rsidR="0042033D" w:rsidRPr="008E425A" w:rsidRDefault="00000000">
      <w:pPr>
        <w:pStyle w:val="Heading1"/>
        <w:pBdr>
          <w:bottom w:val="single" w:sz="6" w:space="4" w:color="D4875A"/>
        </w:pBdr>
        <w:spacing w:before="200" w:after="90"/>
        <w:rPr>
          <w:rFonts w:ascii="League Spartan" w:hAnsi="League Spartan"/>
          <w:sz w:val="40"/>
          <w:szCs w:val="40"/>
        </w:rPr>
      </w:pPr>
      <w:bookmarkStart w:id="114" w:name="_Toc238821305"/>
      <w:r w:rsidRPr="008E425A">
        <w:rPr>
          <w:rFonts w:ascii="League Spartan" w:hAnsi="League Spartan"/>
          <w:sz w:val="40"/>
          <w:szCs w:val="40"/>
        </w:rPr>
        <w:lastRenderedPageBreak/>
        <w:t>26. Annexes essentielles</w:t>
      </w:r>
      <w:bookmarkEnd w:id="114"/>
    </w:p>
    <w:p w14:paraId="0722358E" w14:textId="77777777" w:rsidR="0042033D" w:rsidRDefault="00000000">
      <w:pPr>
        <w:pStyle w:val="Heading2"/>
        <w:spacing w:before="150" w:after="60"/>
        <w:rPr>
          <w:rFonts w:ascii="Times New Roman" w:hAnsi="Times New Roman"/>
        </w:rPr>
      </w:pPr>
      <w:bookmarkStart w:id="115" w:name="_Toc100116"/>
      <w:r>
        <w:rPr>
          <w:rFonts w:ascii="Times New Roman" w:hAnsi="Times New Roman"/>
        </w:rPr>
        <w:t>Annexe A — Fiche signalétique de l'entreprise</w:t>
      </w:r>
      <w:bookmarkEnd w:id="115"/>
    </w:p>
    <w:p w14:paraId="466D4DBF" w14:textId="65D33577" w:rsidR="0042033D" w:rsidRDefault="00000000">
      <w:pPr>
        <w:spacing w:after="60"/>
        <w:jc w:val="both"/>
        <w:rPr>
          <w:sz w:val="24"/>
          <w:szCs w:val="24"/>
        </w:rPr>
      </w:pPr>
      <w:r>
        <w:rPr>
          <w:sz w:val="24"/>
          <w:szCs w:val="24"/>
        </w:rPr>
        <w:t>Les éléments d'identification figurent au Tableau 1 (section 2) : raison sociale Bio Source Farm (B.S.F.) ; EI en cours de conversion en SARL (statuts déposés chez notaire, achèvement au plus tard au T4 2026), déblocage des fonds conditionné à la publication de l'immatriculation au registre du commerce et des sociétés, avec la procédure de repli sur pièces décrite en section 19.1 ; NIF 6 005 477 481 ; numéro statistique 74908 31 2021 0 00398 ; exercice fiscal du 1er juillet au 30 juin, exercices clos et certifiés 2023-2024 et 2024-2025 ; siège social à Mangarivotra Sud et site opérationnel à Ambalamanasy, Toamasina ; commissaire aux comptes RAKAJY Paul Philibert (Antananarivo) ; compte bancaire</w:t>
      </w:r>
      <w:r w:rsidR="004B7298">
        <w:rPr>
          <w:sz w:val="24"/>
          <w:szCs w:val="24"/>
          <w:lang w:val="fr-FR"/>
        </w:rPr>
        <w:t xml:space="preserve"> BSF</w:t>
      </w:r>
      <w:r>
        <w:rPr>
          <w:sz w:val="24"/>
          <w:szCs w:val="24"/>
        </w:rPr>
        <w:t xml:space="preserve"> </w:t>
      </w:r>
      <w:r w:rsidR="004B7298">
        <w:rPr>
          <w:sz w:val="24"/>
          <w:szCs w:val="24"/>
        </w:rPr>
        <w:t>B</w:t>
      </w:r>
      <w:r w:rsidR="004B7298">
        <w:rPr>
          <w:sz w:val="24"/>
          <w:szCs w:val="24"/>
          <w:lang w:val="fr-FR"/>
        </w:rPr>
        <w:t>NI</w:t>
      </w:r>
      <w:r w:rsidR="004B7298">
        <w:rPr>
          <w:sz w:val="24"/>
          <w:szCs w:val="24"/>
        </w:rPr>
        <w:t xml:space="preserve"> N°00005 000</w:t>
      </w:r>
      <w:r w:rsidR="004B7298">
        <w:rPr>
          <w:sz w:val="24"/>
          <w:szCs w:val="24"/>
          <w:lang w:val="fr-FR"/>
        </w:rPr>
        <w:t>37</w:t>
      </w:r>
      <w:r w:rsidR="004B7298">
        <w:rPr>
          <w:sz w:val="24"/>
          <w:szCs w:val="24"/>
        </w:rPr>
        <w:t xml:space="preserve"> 74375430001 </w:t>
      </w:r>
      <w:r w:rsidR="004B7298">
        <w:rPr>
          <w:sz w:val="24"/>
          <w:szCs w:val="24"/>
          <w:lang w:val="fr-FR"/>
        </w:rPr>
        <w:t>71</w:t>
      </w:r>
      <w:r>
        <w:rPr>
          <w:sz w:val="24"/>
          <w:szCs w:val="24"/>
        </w:rPr>
        <w:t>. La copie des statuts en cours d'enregistrement, l'attestation notariale et le calendrier administratif détaillé figurent dans la salle de données (Annexe H).</w:t>
      </w:r>
    </w:p>
    <w:p w14:paraId="6A4C64F6" w14:textId="77777777" w:rsidR="0042033D" w:rsidRDefault="00000000">
      <w:pPr>
        <w:pStyle w:val="Heading2"/>
        <w:spacing w:before="150" w:after="60"/>
        <w:rPr>
          <w:rFonts w:ascii="Times New Roman" w:hAnsi="Times New Roman"/>
        </w:rPr>
      </w:pPr>
      <w:bookmarkStart w:id="116" w:name="_Toc100117"/>
      <w:r>
        <w:rPr>
          <w:rFonts w:ascii="Times New Roman" w:hAnsi="Times New Roman"/>
        </w:rPr>
        <w:t>Annexe B — Synthèse des comptes certifiés (exercices 2023-2024 et 2024-2025)</w:t>
      </w:r>
      <w:bookmarkEnd w:id="116"/>
    </w:p>
    <w:p w14:paraId="0FCA23A3" w14:textId="77777777" w:rsidR="0042033D" w:rsidRDefault="00000000">
      <w:pPr>
        <w:spacing w:after="60"/>
        <w:jc w:val="both"/>
        <w:rPr>
          <w:sz w:val="24"/>
          <w:szCs w:val="24"/>
        </w:rPr>
      </w:pPr>
      <w:r>
        <w:rPr>
          <w:sz w:val="24"/>
          <w:szCs w:val="24"/>
        </w:rPr>
        <w:t xml:space="preserve">Exercice clos le 30 juin 2024 : chiffre d'affaires de 146,0 millions d'Ariary (32 430 $), résultat net de 41,3 millions d'Ariary (9 180 $). Exercice clos le 30 juin 2025 : chiffre d'affaires de 215,0 millions d'Ariary (47 780 $), résultat net de 66,6 millions d'Ariary (14 790 $). Cumul des deux exercices : 361,0 millions d'Ariary de chiffre d'affaires (80 210 $) et 107,9 millions d'Ariary de résultat net (23 970 $). Situation au 30 juin 2025 : total du bilan de 131,7 millions d'Ariary (29 270 $), dont immobilisations corporelles nettes de 21,8 millions, stocks de 31,4 millions, créances clients de 12,4 millions et trésorerie en banque de 66,1 millions d'Ariary (14 690 $). Capital social : 20 millions d'Ariary. Dettes financières : néant. Les rapports du commissaire aux comptes, établis en avril 2025 et mars 2026 respectivement, certifient l'image fidèle des comptes conformément au référentiel comptable en vigueur à Madagascar ; les rapports exhaustifs sont consignés dans la salle de données (Annexe H). Les fonds du Prix Pierre Castel 2024 y figurent également tracés poste par poste (6 500 $ d'équipements, 3 500 $ de fonds de roulement). </w:t>
      </w:r>
      <w:r>
        <w:rPr>
          <w:b/>
          <w:bCs/>
          <w:sz w:val="24"/>
          <w:szCs w:val="24"/>
        </w:rPr>
        <w:t>Les données du S2 2025 (juillet-décembre) sont issues de la comptabilité interne et seront certifiées à la clôture de l'exercice 2025-2026.</w:t>
      </w:r>
    </w:p>
    <w:p w14:paraId="58C5D7C4" w14:textId="77777777" w:rsidR="0042033D" w:rsidRDefault="00000000">
      <w:pPr>
        <w:pStyle w:val="Heading2"/>
        <w:spacing w:before="150" w:after="60"/>
        <w:rPr>
          <w:rFonts w:ascii="Times New Roman" w:hAnsi="Times New Roman"/>
        </w:rPr>
      </w:pPr>
      <w:bookmarkStart w:id="117" w:name="_Toc100118"/>
      <w:r>
        <w:rPr>
          <w:rFonts w:ascii="Times New Roman" w:hAnsi="Times New Roman"/>
        </w:rPr>
        <w:t>Annexe C — Glossaire technique et financier</w:t>
      </w:r>
      <w:bookmarkEnd w:id="117"/>
    </w:p>
    <w:p w14:paraId="03636D47" w14:textId="77777777" w:rsidR="004B7298" w:rsidRDefault="00000000">
      <w:pPr>
        <w:spacing w:after="60"/>
        <w:jc w:val="both"/>
        <w:rPr>
          <w:sz w:val="24"/>
          <w:szCs w:val="24"/>
          <w:lang w:val="fr-FR"/>
        </w:rPr>
      </w:pPr>
      <w:r w:rsidRPr="004B7298">
        <w:rPr>
          <w:b/>
          <w:bCs/>
          <w:sz w:val="24"/>
          <w:szCs w:val="24"/>
        </w:rPr>
        <w:t>BSF :</w:t>
      </w:r>
      <w:r w:rsidRPr="004B7298">
        <w:rPr>
          <w:sz w:val="24"/>
          <w:szCs w:val="24"/>
        </w:rPr>
        <w:t xml:space="preserve"> Black Soldier Fly, mouche soldat noire (Hermetia illucens)</w:t>
      </w:r>
      <w:r w:rsidR="004B7298" w:rsidRPr="004B7298">
        <w:rPr>
          <w:sz w:val="24"/>
          <w:szCs w:val="24"/>
          <w:lang w:val="fr-FR"/>
        </w:rPr>
        <w:t xml:space="preserve"> mais aussi l’</w:t>
      </w:r>
      <w:r w:rsidR="004B7298">
        <w:rPr>
          <w:sz w:val="24"/>
          <w:szCs w:val="24"/>
          <w:lang w:val="fr-FR"/>
        </w:rPr>
        <w:t xml:space="preserve">acronyme de la société Bio Source </w:t>
      </w:r>
      <w:proofErr w:type="spellStart"/>
      <w:r w:rsidR="004B7298">
        <w:rPr>
          <w:sz w:val="24"/>
          <w:szCs w:val="24"/>
          <w:lang w:val="fr-FR"/>
        </w:rPr>
        <w:t>Farm</w:t>
      </w:r>
      <w:proofErr w:type="spellEnd"/>
      <w:r w:rsidRPr="004B7298">
        <w:rPr>
          <w:sz w:val="24"/>
          <w:szCs w:val="24"/>
        </w:rPr>
        <w:t>.</w:t>
      </w:r>
      <w:r w:rsidR="004B7298">
        <w:rPr>
          <w:sz w:val="24"/>
          <w:szCs w:val="24"/>
          <w:lang w:val="fr-FR"/>
        </w:rPr>
        <w:t xml:space="preserve"> </w:t>
      </w:r>
    </w:p>
    <w:p w14:paraId="7752D755" w14:textId="77777777" w:rsidR="004B7298" w:rsidRDefault="004B7298">
      <w:pPr>
        <w:spacing w:after="60"/>
        <w:jc w:val="both"/>
        <w:rPr>
          <w:sz w:val="24"/>
          <w:szCs w:val="24"/>
          <w:lang w:val="fr-FR"/>
        </w:rPr>
      </w:pPr>
      <w:r w:rsidRPr="004B7298">
        <w:rPr>
          <w:b/>
          <w:bCs/>
          <w:sz w:val="24"/>
          <w:szCs w:val="24"/>
          <w:lang w:val="fr-FR"/>
        </w:rPr>
        <w:t>DOL</w:t>
      </w:r>
      <w:r w:rsidRPr="004B7298">
        <w:rPr>
          <w:b/>
          <w:bCs/>
          <w:sz w:val="24"/>
          <w:szCs w:val="24"/>
        </w:rPr>
        <w:t xml:space="preserve"> :</w:t>
      </w:r>
      <w:r w:rsidRPr="004B7298">
        <w:rPr>
          <w:sz w:val="24"/>
          <w:szCs w:val="24"/>
        </w:rPr>
        <w:t xml:space="preserve"> </w:t>
      </w:r>
      <w:r>
        <w:rPr>
          <w:sz w:val="24"/>
          <w:szCs w:val="24"/>
          <w:lang w:val="fr-FR"/>
        </w:rPr>
        <w:t xml:space="preserve">Day Old </w:t>
      </w:r>
      <w:proofErr w:type="spellStart"/>
      <w:r>
        <w:rPr>
          <w:sz w:val="24"/>
          <w:szCs w:val="24"/>
          <w:lang w:val="fr-FR"/>
        </w:rPr>
        <w:t>Larvae</w:t>
      </w:r>
      <w:proofErr w:type="spellEnd"/>
      <w:r>
        <w:rPr>
          <w:sz w:val="24"/>
          <w:szCs w:val="24"/>
          <w:lang w:val="fr-FR"/>
        </w:rPr>
        <w:t xml:space="preserve">, </w:t>
      </w:r>
      <w:r w:rsidRPr="004B7298">
        <w:rPr>
          <w:sz w:val="24"/>
          <w:szCs w:val="24"/>
        </w:rPr>
        <w:t xml:space="preserve">jour après éclosion. </w:t>
      </w:r>
    </w:p>
    <w:p w14:paraId="05ADE148" w14:textId="77777777" w:rsidR="004B7298" w:rsidRDefault="00000000">
      <w:pPr>
        <w:spacing w:after="60"/>
        <w:jc w:val="both"/>
        <w:rPr>
          <w:sz w:val="24"/>
          <w:szCs w:val="24"/>
          <w:lang w:val="fr-FR"/>
        </w:rPr>
      </w:pPr>
      <w:r w:rsidRPr="004B7298">
        <w:rPr>
          <w:b/>
          <w:bCs/>
          <w:sz w:val="24"/>
          <w:szCs w:val="24"/>
        </w:rPr>
        <w:t>Frass :</w:t>
      </w:r>
      <w:r w:rsidRPr="004B7298">
        <w:rPr>
          <w:sz w:val="24"/>
          <w:szCs w:val="24"/>
        </w:rPr>
        <w:t xml:space="preserve"> résidu organique issu de la bioconversion par les larves BSF, utilisé comme engrais organique. </w:t>
      </w:r>
    </w:p>
    <w:p w14:paraId="22684FD4" w14:textId="77777777" w:rsidR="004B7298" w:rsidRDefault="00000000">
      <w:pPr>
        <w:spacing w:after="60"/>
        <w:jc w:val="both"/>
        <w:rPr>
          <w:sz w:val="24"/>
          <w:szCs w:val="24"/>
          <w:lang w:val="fr-FR"/>
        </w:rPr>
      </w:pPr>
      <w:r w:rsidRPr="004B7298">
        <w:rPr>
          <w:sz w:val="24"/>
          <w:szCs w:val="24"/>
        </w:rPr>
        <w:t xml:space="preserve">NPK : azote, phosphore, potassium. </w:t>
      </w:r>
    </w:p>
    <w:p w14:paraId="0D94F853" w14:textId="77777777" w:rsidR="004B7298" w:rsidRDefault="00000000">
      <w:pPr>
        <w:spacing w:after="60"/>
        <w:jc w:val="both"/>
        <w:rPr>
          <w:sz w:val="24"/>
          <w:szCs w:val="24"/>
          <w:lang w:val="fr-FR"/>
        </w:rPr>
      </w:pPr>
      <w:r w:rsidRPr="004B7298">
        <w:rPr>
          <w:sz w:val="24"/>
          <w:szCs w:val="24"/>
        </w:rPr>
        <w:t xml:space="preserve">FDA : Fonds de Développement Agricole, institution étatique malgache. </w:t>
      </w:r>
    </w:p>
    <w:p w14:paraId="5D30CE05" w14:textId="77777777" w:rsidR="004B7298" w:rsidRDefault="00000000">
      <w:pPr>
        <w:spacing w:after="60"/>
        <w:jc w:val="both"/>
        <w:rPr>
          <w:sz w:val="24"/>
          <w:szCs w:val="24"/>
          <w:lang w:val="fr-FR"/>
        </w:rPr>
      </w:pPr>
      <w:r w:rsidRPr="004B7298">
        <w:rPr>
          <w:sz w:val="24"/>
          <w:szCs w:val="24"/>
        </w:rPr>
        <w:t xml:space="preserve">EI / SARL : Entreprise Individuelle / Société à Responsabilité Limitée. </w:t>
      </w:r>
    </w:p>
    <w:p w14:paraId="59B88BC1" w14:textId="77777777" w:rsidR="004B7298" w:rsidRDefault="00000000">
      <w:pPr>
        <w:spacing w:after="60"/>
        <w:jc w:val="both"/>
        <w:rPr>
          <w:sz w:val="24"/>
          <w:szCs w:val="24"/>
          <w:lang w:val="fr-FR"/>
        </w:rPr>
      </w:pPr>
      <w:r w:rsidRPr="004B7298">
        <w:rPr>
          <w:sz w:val="24"/>
          <w:szCs w:val="24"/>
        </w:rPr>
        <w:lastRenderedPageBreak/>
        <w:t xml:space="preserve">RCS : registre du commerce et des sociétés. </w:t>
      </w:r>
    </w:p>
    <w:p w14:paraId="12651336" w14:textId="77777777" w:rsidR="004B7298" w:rsidRDefault="00000000">
      <w:pPr>
        <w:spacing w:after="60"/>
        <w:jc w:val="both"/>
        <w:rPr>
          <w:sz w:val="24"/>
          <w:szCs w:val="24"/>
          <w:lang w:val="fr-FR"/>
        </w:rPr>
      </w:pPr>
      <w:r w:rsidRPr="004B7298">
        <w:rPr>
          <w:sz w:val="24"/>
          <w:szCs w:val="24"/>
        </w:rPr>
        <w:t xml:space="preserve">OMAPI : Office Malgache de la Propriété Intellectuelle. </w:t>
      </w:r>
    </w:p>
    <w:p w14:paraId="477EB93B" w14:textId="77777777" w:rsidR="004B7298" w:rsidRDefault="00000000">
      <w:pPr>
        <w:spacing w:after="60"/>
        <w:jc w:val="both"/>
        <w:rPr>
          <w:sz w:val="24"/>
          <w:szCs w:val="24"/>
          <w:lang w:val="fr-FR"/>
        </w:rPr>
      </w:pPr>
      <w:r w:rsidRPr="004B7298">
        <w:rPr>
          <w:sz w:val="24"/>
          <w:szCs w:val="24"/>
        </w:rPr>
        <w:t xml:space="preserve">Condition suspensive : clause faisant dépendre la validité d'un engagement de la réalisation d'un événement futur et incertain, ici la publication de l'immatriculation SARL. </w:t>
      </w:r>
    </w:p>
    <w:p w14:paraId="64CB40A6" w14:textId="77777777" w:rsidR="004B7298" w:rsidRDefault="00000000">
      <w:pPr>
        <w:spacing w:after="60"/>
        <w:jc w:val="both"/>
        <w:rPr>
          <w:sz w:val="24"/>
          <w:szCs w:val="24"/>
          <w:lang w:val="fr-FR"/>
        </w:rPr>
      </w:pPr>
      <w:r w:rsidRPr="004B7298">
        <w:rPr>
          <w:sz w:val="24"/>
          <w:szCs w:val="24"/>
        </w:rPr>
        <w:t xml:space="preserve">SOP : manuel de procédures opératoires standard. </w:t>
      </w:r>
    </w:p>
    <w:p w14:paraId="05435794" w14:textId="77777777" w:rsidR="004B7298" w:rsidRDefault="00000000">
      <w:pPr>
        <w:spacing w:after="60"/>
        <w:jc w:val="both"/>
        <w:rPr>
          <w:sz w:val="24"/>
          <w:szCs w:val="24"/>
          <w:lang w:val="fr-FR"/>
        </w:rPr>
      </w:pPr>
      <w:r w:rsidRPr="004B7298">
        <w:rPr>
          <w:sz w:val="24"/>
          <w:szCs w:val="24"/>
        </w:rPr>
        <w:t xml:space="preserve">EBITDA : excédent brut d'exploitation. </w:t>
      </w:r>
    </w:p>
    <w:p w14:paraId="68C60B39" w14:textId="77777777" w:rsidR="004B7298" w:rsidRDefault="00000000">
      <w:pPr>
        <w:spacing w:after="60"/>
        <w:jc w:val="both"/>
        <w:rPr>
          <w:sz w:val="24"/>
          <w:szCs w:val="24"/>
          <w:lang w:val="fr-FR"/>
        </w:rPr>
      </w:pPr>
      <w:r w:rsidRPr="004B7298">
        <w:rPr>
          <w:sz w:val="24"/>
          <w:szCs w:val="24"/>
        </w:rPr>
        <w:t xml:space="preserve">CAPEX / OPEX : dépenses d'investissement / opérationnelles. </w:t>
      </w:r>
    </w:p>
    <w:p w14:paraId="52AF463B" w14:textId="77777777" w:rsidR="004B7298" w:rsidRDefault="00000000">
      <w:pPr>
        <w:spacing w:after="60"/>
        <w:jc w:val="both"/>
        <w:rPr>
          <w:sz w:val="24"/>
          <w:szCs w:val="24"/>
          <w:lang w:val="fr-FR"/>
        </w:rPr>
      </w:pPr>
      <w:r w:rsidRPr="004B7298">
        <w:rPr>
          <w:sz w:val="24"/>
          <w:szCs w:val="24"/>
        </w:rPr>
        <w:t xml:space="preserve">BFR : besoin en fonds de roulement ; désigne ici la réserve affectée aux créances et stocks tampon. </w:t>
      </w:r>
    </w:p>
    <w:p w14:paraId="36F20D72" w14:textId="77777777" w:rsidR="004B7298" w:rsidRDefault="00000000">
      <w:pPr>
        <w:spacing w:after="60"/>
        <w:jc w:val="both"/>
        <w:rPr>
          <w:sz w:val="24"/>
          <w:szCs w:val="24"/>
          <w:lang w:val="fr-FR"/>
        </w:rPr>
      </w:pPr>
      <w:r w:rsidRPr="004B7298">
        <w:rPr>
          <w:sz w:val="24"/>
          <w:szCs w:val="24"/>
        </w:rPr>
        <w:t xml:space="preserve">TAM/SAM/SOM : marché total adressable, adressable servable, cible obtentionnable. </w:t>
      </w:r>
    </w:p>
    <w:p w14:paraId="71C7CF44" w14:textId="77777777" w:rsidR="004B7298" w:rsidRDefault="00000000">
      <w:pPr>
        <w:spacing w:after="60"/>
        <w:jc w:val="both"/>
        <w:rPr>
          <w:sz w:val="24"/>
          <w:szCs w:val="24"/>
          <w:lang w:val="fr-FR"/>
        </w:rPr>
      </w:pPr>
      <w:r w:rsidRPr="004B7298">
        <w:rPr>
          <w:sz w:val="24"/>
          <w:szCs w:val="24"/>
        </w:rPr>
        <w:t xml:space="preserve">LTV / CAC : indicateurs de valeur vie client et de coût d'acquisition ; utilisés ici à titre directionnel et par canal. </w:t>
      </w:r>
    </w:p>
    <w:p w14:paraId="2A93B985" w14:textId="77777777" w:rsidR="004B7298" w:rsidRDefault="00000000">
      <w:pPr>
        <w:spacing w:after="60"/>
        <w:jc w:val="both"/>
        <w:rPr>
          <w:sz w:val="24"/>
          <w:szCs w:val="24"/>
          <w:lang w:val="fr-FR"/>
        </w:rPr>
      </w:pPr>
      <w:r w:rsidRPr="004B7298">
        <w:rPr>
          <w:sz w:val="24"/>
          <w:szCs w:val="24"/>
        </w:rPr>
        <w:t>ETP : équivalent temps plein. Salle de données (data room) : espace documentaire sécurisé regroupant les pièces justificatives mises à disposition du financeur.</w:t>
      </w:r>
    </w:p>
    <w:p w14:paraId="53321345" w14:textId="77777777" w:rsidR="004B7298" w:rsidRDefault="00000000">
      <w:pPr>
        <w:spacing w:after="60"/>
        <w:jc w:val="both"/>
        <w:rPr>
          <w:sz w:val="24"/>
          <w:szCs w:val="24"/>
          <w:lang w:val="fr-FR"/>
        </w:rPr>
      </w:pPr>
      <w:r w:rsidRPr="004B7298">
        <w:rPr>
          <w:sz w:val="24"/>
          <w:szCs w:val="24"/>
        </w:rPr>
        <w:t xml:space="preserve"> Financement catalytique : capital public ou philanthropique destiné à débloquer un palier de développement non finançable par le marché. </w:t>
      </w:r>
    </w:p>
    <w:p w14:paraId="5C58D0B9" w14:textId="77777777" w:rsidR="004B7298" w:rsidRDefault="00000000">
      <w:pPr>
        <w:spacing w:after="60"/>
        <w:jc w:val="both"/>
        <w:rPr>
          <w:sz w:val="24"/>
          <w:szCs w:val="24"/>
          <w:lang w:val="fr-FR"/>
        </w:rPr>
      </w:pPr>
      <w:r w:rsidRPr="004B7298">
        <w:rPr>
          <w:sz w:val="24"/>
          <w:szCs w:val="24"/>
        </w:rPr>
        <w:t xml:space="preserve">Prêt à impact : dette consentie sur critères sociaux et environnementaux. Subvention scale-up : don de croissance destiné à franchir un palier industriel. </w:t>
      </w:r>
    </w:p>
    <w:p w14:paraId="38F352D8" w14:textId="431A2060" w:rsidR="0042033D" w:rsidRPr="004B7298" w:rsidRDefault="00000000">
      <w:pPr>
        <w:spacing w:after="60"/>
        <w:jc w:val="both"/>
        <w:rPr>
          <w:sz w:val="32"/>
          <w:szCs w:val="32"/>
          <w:lang w:val="fr-FR"/>
        </w:rPr>
      </w:pPr>
      <w:r w:rsidRPr="004B7298">
        <w:rPr>
          <w:sz w:val="24"/>
          <w:szCs w:val="24"/>
        </w:rPr>
        <w:t>Dette mezzanine verte : dette subordonnée adossée à des actifs productifs à impact climat.</w:t>
      </w:r>
    </w:p>
    <w:p w14:paraId="69BDFDBC" w14:textId="77777777" w:rsidR="0042033D" w:rsidRDefault="0042033D">
      <w:pPr>
        <w:spacing w:after="60"/>
        <w:jc w:val="both"/>
        <w:rPr>
          <w:sz w:val="24"/>
          <w:szCs w:val="24"/>
          <w:lang w:val="fr-FR"/>
        </w:rPr>
      </w:pPr>
    </w:p>
    <w:p w14:paraId="15008A94" w14:textId="77777777" w:rsidR="0042033D" w:rsidRDefault="00000000">
      <w:pPr>
        <w:pStyle w:val="Heading2"/>
        <w:spacing w:before="150" w:after="60"/>
        <w:rPr>
          <w:rFonts w:ascii="Times New Roman" w:hAnsi="Times New Roman"/>
          <w:lang w:val="fr-FR"/>
        </w:rPr>
      </w:pPr>
      <w:bookmarkStart w:id="118" w:name="_Toc100119"/>
      <w:r>
        <w:rPr>
          <w:rFonts w:ascii="Times New Roman" w:hAnsi="Times New Roman"/>
        </w:rPr>
        <w:t>Annexe D — Sources et références</w:t>
      </w:r>
      <w:bookmarkEnd w:id="118"/>
    </w:p>
    <w:tbl>
      <w:tblPr>
        <w:tblStyle w:val="PlainTable2"/>
        <w:tblW w:w="0" w:type="auto"/>
        <w:tblLook w:val="04A0" w:firstRow="1" w:lastRow="0" w:firstColumn="1" w:lastColumn="0" w:noHBand="0" w:noVBand="1"/>
      </w:tblPr>
      <w:tblGrid>
        <w:gridCol w:w="676"/>
        <w:gridCol w:w="1954"/>
        <w:gridCol w:w="3663"/>
        <w:gridCol w:w="2863"/>
      </w:tblGrid>
      <w:tr w:rsidR="0042033D" w14:paraId="701754C2" w14:textId="77777777" w:rsidTr="00420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11E71" w14:textId="77777777" w:rsidR="0042033D" w:rsidRDefault="00000000">
            <w:pPr>
              <w:pStyle w:val="Heading2"/>
              <w:spacing w:before="150" w:after="60" w:line="312" w:lineRule="auto"/>
              <w:rPr>
                <w:rFonts w:ascii="Arial Narrow" w:hAnsi="Arial Narrow"/>
              </w:rPr>
            </w:pPr>
            <w:r>
              <w:rPr>
                <w:rFonts w:ascii="Arial Narrow" w:hAnsi="Arial Narrow"/>
              </w:rPr>
              <w:t>Réf.</w:t>
            </w:r>
          </w:p>
        </w:tc>
        <w:tc>
          <w:tcPr>
            <w:tcW w:w="0" w:type="auto"/>
            <w:hideMark/>
          </w:tcPr>
          <w:p w14:paraId="0189A441" w14:textId="77777777" w:rsidR="0042033D" w:rsidRDefault="00000000">
            <w:pPr>
              <w:pStyle w:val="Heading2"/>
              <w:spacing w:before="150" w:after="60" w:line="312" w:lineRule="auto"/>
              <w:cnfStyle w:val="100000000000" w:firstRow="1"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Domaines / Affirmations</w:t>
            </w:r>
          </w:p>
        </w:tc>
        <w:tc>
          <w:tcPr>
            <w:tcW w:w="0" w:type="auto"/>
            <w:hideMark/>
          </w:tcPr>
          <w:p w14:paraId="186F04DE" w14:textId="77777777" w:rsidR="0042033D" w:rsidRDefault="00000000">
            <w:pPr>
              <w:pStyle w:val="Heading2"/>
              <w:spacing w:before="150" w:after="60" w:line="312" w:lineRule="auto"/>
              <w:cnfStyle w:val="100000000000" w:firstRow="1"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Source Officielle &amp; Preuve Consultable</w:t>
            </w:r>
          </w:p>
        </w:tc>
        <w:tc>
          <w:tcPr>
            <w:tcW w:w="0" w:type="auto"/>
            <w:hideMark/>
          </w:tcPr>
          <w:p w14:paraId="761A756A" w14:textId="77777777" w:rsidR="0042033D" w:rsidRDefault="00000000">
            <w:pPr>
              <w:pStyle w:val="Heading2"/>
              <w:spacing w:before="150" w:after="60" w:line="312" w:lineRule="auto"/>
              <w:cnfStyle w:val="100000000000" w:firstRow="1" w:lastRow="0" w:firstColumn="0" w:lastColumn="0" w:oddVBand="0" w:evenVBand="0" w:oddHBand="0" w:evenHBand="0" w:firstRowFirstColumn="0" w:firstRowLastColumn="0" w:lastRowFirstColumn="0" w:lastRowLastColumn="0"/>
              <w:rPr>
                <w:rFonts w:ascii="Arial Narrow" w:hAnsi="Arial Narrow"/>
              </w:rPr>
            </w:pPr>
            <w:r>
              <w:rPr>
                <w:rFonts w:ascii="Arial Narrow" w:hAnsi="Arial Narrow"/>
              </w:rPr>
              <w:t>Statut &amp; Lien de Vérification</w:t>
            </w:r>
          </w:p>
        </w:tc>
      </w:tr>
      <w:tr w:rsidR="0042033D" w14:paraId="66DC848C" w14:textId="77777777" w:rsidTr="0042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B98A0" w14:textId="77777777" w:rsidR="0042033D" w:rsidRDefault="00000000">
            <w:pPr>
              <w:pStyle w:val="Heading2"/>
              <w:spacing w:before="150" w:after="60" w:line="312" w:lineRule="auto"/>
              <w:rPr>
                <w:rFonts w:ascii="Arial Narrow" w:hAnsi="Arial Narrow"/>
              </w:rPr>
            </w:pPr>
            <w:r>
              <w:rPr>
                <w:rFonts w:ascii="Arial Narrow" w:hAnsi="Arial Narrow"/>
              </w:rPr>
              <w:t>[1]</w:t>
            </w:r>
          </w:p>
        </w:tc>
        <w:tc>
          <w:tcPr>
            <w:tcW w:w="0" w:type="auto"/>
            <w:hideMark/>
          </w:tcPr>
          <w:p w14:paraId="1FBB1F99" w14:textId="77777777" w:rsidR="0042033D" w:rsidRDefault="00000000">
            <w:pPr>
              <w:cnfStyle w:val="000000100000" w:firstRow="0" w:lastRow="0" w:firstColumn="0" w:lastColumn="0" w:oddVBand="0" w:evenVBand="0" w:oddHBand="1" w:evenHBand="0" w:firstRowFirstColumn="0" w:firstRowLastColumn="0" w:lastRowFirstColumn="0" w:lastRowLastColumn="0"/>
            </w:pPr>
            <w:r>
              <w:t>Importations d'engrais à Madagascar (35,21 M$ en 2024)</w:t>
            </w:r>
          </w:p>
        </w:tc>
        <w:tc>
          <w:tcPr>
            <w:tcW w:w="0" w:type="auto"/>
            <w:hideMark/>
          </w:tcPr>
          <w:p w14:paraId="68B7F284"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UN COMTRADE / World Bank WITS (HS Code 31 - Fertilizers imports to Madagascar).</w:t>
            </w:r>
          </w:p>
        </w:tc>
        <w:tc>
          <w:tcPr>
            <w:tcW w:w="0" w:type="auto"/>
            <w:hideMark/>
          </w:tcPr>
          <w:p w14:paraId="73DFAC29"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sidRPr="004B7298">
              <w:rPr>
                <w:rFonts w:ascii="Arial Narrow" w:hAnsi="Arial Narrow"/>
                <w:b w:val="0"/>
                <w:bCs w:val="0"/>
              </w:rPr>
              <w:t>UN COMTRADE / World Bank WITS — HS 31, Madagascar imports, 2024. Donnée consultée le 28 août 2026.</w:t>
            </w:r>
          </w:p>
        </w:tc>
      </w:tr>
      <w:tr w:rsidR="0042033D" w14:paraId="42F99089" w14:textId="77777777" w:rsidTr="0042033D">
        <w:tc>
          <w:tcPr>
            <w:cnfStyle w:val="001000000000" w:firstRow="0" w:lastRow="0" w:firstColumn="1" w:lastColumn="0" w:oddVBand="0" w:evenVBand="0" w:oddHBand="0" w:evenHBand="0" w:firstRowFirstColumn="0" w:firstRowLastColumn="0" w:lastRowFirstColumn="0" w:lastRowLastColumn="0"/>
            <w:tcW w:w="0" w:type="auto"/>
            <w:hideMark/>
          </w:tcPr>
          <w:p w14:paraId="34D5DF2E" w14:textId="77777777" w:rsidR="0042033D" w:rsidRDefault="00000000">
            <w:pPr>
              <w:pStyle w:val="Heading2"/>
              <w:spacing w:before="150" w:after="60" w:line="312" w:lineRule="auto"/>
              <w:rPr>
                <w:rFonts w:ascii="Arial Narrow" w:hAnsi="Arial Narrow"/>
              </w:rPr>
            </w:pPr>
            <w:r>
              <w:rPr>
                <w:rFonts w:ascii="Arial Narrow" w:hAnsi="Arial Narrow"/>
              </w:rPr>
              <w:t>[2]</w:t>
            </w:r>
          </w:p>
        </w:tc>
        <w:tc>
          <w:tcPr>
            <w:tcW w:w="0" w:type="auto"/>
            <w:hideMark/>
          </w:tcPr>
          <w:p w14:paraId="0BDFA5E8"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Génération de déchets solides municipaux (3,77 Mt/an)</w:t>
            </w:r>
          </w:p>
        </w:tc>
        <w:tc>
          <w:tcPr>
            <w:tcW w:w="0" w:type="auto"/>
            <w:hideMark/>
          </w:tcPr>
          <w:p w14:paraId="1DEC5F9E"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 xml:space="preserve">World Bank Group — Report </w:t>
            </w:r>
            <w:r>
              <w:rPr>
                <w:rFonts w:ascii="Arial Narrow" w:hAnsi="Arial Narrow"/>
                <w:b w:val="0"/>
                <w:bCs w:val="0"/>
                <w:i/>
                <w:iCs/>
              </w:rPr>
              <w:t>"What a Waste 3.0: A Global Snapshot of Solid Waste Management to 2050"</w:t>
            </w:r>
            <w:r>
              <w:rPr>
                <w:rFonts w:ascii="Arial Narrow" w:hAnsi="Arial Narrow"/>
                <w:b w:val="0"/>
                <w:bCs w:val="0"/>
              </w:rPr>
              <w:t>.</w:t>
            </w:r>
          </w:p>
        </w:tc>
        <w:tc>
          <w:tcPr>
            <w:tcW w:w="0" w:type="auto"/>
            <w:hideMark/>
          </w:tcPr>
          <w:p w14:paraId="101CFBEE"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 xml:space="preserve">Base de données publiques </w:t>
            </w:r>
            <w:r>
              <w:rPr>
                <w:rFonts w:ascii="Arial Narrow" w:hAnsi="Arial Narrow"/>
                <w:b w:val="0"/>
                <w:bCs w:val="0"/>
                <w:i/>
                <w:iCs/>
              </w:rPr>
              <w:t>World Bank Open Data</w:t>
            </w:r>
            <w:r>
              <w:rPr>
                <w:rFonts w:ascii="Arial Narrow" w:hAnsi="Arial Narrow"/>
                <w:b w:val="0"/>
                <w:bCs w:val="0"/>
              </w:rPr>
              <w:t xml:space="preserve"> / Données résidus urbains Madagascar.</w:t>
            </w:r>
          </w:p>
        </w:tc>
      </w:tr>
      <w:tr w:rsidR="0042033D" w14:paraId="5E76A497" w14:textId="77777777" w:rsidTr="0042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A9EA6" w14:textId="77777777" w:rsidR="0042033D" w:rsidRDefault="00000000">
            <w:pPr>
              <w:pStyle w:val="Heading2"/>
              <w:spacing w:before="150" w:after="60" w:line="312" w:lineRule="auto"/>
              <w:rPr>
                <w:rFonts w:ascii="Arial Narrow" w:hAnsi="Arial Narrow"/>
              </w:rPr>
            </w:pPr>
            <w:r>
              <w:rPr>
                <w:rFonts w:ascii="Arial Narrow" w:hAnsi="Arial Narrow"/>
              </w:rPr>
              <w:t>[3]</w:t>
            </w:r>
          </w:p>
        </w:tc>
        <w:tc>
          <w:tcPr>
            <w:tcW w:w="0" w:type="auto"/>
            <w:hideMark/>
          </w:tcPr>
          <w:p w14:paraId="2D154011"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Accompagnement accélération climat</w:t>
            </w:r>
          </w:p>
        </w:tc>
        <w:tc>
          <w:tcPr>
            <w:tcW w:w="0" w:type="auto"/>
            <w:hideMark/>
          </w:tcPr>
          <w:p w14:paraId="23478619"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 xml:space="preserve">Conservation International Madagascar — </w:t>
            </w:r>
            <w:r>
              <w:rPr>
                <w:rFonts w:ascii="Arial Narrow" w:hAnsi="Arial Narrow"/>
                <w:b w:val="0"/>
                <w:bCs w:val="0"/>
                <w:i/>
                <w:iCs/>
              </w:rPr>
              <w:t>Adaptation Accelerator Program (AAP)</w:t>
            </w:r>
            <w:r>
              <w:rPr>
                <w:rFonts w:ascii="Arial Narrow" w:hAnsi="Arial Narrow"/>
                <w:b w:val="0"/>
                <w:bCs w:val="0"/>
              </w:rPr>
              <w:t>.</w:t>
            </w:r>
          </w:p>
        </w:tc>
        <w:tc>
          <w:tcPr>
            <w:tcW w:w="0" w:type="auto"/>
            <w:hideMark/>
          </w:tcPr>
          <w:p w14:paraId="09F03039"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 xml:space="preserve">Programme de soutien aux initiatives d'adaptation au </w:t>
            </w:r>
            <w:r>
              <w:rPr>
                <w:rFonts w:ascii="Arial Narrow" w:hAnsi="Arial Narrow"/>
                <w:b w:val="0"/>
                <w:bCs w:val="0"/>
              </w:rPr>
              <w:lastRenderedPageBreak/>
              <w:t>changement climatique (CI / CEPF / GCF).</w:t>
            </w:r>
          </w:p>
        </w:tc>
      </w:tr>
      <w:tr w:rsidR="0042033D" w14:paraId="18F6467F" w14:textId="77777777" w:rsidTr="0042033D">
        <w:tc>
          <w:tcPr>
            <w:cnfStyle w:val="001000000000" w:firstRow="0" w:lastRow="0" w:firstColumn="1" w:lastColumn="0" w:oddVBand="0" w:evenVBand="0" w:oddHBand="0" w:evenHBand="0" w:firstRowFirstColumn="0" w:firstRowLastColumn="0" w:lastRowFirstColumn="0" w:lastRowLastColumn="0"/>
            <w:tcW w:w="0" w:type="auto"/>
            <w:hideMark/>
          </w:tcPr>
          <w:p w14:paraId="0895234E" w14:textId="77777777" w:rsidR="0042033D" w:rsidRDefault="00000000">
            <w:pPr>
              <w:pStyle w:val="Heading2"/>
              <w:spacing w:before="150" w:after="60" w:line="312" w:lineRule="auto"/>
              <w:rPr>
                <w:rFonts w:ascii="Arial Narrow" w:hAnsi="Arial Narrow"/>
              </w:rPr>
            </w:pPr>
            <w:r>
              <w:rPr>
                <w:rFonts w:ascii="Arial Narrow" w:hAnsi="Arial Narrow"/>
              </w:rPr>
              <w:lastRenderedPageBreak/>
              <w:t>[4]</w:t>
            </w:r>
          </w:p>
        </w:tc>
        <w:tc>
          <w:tcPr>
            <w:tcW w:w="0" w:type="auto"/>
            <w:hideMark/>
          </w:tcPr>
          <w:p w14:paraId="5C7810C5"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Agronomie &amp; Efficacité du Frass BSF</w:t>
            </w:r>
          </w:p>
        </w:tc>
        <w:tc>
          <w:tcPr>
            <w:tcW w:w="0" w:type="auto"/>
            <w:hideMark/>
          </w:tcPr>
          <w:p w14:paraId="05284091"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 xml:space="preserve">MDPI Insects Journal (2024) — </w:t>
            </w:r>
            <w:r>
              <w:rPr>
                <w:rFonts w:ascii="Arial Narrow" w:hAnsi="Arial Narrow"/>
                <w:b w:val="0"/>
                <w:bCs w:val="0"/>
                <w:i/>
                <w:iCs/>
              </w:rPr>
              <w:t>"Larval Frass of Hermetia illucens as Organic Fertilizer: Composition and Beneficial Effects on Different Crops"</w:t>
            </w:r>
            <w:r>
              <w:rPr>
                <w:rFonts w:ascii="Arial Narrow" w:hAnsi="Arial Narrow"/>
                <w:b w:val="0"/>
                <w:bCs w:val="0"/>
              </w:rPr>
              <w:t xml:space="preserve"> (Lomonaco et al.).</w:t>
            </w:r>
          </w:p>
        </w:tc>
        <w:tc>
          <w:tcPr>
            <w:tcW w:w="0" w:type="auto"/>
            <w:hideMark/>
          </w:tcPr>
          <w:p w14:paraId="7441BCD6"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Article académique à comité de lecture (DOI: 10.3390/insects15040293).</w:t>
            </w:r>
          </w:p>
        </w:tc>
      </w:tr>
      <w:tr w:rsidR="0042033D" w14:paraId="3B248711" w14:textId="77777777" w:rsidTr="0042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B2737" w14:textId="77777777" w:rsidR="0042033D" w:rsidRDefault="00000000">
            <w:pPr>
              <w:pStyle w:val="Heading2"/>
              <w:spacing w:before="150" w:after="60" w:line="312" w:lineRule="auto"/>
              <w:rPr>
                <w:rFonts w:ascii="Arial Narrow" w:hAnsi="Arial Narrow"/>
              </w:rPr>
            </w:pPr>
            <w:r>
              <w:rPr>
                <w:rFonts w:ascii="Arial Narrow" w:hAnsi="Arial Narrow"/>
              </w:rPr>
              <w:t>[5]</w:t>
            </w:r>
          </w:p>
        </w:tc>
        <w:tc>
          <w:tcPr>
            <w:tcW w:w="0" w:type="auto"/>
            <w:hideMark/>
          </w:tcPr>
          <w:p w14:paraId="501C41D8"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Recherche appliquée locale</w:t>
            </w:r>
          </w:p>
        </w:tc>
        <w:tc>
          <w:tcPr>
            <w:tcW w:w="0" w:type="auto"/>
            <w:hideMark/>
          </w:tcPr>
          <w:p w14:paraId="6716E5A4"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Travaux académiques indépendants Madagascar — (Études d'impact du frass d'insectes en agroécologie, Université d'Antananarivo / Ramiandatsoa et al.).</w:t>
            </w:r>
          </w:p>
        </w:tc>
        <w:tc>
          <w:tcPr>
            <w:tcW w:w="0" w:type="auto"/>
            <w:hideMark/>
          </w:tcPr>
          <w:p w14:paraId="7474AD2D"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Thèses et mémoires universitaires déposés auprès des facultés d'Agronomie.</w:t>
            </w:r>
          </w:p>
        </w:tc>
      </w:tr>
      <w:tr w:rsidR="0042033D" w14:paraId="1B1D267F" w14:textId="77777777" w:rsidTr="0042033D">
        <w:tc>
          <w:tcPr>
            <w:cnfStyle w:val="001000000000" w:firstRow="0" w:lastRow="0" w:firstColumn="1" w:lastColumn="0" w:oddVBand="0" w:evenVBand="0" w:oddHBand="0" w:evenHBand="0" w:firstRowFirstColumn="0" w:firstRowLastColumn="0" w:lastRowFirstColumn="0" w:lastRowLastColumn="0"/>
            <w:tcW w:w="0" w:type="auto"/>
            <w:hideMark/>
          </w:tcPr>
          <w:p w14:paraId="035E6A6D" w14:textId="77777777" w:rsidR="0042033D" w:rsidRDefault="00000000">
            <w:pPr>
              <w:pStyle w:val="Heading2"/>
              <w:spacing w:before="150" w:after="60" w:line="312" w:lineRule="auto"/>
              <w:rPr>
                <w:rFonts w:ascii="Arial Narrow" w:hAnsi="Arial Narrow"/>
              </w:rPr>
            </w:pPr>
            <w:r>
              <w:rPr>
                <w:rFonts w:ascii="Arial Narrow" w:hAnsi="Arial Narrow"/>
              </w:rPr>
              <w:t>[6]</w:t>
            </w:r>
          </w:p>
        </w:tc>
        <w:tc>
          <w:tcPr>
            <w:tcW w:w="0" w:type="auto"/>
            <w:hideMark/>
          </w:tcPr>
          <w:p w14:paraId="58258381"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Performances financières, Unit Economics &amp; Projections</w:t>
            </w:r>
          </w:p>
        </w:tc>
        <w:tc>
          <w:tcPr>
            <w:tcW w:w="0" w:type="auto"/>
            <w:hideMark/>
          </w:tcPr>
          <w:p w14:paraId="3232D6A3"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Bio Source Farm (B.S.F.) — États financiers clos 2023-2024 et 2024-2025 audités et certifiés sans réserve par le Commissaire aux Comptes ; Manuel SOP v1.0 interne.</w:t>
            </w:r>
          </w:p>
        </w:tc>
        <w:tc>
          <w:tcPr>
            <w:tcW w:w="0" w:type="auto"/>
            <w:hideMark/>
          </w:tcPr>
          <w:p w14:paraId="6360FED5"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Rapports d'audit et pièces comptables certifiées fournies dans le Data Room du projet.</w:t>
            </w:r>
          </w:p>
        </w:tc>
      </w:tr>
      <w:tr w:rsidR="0042033D" w14:paraId="14F399CC" w14:textId="77777777" w:rsidTr="0042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A85F1" w14:textId="77777777" w:rsidR="0042033D" w:rsidRDefault="00000000">
            <w:pPr>
              <w:pStyle w:val="Heading2"/>
              <w:spacing w:before="150" w:after="60" w:line="312" w:lineRule="auto"/>
              <w:rPr>
                <w:rFonts w:ascii="Arial Narrow" w:hAnsi="Arial Narrow"/>
              </w:rPr>
            </w:pPr>
            <w:r>
              <w:rPr>
                <w:rFonts w:ascii="Arial Narrow" w:hAnsi="Arial Narrow"/>
              </w:rPr>
              <w:t>[7]</w:t>
            </w:r>
          </w:p>
        </w:tc>
        <w:tc>
          <w:tcPr>
            <w:tcW w:w="0" w:type="auto"/>
            <w:hideMark/>
          </w:tcPr>
          <w:p w14:paraId="53D1440B"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Canal institutionnel &amp; Financements ruraux</w:t>
            </w:r>
          </w:p>
        </w:tc>
        <w:tc>
          <w:tcPr>
            <w:tcW w:w="0" w:type="auto"/>
            <w:hideMark/>
          </w:tcPr>
          <w:p w14:paraId="1E2C3D81"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Fonds de Développement Agricole (FDA) — Ministère de l'Agriculture et de l'Élevage de Madagascar (MINAE).</w:t>
            </w:r>
          </w:p>
        </w:tc>
        <w:tc>
          <w:tcPr>
            <w:tcW w:w="0" w:type="auto"/>
            <w:hideMark/>
          </w:tcPr>
          <w:p w14:paraId="224039BC"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Registre institutionnel des conventions et partenariats d'approvisionnement en intrants.</w:t>
            </w:r>
          </w:p>
        </w:tc>
      </w:tr>
      <w:tr w:rsidR="0042033D" w14:paraId="7B759B0A" w14:textId="77777777" w:rsidTr="0042033D">
        <w:tc>
          <w:tcPr>
            <w:cnfStyle w:val="001000000000" w:firstRow="0" w:lastRow="0" w:firstColumn="1" w:lastColumn="0" w:oddVBand="0" w:evenVBand="0" w:oddHBand="0" w:evenHBand="0" w:firstRowFirstColumn="0" w:firstRowLastColumn="0" w:lastRowFirstColumn="0" w:lastRowLastColumn="0"/>
            <w:tcW w:w="0" w:type="auto"/>
            <w:hideMark/>
          </w:tcPr>
          <w:p w14:paraId="605FD8EF" w14:textId="77777777" w:rsidR="0042033D" w:rsidRDefault="00000000">
            <w:pPr>
              <w:pStyle w:val="Heading2"/>
              <w:spacing w:before="150" w:after="60" w:line="312" w:lineRule="auto"/>
              <w:rPr>
                <w:rFonts w:ascii="Arial Narrow" w:hAnsi="Arial Narrow"/>
              </w:rPr>
            </w:pPr>
            <w:r>
              <w:rPr>
                <w:rFonts w:ascii="Arial Narrow" w:hAnsi="Arial Narrow"/>
              </w:rPr>
              <w:t>[8]</w:t>
            </w:r>
          </w:p>
        </w:tc>
        <w:tc>
          <w:tcPr>
            <w:tcW w:w="0" w:type="auto"/>
            <w:hideMark/>
          </w:tcPr>
          <w:p w14:paraId="58124102"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Facilité de trésorerie bancaire</w:t>
            </w:r>
          </w:p>
        </w:tc>
        <w:tc>
          <w:tcPr>
            <w:tcW w:w="0" w:type="auto"/>
            <w:hideMark/>
          </w:tcPr>
          <w:p w14:paraId="4F54D10D" w14:textId="6E1D3140" w:rsidR="0042033D" w:rsidRDefault="00ED4AD3">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lang w:val="fr-FR"/>
              </w:rPr>
              <w:t>BNI</w:t>
            </w:r>
            <w:r>
              <w:rPr>
                <w:rFonts w:ascii="Arial Narrow" w:hAnsi="Arial Narrow"/>
                <w:b w:val="0"/>
                <w:bCs w:val="0"/>
              </w:rPr>
              <w:t xml:space="preserve"> (Groupe </w:t>
            </w:r>
            <w:proofErr w:type="spellStart"/>
            <w:r>
              <w:rPr>
                <w:rFonts w:ascii="Arial Narrow" w:hAnsi="Arial Narrow"/>
                <w:b w:val="0"/>
                <w:bCs w:val="0"/>
                <w:lang w:val="fr-FR"/>
              </w:rPr>
              <w:t>Axian</w:t>
            </w:r>
            <w:proofErr w:type="spellEnd"/>
            <w:r>
              <w:rPr>
                <w:rFonts w:ascii="Arial Narrow" w:hAnsi="Arial Narrow"/>
                <w:b w:val="0"/>
                <w:bCs w:val="0"/>
              </w:rPr>
              <w:t>) — Accords de lignes de crédit d'exploitation court terme.</w:t>
            </w:r>
          </w:p>
        </w:tc>
        <w:tc>
          <w:tcPr>
            <w:tcW w:w="0" w:type="auto"/>
            <w:hideMark/>
          </w:tcPr>
          <w:p w14:paraId="03E4CC13" w14:textId="77777777" w:rsidR="0042033D" w:rsidRDefault="00000000">
            <w:pPr>
              <w:pStyle w:val="Heading2"/>
              <w:spacing w:before="150" w:after="60" w:line="312" w:lineRule="auto"/>
              <w:cnfStyle w:val="000000000000" w:firstRow="0" w:lastRow="0" w:firstColumn="0" w:lastColumn="0" w:oddVBand="0" w:evenVBand="0" w:oddHBand="0" w:evenHBand="0" w:firstRowFirstColumn="0" w:firstRowLastColumn="0" w:lastRowFirstColumn="0" w:lastRowLastColumn="0"/>
              <w:rPr>
                <w:rFonts w:ascii="Arial Narrow" w:hAnsi="Arial Narrow"/>
                <w:b w:val="0"/>
                <w:bCs w:val="0"/>
              </w:rPr>
            </w:pPr>
            <w:r>
              <w:rPr>
                <w:rFonts w:ascii="Arial Narrow" w:hAnsi="Arial Narrow"/>
                <w:b w:val="0"/>
                <w:bCs w:val="0"/>
              </w:rPr>
              <w:t>Attestation bancaire / Contrat d'ouverture de crédit de BFR d'exploitation.</w:t>
            </w:r>
          </w:p>
        </w:tc>
      </w:tr>
      <w:tr w:rsidR="0042033D" w14:paraId="4CC94D33" w14:textId="77777777" w:rsidTr="0042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9B9EE" w14:textId="77777777" w:rsidR="0042033D" w:rsidRDefault="00000000">
            <w:pPr>
              <w:pStyle w:val="Heading2"/>
              <w:spacing w:before="150" w:after="60" w:line="312" w:lineRule="auto"/>
              <w:rPr>
                <w:rFonts w:ascii="Arial Narrow" w:hAnsi="Arial Narrow"/>
              </w:rPr>
            </w:pPr>
            <w:r>
              <w:rPr>
                <w:rFonts w:ascii="Arial Narrow" w:hAnsi="Arial Narrow"/>
              </w:rPr>
              <w:t>[9]</w:t>
            </w:r>
          </w:p>
        </w:tc>
        <w:tc>
          <w:tcPr>
            <w:tcW w:w="0" w:type="auto"/>
            <w:hideMark/>
          </w:tcPr>
          <w:p w14:paraId="7AEEBD7E"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Reconnaissance &amp; Prix d'Entrepreneuriat</w:t>
            </w:r>
          </w:p>
        </w:tc>
        <w:tc>
          <w:tcPr>
            <w:tcW w:w="0" w:type="auto"/>
            <w:hideMark/>
          </w:tcPr>
          <w:p w14:paraId="33E88967"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Fonds Pierre Castel &amp; Groupe CASTEL / Star Madagascar — Prix Pierre Castel 2024 (2e Prix Lauréat National Madagascar).</w:t>
            </w:r>
          </w:p>
        </w:tc>
        <w:tc>
          <w:tcPr>
            <w:tcW w:w="0" w:type="auto"/>
            <w:hideMark/>
          </w:tcPr>
          <w:p w14:paraId="7AEC0D5B" w14:textId="77777777" w:rsidR="0042033D" w:rsidRDefault="00000000">
            <w:pPr>
              <w:pStyle w:val="Heading2"/>
              <w:spacing w:before="150" w:after="60" w:line="312" w:lineRule="auto"/>
              <w:cnfStyle w:val="000000100000" w:firstRow="0" w:lastRow="0" w:firstColumn="0" w:lastColumn="0" w:oddVBand="0" w:evenVBand="0" w:oddHBand="1" w:evenHBand="0" w:firstRowFirstColumn="0" w:firstRowLastColumn="0" w:lastRowFirstColumn="0" w:lastRowLastColumn="0"/>
              <w:rPr>
                <w:rFonts w:ascii="Arial Narrow" w:hAnsi="Arial Narrow"/>
                <w:b w:val="0"/>
                <w:bCs w:val="0"/>
              </w:rPr>
            </w:pPr>
            <w:r>
              <w:rPr>
                <w:rFonts w:ascii="Arial Narrow" w:hAnsi="Arial Narrow"/>
                <w:b w:val="0"/>
                <w:bCs w:val="0"/>
              </w:rPr>
              <w:t>Communiqués officiels du Fonds Pierre Castel et Palmarès de l'Édition 2024.</w:t>
            </w:r>
          </w:p>
        </w:tc>
      </w:tr>
      <w:tr w:rsidR="0042033D" w14:paraId="4108B993" w14:textId="77777777" w:rsidTr="0042033D">
        <w:tc>
          <w:tcPr>
            <w:cnfStyle w:val="001000000000" w:firstRow="0" w:lastRow="0" w:firstColumn="1" w:lastColumn="0" w:oddVBand="0" w:evenVBand="0" w:oddHBand="0" w:evenHBand="0" w:firstRowFirstColumn="0" w:firstRowLastColumn="0" w:lastRowFirstColumn="0" w:lastRowLastColumn="0"/>
            <w:tcW w:w="577" w:type="dxa"/>
          </w:tcPr>
          <w:p w14:paraId="61A38228" w14:textId="77777777" w:rsidR="0042033D" w:rsidRPr="004B7298" w:rsidRDefault="00000000">
            <w:pPr>
              <w:rPr>
                <w:rFonts w:ascii="Arial Narrow" w:eastAsia="Arial" w:hAnsi="Arial Narrow"/>
                <w:b w:val="0"/>
                <w:bCs w:val="0"/>
                <w:color w:val="1A2330"/>
                <w:sz w:val="24"/>
                <w:szCs w:val="24"/>
              </w:rPr>
            </w:pPr>
            <w:r w:rsidRPr="004B7298">
              <w:rPr>
                <w:rFonts w:ascii="Arial Narrow" w:eastAsia="Arial" w:hAnsi="Arial Narrow"/>
                <w:b w:val="0"/>
                <w:bCs w:val="0"/>
                <w:color w:val="1A2330"/>
                <w:sz w:val="24"/>
                <w:szCs w:val="24"/>
              </w:rPr>
              <w:t>[S10]</w:t>
            </w:r>
          </w:p>
        </w:tc>
        <w:tc>
          <w:tcPr>
            <w:tcW w:w="2184" w:type="dxa"/>
          </w:tcPr>
          <w:p w14:paraId="58C51032" w14:textId="77777777" w:rsidR="0042033D" w:rsidRPr="004B7298"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w:hAnsi="Arial Narrow"/>
                <w:color w:val="1A2330"/>
                <w:sz w:val="24"/>
                <w:szCs w:val="24"/>
              </w:rPr>
            </w:pPr>
            <w:r w:rsidRPr="004B7298">
              <w:rPr>
                <w:rFonts w:ascii="Arial Narrow" w:eastAsia="Arial" w:hAnsi="Arial Narrow"/>
                <w:color w:val="1A2330"/>
                <w:sz w:val="24"/>
                <w:szCs w:val="24"/>
              </w:rPr>
              <w:t>Concurrence BSF directe à Toamasina — BSF Tamatave</w:t>
            </w:r>
          </w:p>
        </w:tc>
        <w:tc>
          <w:tcPr>
            <w:tcW w:w="3115" w:type="dxa"/>
          </w:tcPr>
          <w:p w14:paraId="1B0B3BF0" w14:textId="77777777" w:rsidR="0042033D" w:rsidRPr="004B7298"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w:hAnsi="Arial Narrow"/>
                <w:color w:val="1A2330"/>
                <w:sz w:val="24"/>
                <w:szCs w:val="24"/>
              </w:rPr>
            </w:pPr>
            <w:r w:rsidRPr="004B7298">
              <w:rPr>
                <w:rFonts w:ascii="Arial Narrow" w:eastAsia="Arial" w:hAnsi="Arial Narrow"/>
                <w:color w:val="1A2330"/>
                <w:sz w:val="24"/>
                <w:szCs w:val="24"/>
              </w:rPr>
              <w:t>Miarakap — fiche entrepreneur BSF Tamatave, activité BSF et valorisation des larves/frass, région Atsinanana. https://miarakap.com/entrepreneur/bsf/</w:t>
            </w:r>
          </w:p>
        </w:tc>
        <w:tc>
          <w:tcPr>
            <w:tcW w:w="3280" w:type="dxa"/>
          </w:tcPr>
          <w:p w14:paraId="19071DA3" w14:textId="77777777" w:rsidR="0042033D" w:rsidRPr="004B7298"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w:hAnsi="Arial Narrow"/>
                <w:color w:val="1A2330"/>
                <w:sz w:val="24"/>
                <w:szCs w:val="24"/>
              </w:rPr>
            </w:pPr>
            <w:r w:rsidRPr="004B7298">
              <w:rPr>
                <w:rFonts w:ascii="Arial Narrow" w:eastAsia="Arial" w:hAnsi="Arial Narrow"/>
                <w:color w:val="1A2330"/>
                <w:sz w:val="24"/>
                <w:szCs w:val="24"/>
              </w:rPr>
              <w:t>Source externe consultée en août 2026</w:t>
            </w:r>
          </w:p>
        </w:tc>
      </w:tr>
      <w:tr w:rsidR="0042033D" w14:paraId="2AFC7209" w14:textId="77777777" w:rsidTr="00420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dxa"/>
          </w:tcPr>
          <w:p w14:paraId="06C4218F" w14:textId="77777777" w:rsidR="0042033D" w:rsidRPr="004B7298" w:rsidRDefault="00000000">
            <w:pPr>
              <w:rPr>
                <w:rFonts w:ascii="Arial Narrow" w:eastAsia="Arial" w:hAnsi="Arial Narrow"/>
                <w:b w:val="0"/>
                <w:bCs w:val="0"/>
                <w:color w:val="1A2330"/>
                <w:sz w:val="24"/>
                <w:szCs w:val="24"/>
              </w:rPr>
            </w:pPr>
            <w:r w:rsidRPr="004B7298">
              <w:rPr>
                <w:rFonts w:ascii="Arial Narrow" w:eastAsia="Arial" w:hAnsi="Arial Narrow"/>
                <w:b w:val="0"/>
                <w:bCs w:val="0"/>
                <w:color w:val="1A2330"/>
                <w:sz w:val="24"/>
                <w:szCs w:val="24"/>
              </w:rPr>
              <w:t>[S11]</w:t>
            </w:r>
          </w:p>
        </w:tc>
        <w:tc>
          <w:tcPr>
            <w:tcW w:w="2184" w:type="dxa"/>
          </w:tcPr>
          <w:p w14:paraId="2D4826AB" w14:textId="77777777" w:rsidR="0042033D" w:rsidRPr="004B7298"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w:hAnsi="Arial Narrow"/>
                <w:color w:val="1A2330"/>
                <w:sz w:val="24"/>
                <w:szCs w:val="24"/>
              </w:rPr>
            </w:pPr>
            <w:r w:rsidRPr="004B7298">
              <w:rPr>
                <w:rFonts w:ascii="Arial Narrow" w:eastAsia="Arial" w:hAnsi="Arial Narrow"/>
                <w:color w:val="1A2330"/>
                <w:sz w:val="24"/>
                <w:szCs w:val="24"/>
              </w:rPr>
              <w:t>Concurrence BSF protéines — EXA Feed</w:t>
            </w:r>
          </w:p>
        </w:tc>
        <w:tc>
          <w:tcPr>
            <w:tcW w:w="3115" w:type="dxa"/>
          </w:tcPr>
          <w:p w14:paraId="44003F0B" w14:textId="77777777" w:rsidR="0042033D" w:rsidRPr="004B7298"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w:hAnsi="Arial Narrow"/>
                <w:color w:val="1A2330"/>
                <w:sz w:val="24"/>
                <w:szCs w:val="24"/>
              </w:rPr>
            </w:pPr>
            <w:r w:rsidRPr="004B7298">
              <w:rPr>
                <w:rFonts w:ascii="Arial Narrow" w:eastAsia="Arial" w:hAnsi="Arial Narrow"/>
                <w:color w:val="1A2330"/>
                <w:sz w:val="24"/>
                <w:szCs w:val="24"/>
              </w:rPr>
              <w:t>Miarakap — fiche entrepreneur EXA Feed, production de farine protéinée à base de BSF, Analamanga. https://miarakap.com/entrepreneur/exa-feed/</w:t>
            </w:r>
          </w:p>
        </w:tc>
        <w:tc>
          <w:tcPr>
            <w:tcW w:w="3280" w:type="dxa"/>
          </w:tcPr>
          <w:p w14:paraId="587F696D" w14:textId="77777777" w:rsidR="0042033D" w:rsidRPr="004B7298"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w:hAnsi="Arial Narrow"/>
                <w:color w:val="1A2330"/>
                <w:sz w:val="24"/>
                <w:szCs w:val="24"/>
              </w:rPr>
            </w:pPr>
            <w:r w:rsidRPr="004B7298">
              <w:rPr>
                <w:rFonts w:ascii="Arial Narrow" w:eastAsia="Arial" w:hAnsi="Arial Narrow"/>
                <w:color w:val="1A2330"/>
                <w:sz w:val="24"/>
                <w:szCs w:val="24"/>
              </w:rPr>
              <w:t>Source externe consultée en août 2026</w:t>
            </w:r>
          </w:p>
        </w:tc>
      </w:tr>
    </w:tbl>
    <w:p w14:paraId="367EEBA0" w14:textId="77777777" w:rsidR="0042033D" w:rsidRDefault="00000000">
      <w:pPr>
        <w:spacing w:after="60"/>
        <w:rPr>
          <w:sz w:val="24"/>
          <w:szCs w:val="24"/>
          <w:lang w:val="en-US"/>
        </w:rPr>
      </w:pPr>
      <w:r>
        <w:rPr>
          <w:sz w:val="24"/>
          <w:szCs w:val="24"/>
        </w:rPr>
        <w:lastRenderedPageBreak/>
        <w:t>[S1] Banque mondiale — Madagascar: Environmental Analysis / Municipal Solid Waste. Données de référence utilisées : environ 3,77 Mt de déchets solides municipaux générés en 2016 ; 96,7 % orientés vers des dépôts à ciel ouvert. Source : World Bank document repository.</w:t>
      </w:r>
      <w:r>
        <w:rPr>
          <w:sz w:val="24"/>
          <w:szCs w:val="24"/>
          <w:lang w:val="en-US"/>
        </w:rPr>
        <w:t xml:space="preserve"> </w:t>
      </w:r>
      <w:hyperlink r:id="rId23" w:history="1">
        <w:r>
          <w:rPr>
            <w:rStyle w:val="Hyperlink"/>
            <w:sz w:val="24"/>
            <w:szCs w:val="24"/>
          </w:rPr>
          <w:t>https://documents1.worldbank.org/curated/en/099082724062527226/pdf/P1796861ca217605919f1bd282a7f19a206.pdf</w:t>
        </w:r>
      </w:hyperlink>
    </w:p>
    <w:p w14:paraId="3E2221E1" w14:textId="77777777" w:rsidR="0042033D" w:rsidRDefault="00000000">
      <w:pPr>
        <w:spacing w:after="60"/>
        <w:rPr>
          <w:sz w:val="24"/>
          <w:szCs w:val="24"/>
        </w:rPr>
      </w:pPr>
      <w:r>
        <w:rPr>
          <w:sz w:val="24"/>
          <w:szCs w:val="24"/>
        </w:rPr>
        <w:br/>
        <w:t xml:space="preserve">[S2] Fonds Pierre Castel — Prix Pierre Castel 2024. Tendry RASOLOMAMPIONONA / Bio Source Farm, Madagascar : 2e Lauréat national, catégorie Économie circulaire. Le rapport d’activités 2024 et la page des lauréats documentent la distinction et le projet. </w:t>
      </w:r>
      <w:hyperlink r:id="rId24" w:history="1">
        <w:r>
          <w:rPr>
            <w:rStyle w:val="Hyperlink"/>
            <w:sz w:val="24"/>
            <w:szCs w:val="24"/>
          </w:rPr>
          <w:t>https://www.fonds-pierre-castel.org/prix-pierre-castel/edition-2024/</w:t>
        </w:r>
      </w:hyperlink>
    </w:p>
    <w:p w14:paraId="3E7A9CE4" w14:textId="77777777" w:rsidR="0042033D" w:rsidRDefault="00000000">
      <w:pPr>
        <w:spacing w:after="60"/>
        <w:rPr>
          <w:sz w:val="24"/>
          <w:szCs w:val="24"/>
          <w:lang w:val="fr-FR"/>
        </w:rPr>
      </w:pPr>
      <w:r>
        <w:rPr>
          <w:sz w:val="24"/>
          <w:szCs w:val="24"/>
        </w:rPr>
        <w:br/>
        <w:t xml:space="preserve">[S3] Ramiadantsoa T. et al. (2026), PLOS ONE, “Optimizing Black Soldier Fly frass fertilizer rates for maize and soybean production in Madagascar”, DOI 10.1371/journal.pone.0343378. Étude de terrain sur doses, rendements et seuils économiques du frass BSF à Madagascar. </w:t>
      </w:r>
      <w:hyperlink r:id="rId25" w:history="1">
        <w:r>
          <w:rPr>
            <w:rStyle w:val="Hyperlink"/>
            <w:sz w:val="24"/>
            <w:szCs w:val="24"/>
          </w:rPr>
          <w:t>https://doi.org/10.1371/journal.pone.0343378</w:t>
        </w:r>
      </w:hyperlink>
    </w:p>
    <w:p w14:paraId="00E19CBE" w14:textId="77777777" w:rsidR="0042033D" w:rsidRDefault="0042033D">
      <w:pPr>
        <w:spacing w:after="60"/>
        <w:rPr>
          <w:sz w:val="24"/>
          <w:szCs w:val="24"/>
          <w:lang w:val="fr-FR"/>
        </w:rPr>
      </w:pPr>
    </w:p>
    <w:p w14:paraId="6A46C431" w14:textId="77777777" w:rsidR="0042033D" w:rsidRDefault="00000000">
      <w:pPr>
        <w:spacing w:after="60"/>
        <w:rPr>
          <w:sz w:val="24"/>
          <w:szCs w:val="24"/>
          <w:lang w:val="fr-FR"/>
        </w:rPr>
      </w:pPr>
      <w:r>
        <w:rPr>
          <w:sz w:val="24"/>
          <w:szCs w:val="24"/>
        </w:rPr>
        <w:t xml:space="preserve">[S4] Projet Pôles Intégrés de Croissance (PIC3), Madagascar — pages officielles du programme et AMI C-506/2026 sur l’accélération des secteurs agribusiness et digital. https://www.pic.mg/ ; </w:t>
      </w:r>
      <w:hyperlink r:id="rId26" w:history="1">
        <w:r>
          <w:rPr>
            <w:rStyle w:val="Hyperlink"/>
            <w:sz w:val="24"/>
            <w:szCs w:val="24"/>
          </w:rPr>
          <w:t>https://www.pic.mg/projet-pic-madagascar/category/consultants/2</w:t>
        </w:r>
      </w:hyperlink>
    </w:p>
    <w:p w14:paraId="37E17B39" w14:textId="77777777" w:rsidR="0042033D" w:rsidRDefault="00000000">
      <w:pPr>
        <w:spacing w:after="60"/>
        <w:rPr>
          <w:sz w:val="24"/>
          <w:szCs w:val="24"/>
        </w:rPr>
      </w:pPr>
      <w:r>
        <w:rPr>
          <w:sz w:val="24"/>
          <w:szCs w:val="24"/>
        </w:rPr>
        <w:br/>
        <w:t>[S5] US EPA — WARM Version 16, Organic Materials, December 2023. Exhibit 1-46 : facteurs d’émission de mise en décharge ; 0,50 MTCO2e/short ton pour “Food Waste” dans le scénario présenté. Utilisé ici comme proxy méthodologique, non comme mesure certifiée de Bio Source Farm.</w:t>
      </w:r>
      <w:hyperlink r:id="rId27" w:history="1">
        <w:r>
          <w:rPr>
            <w:rStyle w:val="Hyperlink"/>
            <w:sz w:val="24"/>
            <w:szCs w:val="24"/>
          </w:rPr>
          <w:t>https://www.epa.gov/system/files/documents/2023-12/warm_organic_materials_v16_dec.pdf</w:t>
        </w:r>
      </w:hyperlink>
    </w:p>
    <w:p w14:paraId="6040FC77" w14:textId="77777777" w:rsidR="0042033D" w:rsidRDefault="00000000">
      <w:pPr>
        <w:spacing w:after="60"/>
        <w:rPr>
          <w:sz w:val="24"/>
          <w:szCs w:val="24"/>
        </w:rPr>
      </w:pPr>
      <w:r>
        <w:rPr>
          <w:sz w:val="24"/>
          <w:szCs w:val="24"/>
        </w:rPr>
        <w:br/>
        <w:t xml:space="preserve">[S6] World Bank / WITS / UN Comtrade — Madagascar, Fertilizers (HS 31), imports, 2023 : 28 912,71 K$. Sous-position HS 3105 : 19 220,67 K$ et 26 717 500 kg. </w:t>
      </w:r>
      <w:hyperlink r:id="rId28" w:history="1">
        <w:r>
          <w:rPr>
            <w:rStyle w:val="Hyperlink"/>
            <w:sz w:val="24"/>
            <w:szCs w:val="24"/>
          </w:rPr>
          <w:t>https://wits.worldbank.org/trade/comtrade/en/country/MDG/year/2023/tradeflow/Imports/partner/ALL/product/31</w:t>
        </w:r>
      </w:hyperlink>
    </w:p>
    <w:p w14:paraId="38225B5D" w14:textId="77777777" w:rsidR="0042033D" w:rsidRDefault="00000000">
      <w:pPr>
        <w:spacing w:after="60"/>
        <w:rPr>
          <w:sz w:val="24"/>
          <w:szCs w:val="24"/>
        </w:rPr>
      </w:pPr>
      <w:r>
        <w:rPr>
          <w:sz w:val="24"/>
          <w:szCs w:val="24"/>
        </w:rPr>
        <w:br/>
        <w:t xml:space="preserve">[S7] FAO GLOBEFISH — “China demand and lower quotas lift fishmeal and fish oil prices”, 23 July 2026. Quotas réduits au Pérou et au Chili ; farine “Super Prime” FOB Pérou à 2 500 $/t en mai 2026. </w:t>
      </w:r>
      <w:hyperlink r:id="rId29" w:history="1">
        <w:r>
          <w:rPr>
            <w:rStyle w:val="Hyperlink"/>
            <w:sz w:val="24"/>
            <w:szCs w:val="24"/>
          </w:rPr>
          <w:t>https://www.fao.org/in-action/globefish/news-events/news/news-detail/china-demand-and-lower-quotas-lift-fishmeal-and-fish-oil-prices/en</w:t>
        </w:r>
      </w:hyperlink>
    </w:p>
    <w:p w14:paraId="1917DB79" w14:textId="77777777" w:rsidR="0042033D" w:rsidRDefault="00000000">
      <w:pPr>
        <w:spacing w:after="60"/>
        <w:rPr>
          <w:sz w:val="24"/>
          <w:szCs w:val="24"/>
          <w:lang w:val="fr-FR"/>
        </w:rPr>
      </w:pPr>
      <w:r>
        <w:rPr>
          <w:sz w:val="24"/>
          <w:szCs w:val="24"/>
        </w:rPr>
        <w:br/>
        <w:t xml:space="preserve">[S8] Spranghers T. et al. (2017), Journal of the Science of Food and Agriculture, “Nutritional </w:t>
      </w:r>
      <w:r>
        <w:rPr>
          <w:sz w:val="24"/>
          <w:szCs w:val="24"/>
        </w:rPr>
        <w:lastRenderedPageBreak/>
        <w:t xml:space="preserve">composition of black soldier fly (Hermetia illucens) prepupae reared on different organic waste substrates”, 97, 2594–2600. </w:t>
      </w:r>
      <w:hyperlink r:id="rId30" w:history="1">
        <w:r>
          <w:rPr>
            <w:rStyle w:val="Hyperlink"/>
            <w:sz w:val="24"/>
            <w:szCs w:val="24"/>
          </w:rPr>
          <w:t>https://doi.org/10.1002/jsfa.8081</w:t>
        </w:r>
      </w:hyperlink>
    </w:p>
    <w:p w14:paraId="434B7EE2" w14:textId="77777777" w:rsidR="0042033D" w:rsidRDefault="00000000">
      <w:pPr>
        <w:spacing w:after="60"/>
        <w:rPr>
          <w:sz w:val="24"/>
          <w:szCs w:val="24"/>
          <w:lang w:val="fr-FR"/>
        </w:rPr>
      </w:pPr>
      <w:r>
        <w:rPr>
          <w:sz w:val="24"/>
          <w:szCs w:val="24"/>
        </w:rPr>
        <w:br/>
        <w:t xml:space="preserve">[S9] Madagascar — cadre réglementaire alimentation animale : Décret n°60-024 sur la fabrication et la vente des produits destinés à l’alimentation des animaux (FAOLEX) ; Direction générale des douanes, Tarif 2024, chapitre 23 relatif aux aliments préparés pour animaux. https://www.ecolex.org/details/legislation/decret-no60-024-reglementant-la-fabrication-et-la-vente-des-produits-destines-a-lalimentation-des-animaux-lex-faoc203236/ ; </w:t>
      </w:r>
      <w:hyperlink r:id="rId31" w:history="1">
        <w:r>
          <w:rPr>
            <w:rStyle w:val="Hyperlink"/>
            <w:sz w:val="24"/>
            <w:szCs w:val="24"/>
          </w:rPr>
          <w:t>https://www.douanes.gov.mg/srcs/uploads/2024/01/Tarif-2024-APRES-LFI-2024.pdf</w:t>
        </w:r>
      </w:hyperlink>
    </w:p>
    <w:p w14:paraId="7E155E6D" w14:textId="77777777" w:rsidR="0042033D" w:rsidRDefault="00000000">
      <w:pPr>
        <w:pStyle w:val="Heading2"/>
        <w:spacing w:before="150" w:after="60"/>
        <w:rPr>
          <w:rFonts w:ascii="Times New Roman" w:hAnsi="Times New Roman"/>
        </w:rPr>
      </w:pPr>
      <w:bookmarkStart w:id="119" w:name="_Toc100120"/>
      <w:r>
        <w:rPr>
          <w:rFonts w:ascii="Times New Roman" w:hAnsi="Times New Roman"/>
        </w:rPr>
        <w:t>Annexe E — Liste des tableaux et des figures</w:t>
      </w:r>
      <w:bookmarkEnd w:id="119"/>
    </w:p>
    <w:p w14:paraId="14D48159" w14:textId="77777777" w:rsidR="0042033D" w:rsidRDefault="00000000">
      <w:pPr>
        <w:spacing w:before="40" w:after="140" w:line="260" w:lineRule="auto"/>
        <w:jc w:val="both"/>
        <w:rPr>
          <w:b/>
          <w:bCs/>
          <w:i/>
          <w:iCs/>
          <w:sz w:val="24"/>
          <w:szCs w:val="24"/>
          <w:lang w:val="fr-FR"/>
        </w:rPr>
      </w:pPr>
      <w:r>
        <w:rPr>
          <w:b/>
          <w:bCs/>
          <w:i/>
          <w:iCs/>
          <w:sz w:val="24"/>
          <w:szCs w:val="24"/>
        </w:rPr>
        <w:t xml:space="preserve">Tableaux. </w:t>
      </w:r>
    </w:p>
    <w:p w14:paraId="3772EFA6" w14:textId="77777777" w:rsidR="0042033D" w:rsidRDefault="00000000">
      <w:pPr>
        <w:spacing w:line="259" w:lineRule="auto"/>
        <w:jc w:val="both"/>
        <w:rPr>
          <w:sz w:val="24"/>
          <w:szCs w:val="24"/>
          <w:lang w:val="fr-FR"/>
        </w:rPr>
      </w:pPr>
      <w:r>
        <w:rPr>
          <w:sz w:val="24"/>
          <w:szCs w:val="24"/>
        </w:rPr>
        <w:t xml:space="preserve">Tableau 1 — Fiche signalétique. </w:t>
      </w:r>
    </w:p>
    <w:p w14:paraId="4F60959C" w14:textId="77777777" w:rsidR="0042033D" w:rsidRDefault="00000000">
      <w:pPr>
        <w:spacing w:line="259" w:lineRule="auto"/>
        <w:jc w:val="both"/>
        <w:rPr>
          <w:sz w:val="24"/>
          <w:szCs w:val="24"/>
          <w:lang w:val="fr-FR"/>
        </w:rPr>
      </w:pPr>
      <w:r>
        <w:rPr>
          <w:sz w:val="24"/>
          <w:szCs w:val="24"/>
        </w:rPr>
        <w:t xml:space="preserve">Tableau 1 bis — Références de marché et preuves de demande. </w:t>
      </w:r>
    </w:p>
    <w:p w14:paraId="47586780" w14:textId="77777777" w:rsidR="0042033D" w:rsidRDefault="00000000">
      <w:pPr>
        <w:spacing w:line="259" w:lineRule="auto"/>
        <w:jc w:val="both"/>
        <w:rPr>
          <w:sz w:val="24"/>
          <w:szCs w:val="24"/>
          <w:lang w:val="fr-FR"/>
        </w:rPr>
      </w:pPr>
      <w:r>
        <w:rPr>
          <w:sz w:val="24"/>
          <w:szCs w:val="24"/>
        </w:rPr>
        <w:t xml:space="preserve">Tableau 2 — Chaîne opérationnelle de bioconversion. </w:t>
      </w:r>
    </w:p>
    <w:p w14:paraId="25876D92" w14:textId="77777777" w:rsidR="0042033D" w:rsidRDefault="00000000">
      <w:pPr>
        <w:spacing w:line="259" w:lineRule="auto"/>
        <w:jc w:val="both"/>
        <w:rPr>
          <w:sz w:val="24"/>
          <w:szCs w:val="24"/>
          <w:lang w:val="fr-FR"/>
        </w:rPr>
      </w:pPr>
      <w:r>
        <w:rPr>
          <w:sz w:val="24"/>
          <w:szCs w:val="24"/>
        </w:rPr>
        <w:t xml:space="preserve">Tableau 3 — Catalogue produits. </w:t>
      </w:r>
    </w:p>
    <w:p w14:paraId="57834C3C" w14:textId="77777777" w:rsidR="0042033D" w:rsidRDefault="00000000">
      <w:pPr>
        <w:spacing w:line="259" w:lineRule="auto"/>
        <w:jc w:val="both"/>
        <w:rPr>
          <w:sz w:val="24"/>
          <w:szCs w:val="24"/>
          <w:lang w:val="fr-FR"/>
        </w:rPr>
      </w:pPr>
      <w:r>
        <w:rPr>
          <w:sz w:val="24"/>
          <w:szCs w:val="24"/>
        </w:rPr>
        <w:t xml:space="preserve">Tableau 4 — Segmentation clients. </w:t>
      </w:r>
    </w:p>
    <w:p w14:paraId="63107D99" w14:textId="77777777" w:rsidR="0042033D" w:rsidRDefault="00000000">
      <w:pPr>
        <w:spacing w:line="259" w:lineRule="auto"/>
        <w:jc w:val="both"/>
        <w:rPr>
          <w:sz w:val="24"/>
          <w:szCs w:val="24"/>
          <w:lang w:val="fr-FR"/>
        </w:rPr>
      </w:pPr>
      <w:r>
        <w:rPr>
          <w:sz w:val="24"/>
          <w:szCs w:val="24"/>
        </w:rPr>
        <w:t xml:space="preserve">Tableau 4 bis — Structure de la base commerciale. </w:t>
      </w:r>
    </w:p>
    <w:p w14:paraId="0AAF54B1" w14:textId="77777777" w:rsidR="0042033D" w:rsidRDefault="00000000">
      <w:pPr>
        <w:spacing w:line="259" w:lineRule="auto"/>
        <w:jc w:val="both"/>
        <w:rPr>
          <w:sz w:val="24"/>
          <w:szCs w:val="24"/>
          <w:lang w:val="fr-FR"/>
        </w:rPr>
      </w:pPr>
      <w:r>
        <w:rPr>
          <w:sz w:val="24"/>
          <w:szCs w:val="24"/>
        </w:rPr>
        <w:t xml:space="preserve">Tableau 5 — Matrice concurrentielle. </w:t>
      </w:r>
    </w:p>
    <w:p w14:paraId="0350B251" w14:textId="77777777" w:rsidR="0042033D" w:rsidRDefault="00000000">
      <w:pPr>
        <w:spacing w:line="259" w:lineRule="auto"/>
        <w:jc w:val="both"/>
        <w:rPr>
          <w:sz w:val="24"/>
          <w:szCs w:val="24"/>
        </w:rPr>
      </w:pPr>
      <w:r>
        <w:rPr>
          <w:sz w:val="24"/>
          <w:szCs w:val="24"/>
        </w:rPr>
        <w:t>Tableaux financiers, opérationnels, ESG, KPI et milestones — sections 9 à 24.</w:t>
      </w:r>
    </w:p>
    <w:p w14:paraId="49D580C0" w14:textId="77777777" w:rsidR="0042033D" w:rsidRDefault="00000000">
      <w:pPr>
        <w:spacing w:before="40" w:after="140" w:line="260" w:lineRule="auto"/>
        <w:jc w:val="both"/>
        <w:rPr>
          <w:b/>
          <w:bCs/>
          <w:i/>
          <w:iCs/>
          <w:sz w:val="24"/>
          <w:szCs w:val="24"/>
          <w:lang w:val="fr-FR"/>
        </w:rPr>
      </w:pPr>
      <w:r>
        <w:rPr>
          <w:b/>
          <w:bCs/>
          <w:i/>
          <w:iCs/>
          <w:sz w:val="24"/>
          <w:szCs w:val="24"/>
        </w:rPr>
        <w:t xml:space="preserve">Figures. </w:t>
      </w:r>
    </w:p>
    <w:p w14:paraId="1EB92FDA" w14:textId="77777777" w:rsidR="0042033D" w:rsidRDefault="00000000">
      <w:pPr>
        <w:spacing w:line="259" w:lineRule="auto"/>
        <w:jc w:val="both"/>
        <w:rPr>
          <w:sz w:val="24"/>
          <w:szCs w:val="24"/>
          <w:lang w:val="fr-FR"/>
        </w:rPr>
      </w:pPr>
      <w:r>
        <w:rPr>
          <w:sz w:val="24"/>
          <w:szCs w:val="24"/>
        </w:rPr>
        <w:t xml:space="preserve">Figure 1 — Références de marché vérifiables. </w:t>
      </w:r>
    </w:p>
    <w:p w14:paraId="416D9078" w14:textId="77777777" w:rsidR="0042033D" w:rsidRDefault="00000000">
      <w:pPr>
        <w:spacing w:line="259" w:lineRule="auto"/>
        <w:jc w:val="both"/>
        <w:rPr>
          <w:sz w:val="24"/>
          <w:szCs w:val="24"/>
          <w:lang w:val="fr-FR"/>
        </w:rPr>
      </w:pPr>
      <w:r>
        <w:rPr>
          <w:sz w:val="24"/>
          <w:szCs w:val="24"/>
        </w:rPr>
        <w:t xml:space="preserve">Figure 2 — Traction historique sur 30 mois. </w:t>
      </w:r>
    </w:p>
    <w:p w14:paraId="234C1001" w14:textId="77777777" w:rsidR="0042033D" w:rsidRDefault="00000000">
      <w:pPr>
        <w:spacing w:line="259" w:lineRule="auto"/>
        <w:jc w:val="both"/>
        <w:rPr>
          <w:sz w:val="24"/>
          <w:szCs w:val="24"/>
          <w:lang w:val="fr-FR"/>
        </w:rPr>
      </w:pPr>
      <w:r>
        <w:rPr>
          <w:sz w:val="24"/>
          <w:szCs w:val="24"/>
        </w:rPr>
        <w:t xml:space="preserve">Figure 3 — Mix de revenus. </w:t>
      </w:r>
    </w:p>
    <w:p w14:paraId="380EC9FC" w14:textId="77777777" w:rsidR="0042033D" w:rsidRDefault="00000000">
      <w:pPr>
        <w:spacing w:line="259" w:lineRule="auto"/>
        <w:jc w:val="both"/>
        <w:rPr>
          <w:sz w:val="24"/>
          <w:szCs w:val="24"/>
          <w:lang w:val="fr-FR"/>
        </w:rPr>
      </w:pPr>
      <w:r>
        <w:rPr>
          <w:sz w:val="24"/>
          <w:szCs w:val="24"/>
        </w:rPr>
        <w:t xml:space="preserve">Figure 4 — Structure des coûts. </w:t>
      </w:r>
    </w:p>
    <w:p w14:paraId="2A67974C" w14:textId="77777777" w:rsidR="0042033D" w:rsidRDefault="00000000">
      <w:pPr>
        <w:spacing w:line="259" w:lineRule="auto"/>
        <w:jc w:val="both"/>
        <w:rPr>
          <w:sz w:val="24"/>
          <w:szCs w:val="24"/>
          <w:lang w:val="fr-FR"/>
        </w:rPr>
      </w:pPr>
      <w:r>
        <w:rPr>
          <w:sz w:val="24"/>
          <w:szCs w:val="24"/>
        </w:rPr>
        <w:t xml:space="preserve">Figure 5 — Capacité et utilisation. </w:t>
      </w:r>
    </w:p>
    <w:p w14:paraId="632414C6" w14:textId="77777777" w:rsidR="0042033D" w:rsidRDefault="00000000">
      <w:pPr>
        <w:spacing w:line="259" w:lineRule="auto"/>
        <w:jc w:val="both"/>
        <w:rPr>
          <w:sz w:val="24"/>
          <w:szCs w:val="24"/>
          <w:lang w:val="fr-FR"/>
        </w:rPr>
      </w:pPr>
      <w:r>
        <w:rPr>
          <w:sz w:val="24"/>
          <w:szCs w:val="24"/>
        </w:rPr>
        <w:t xml:space="preserve">Figure 6 — Production frass vs marché. </w:t>
      </w:r>
    </w:p>
    <w:p w14:paraId="3EB2E70B" w14:textId="73FF9EC9" w:rsidR="005F4206" w:rsidRPr="005F4206" w:rsidRDefault="005F4206">
      <w:pPr>
        <w:spacing w:line="259" w:lineRule="auto"/>
        <w:jc w:val="both"/>
        <w:rPr>
          <w:sz w:val="24"/>
          <w:szCs w:val="24"/>
        </w:rPr>
      </w:pPr>
      <w:r w:rsidRPr="005F4206">
        <w:rPr>
          <w:sz w:val="24"/>
          <w:szCs w:val="24"/>
        </w:rPr>
        <w:t xml:space="preserve">Figure 7 </w:t>
      </w:r>
      <w:r>
        <w:rPr>
          <w:sz w:val="24"/>
          <w:szCs w:val="24"/>
        </w:rPr>
        <w:t>—</w:t>
      </w:r>
      <w:r>
        <w:rPr>
          <w:sz w:val="24"/>
          <w:szCs w:val="24"/>
          <w:lang w:val="fr-FR"/>
        </w:rPr>
        <w:t xml:space="preserve"> </w:t>
      </w:r>
      <w:r w:rsidRPr="005F4206">
        <w:rPr>
          <w:sz w:val="24"/>
          <w:szCs w:val="24"/>
        </w:rPr>
        <w:t>Trajectoire des instruments de financement 2026-2030</w:t>
      </w:r>
    </w:p>
    <w:p w14:paraId="3E78FD88" w14:textId="307B6B5F" w:rsidR="005F4206" w:rsidRPr="005F4206" w:rsidRDefault="005F4206">
      <w:pPr>
        <w:spacing w:line="259" w:lineRule="auto"/>
        <w:jc w:val="both"/>
        <w:rPr>
          <w:sz w:val="24"/>
          <w:szCs w:val="24"/>
        </w:rPr>
      </w:pPr>
      <w:r w:rsidRPr="005F4206">
        <w:rPr>
          <w:sz w:val="24"/>
          <w:szCs w:val="24"/>
        </w:rPr>
        <w:t xml:space="preserve">Figure 8 </w:t>
      </w:r>
      <w:r>
        <w:rPr>
          <w:sz w:val="24"/>
          <w:szCs w:val="24"/>
        </w:rPr>
        <w:t>—</w:t>
      </w:r>
      <w:r>
        <w:rPr>
          <w:sz w:val="24"/>
          <w:szCs w:val="24"/>
          <w:lang w:val="fr-FR"/>
        </w:rPr>
        <w:t xml:space="preserve"> </w:t>
      </w:r>
      <w:r w:rsidRPr="005F4206">
        <w:rPr>
          <w:sz w:val="24"/>
          <w:szCs w:val="24"/>
        </w:rPr>
        <w:t>Tableau de bord ESG</w:t>
      </w:r>
    </w:p>
    <w:p w14:paraId="348B6186" w14:textId="77777777" w:rsidR="0042033D" w:rsidRDefault="00000000">
      <w:pPr>
        <w:spacing w:line="259" w:lineRule="auto"/>
        <w:jc w:val="both"/>
        <w:rPr>
          <w:sz w:val="24"/>
          <w:szCs w:val="24"/>
        </w:rPr>
      </w:pPr>
      <w:r>
        <w:rPr>
          <w:sz w:val="24"/>
          <w:szCs w:val="24"/>
        </w:rPr>
        <w:t>Figures 9 à 13 — financement, EBITDA, scénarios, saisonnalité et point mort.</w:t>
      </w:r>
    </w:p>
    <w:p w14:paraId="622933E9" w14:textId="77777777" w:rsidR="0042033D" w:rsidRDefault="00000000">
      <w:pPr>
        <w:pStyle w:val="Heading2"/>
        <w:spacing w:before="150" w:after="60"/>
        <w:rPr>
          <w:rFonts w:ascii="Times New Roman" w:hAnsi="Times New Roman"/>
        </w:rPr>
      </w:pPr>
      <w:bookmarkStart w:id="120" w:name="_Toc100121"/>
      <w:r>
        <w:rPr>
          <w:rFonts w:ascii="Times New Roman" w:hAnsi="Times New Roman"/>
        </w:rPr>
        <w:t>Annexe F — Curriculum vitæ synthétiques des cinq fondateurs</w:t>
      </w:r>
      <w:bookmarkEnd w:id="120"/>
    </w:p>
    <w:tbl>
      <w:tblPr>
        <w:tblW w:w="5000" w:type="pct"/>
        <w:tblBorders>
          <w:top w:val="single" w:sz="6" w:space="0" w:color="D4875A"/>
          <w:left w:val="none" w:sz="0" w:space="0" w:color="FFFFFF"/>
          <w:bottom w:val="single" w:sz="6" w:space="0" w:color="D4875A"/>
          <w:right w:val="none" w:sz="0" w:space="0" w:color="FFFFFF"/>
          <w:insideH w:val="single" w:sz="2" w:space="0" w:color="DDD0C8"/>
          <w:insideV w:val="none" w:sz="0" w:space="0" w:color="FFFFFF"/>
        </w:tblBorders>
        <w:tblLayout w:type="fixed"/>
        <w:tblCellMar>
          <w:left w:w="10" w:type="dxa"/>
          <w:right w:w="10" w:type="dxa"/>
        </w:tblCellMar>
        <w:tblLook w:val="0000" w:firstRow="0" w:lastRow="0" w:firstColumn="0" w:lastColumn="0" w:noHBand="0" w:noVBand="0"/>
      </w:tblPr>
      <w:tblGrid>
        <w:gridCol w:w="2747"/>
        <w:gridCol w:w="6409"/>
      </w:tblGrid>
      <w:tr w:rsidR="0042033D" w14:paraId="76FD13E8" w14:textId="77777777">
        <w:trPr>
          <w:cantSplit/>
          <w:tblHeader/>
        </w:trPr>
        <w:tc>
          <w:tcPr>
            <w:tcW w:w="1500" w:type="pct"/>
            <w:shd w:val="clear" w:color="auto" w:fill="D4875A"/>
            <w:tcMar>
              <w:top w:w="36" w:type="dxa"/>
              <w:left w:w="80" w:type="dxa"/>
              <w:bottom w:w="36" w:type="dxa"/>
              <w:right w:w="80" w:type="dxa"/>
            </w:tcMar>
            <w:vAlign w:val="center"/>
          </w:tcPr>
          <w:p w14:paraId="61B95081" w14:textId="77777777" w:rsidR="0042033D" w:rsidRDefault="00000000">
            <w:pPr>
              <w:spacing w:line="232" w:lineRule="auto"/>
              <w:jc w:val="center"/>
              <w:rPr>
                <w:sz w:val="24"/>
                <w:szCs w:val="24"/>
              </w:rPr>
            </w:pPr>
            <w:r>
              <w:rPr>
                <w:b/>
                <w:bCs/>
                <w:color w:val="FFFFFF"/>
                <w:sz w:val="24"/>
                <w:szCs w:val="24"/>
              </w:rPr>
              <w:t>Fondateur</w:t>
            </w:r>
          </w:p>
        </w:tc>
        <w:tc>
          <w:tcPr>
            <w:tcW w:w="3500" w:type="pct"/>
            <w:shd w:val="clear" w:color="auto" w:fill="D4875A"/>
            <w:tcMar>
              <w:top w:w="36" w:type="dxa"/>
              <w:left w:w="80" w:type="dxa"/>
              <w:bottom w:w="36" w:type="dxa"/>
              <w:right w:w="80" w:type="dxa"/>
            </w:tcMar>
            <w:vAlign w:val="center"/>
          </w:tcPr>
          <w:p w14:paraId="1D523D0E" w14:textId="77777777" w:rsidR="0042033D" w:rsidRDefault="00000000">
            <w:pPr>
              <w:spacing w:line="232" w:lineRule="auto"/>
              <w:jc w:val="center"/>
              <w:rPr>
                <w:sz w:val="24"/>
                <w:szCs w:val="24"/>
              </w:rPr>
            </w:pPr>
            <w:r>
              <w:rPr>
                <w:b/>
                <w:bCs/>
                <w:color w:val="FFFFFF"/>
                <w:sz w:val="24"/>
                <w:szCs w:val="24"/>
              </w:rPr>
              <w:t>Parcours synthétique</w:t>
            </w:r>
          </w:p>
        </w:tc>
      </w:tr>
      <w:tr w:rsidR="0042033D" w14:paraId="26644968" w14:textId="77777777">
        <w:trPr>
          <w:cantSplit/>
        </w:trPr>
        <w:tc>
          <w:tcPr>
            <w:tcW w:w="1500" w:type="pct"/>
            <w:tcMar>
              <w:top w:w="28" w:type="dxa"/>
              <w:left w:w="80" w:type="dxa"/>
              <w:bottom w:w="28" w:type="dxa"/>
              <w:right w:w="80" w:type="dxa"/>
            </w:tcMar>
            <w:vAlign w:val="center"/>
          </w:tcPr>
          <w:p w14:paraId="65F1929B" w14:textId="77777777" w:rsidR="0042033D" w:rsidRDefault="00000000">
            <w:pPr>
              <w:spacing w:line="232" w:lineRule="auto"/>
              <w:rPr>
                <w:sz w:val="24"/>
                <w:szCs w:val="24"/>
              </w:rPr>
            </w:pPr>
            <w:r>
              <w:rPr>
                <w:b/>
                <w:bCs/>
                <w:sz w:val="24"/>
                <w:szCs w:val="24"/>
              </w:rPr>
              <w:t>RASOLOMAMPIONONA Tendry Ny Aina Joelson</w:t>
            </w:r>
            <w:r>
              <w:rPr>
                <w:sz w:val="24"/>
                <w:szCs w:val="24"/>
              </w:rPr>
              <w:t xml:space="preserve"> — Gérant fondateur</w:t>
            </w:r>
          </w:p>
        </w:tc>
        <w:tc>
          <w:tcPr>
            <w:tcW w:w="3500" w:type="pct"/>
            <w:tcMar>
              <w:top w:w="28" w:type="dxa"/>
              <w:left w:w="80" w:type="dxa"/>
              <w:bottom w:w="28" w:type="dxa"/>
              <w:right w:w="80" w:type="dxa"/>
            </w:tcMar>
            <w:vAlign w:val="center"/>
          </w:tcPr>
          <w:p w14:paraId="7F9230BA" w14:textId="77777777" w:rsidR="0042033D" w:rsidRDefault="00000000">
            <w:pPr>
              <w:spacing w:line="232" w:lineRule="auto"/>
              <w:rPr>
                <w:sz w:val="24"/>
                <w:szCs w:val="24"/>
              </w:rPr>
            </w:pPr>
            <w:r>
              <w:rPr>
                <w:sz w:val="24"/>
                <w:szCs w:val="24"/>
              </w:rPr>
              <w:t>Environmentaliste de formation (université de Toamasina), initiateur du projet en 2021 après deux ans de recherche appliquée sur l'acclimatation de Hermetia illucens aux substrats tropicaux malgaches ; pilote la stratégie générale, les relations institutionnelles (PIC3/ACCELEREO, FDA, réseau Prix Pierre Castel) et la coordination technique du SOP industriel.</w:t>
            </w:r>
          </w:p>
        </w:tc>
      </w:tr>
      <w:tr w:rsidR="0042033D" w14:paraId="40DDAD2A" w14:textId="77777777">
        <w:trPr>
          <w:cantSplit/>
        </w:trPr>
        <w:tc>
          <w:tcPr>
            <w:tcW w:w="1500" w:type="pct"/>
            <w:tcMar>
              <w:top w:w="28" w:type="dxa"/>
              <w:left w:w="80" w:type="dxa"/>
              <w:bottom w:w="28" w:type="dxa"/>
              <w:right w:w="80" w:type="dxa"/>
            </w:tcMar>
            <w:vAlign w:val="center"/>
          </w:tcPr>
          <w:p w14:paraId="7060DBBE" w14:textId="77777777" w:rsidR="0042033D" w:rsidRDefault="00000000">
            <w:pPr>
              <w:spacing w:line="232" w:lineRule="auto"/>
              <w:rPr>
                <w:sz w:val="24"/>
                <w:szCs w:val="24"/>
              </w:rPr>
            </w:pPr>
            <w:r>
              <w:rPr>
                <w:b/>
                <w:bCs/>
                <w:sz w:val="24"/>
                <w:szCs w:val="24"/>
              </w:rPr>
              <w:t>RASAMIMANANA Faly</w:t>
            </w:r>
            <w:r>
              <w:rPr>
                <w:sz w:val="24"/>
                <w:szCs w:val="24"/>
              </w:rPr>
              <w:t xml:space="preserve"> — Développement institutionnel et partenariats</w:t>
            </w:r>
          </w:p>
        </w:tc>
        <w:tc>
          <w:tcPr>
            <w:tcW w:w="3500" w:type="pct"/>
            <w:tcMar>
              <w:top w:w="28" w:type="dxa"/>
              <w:left w:w="80" w:type="dxa"/>
              <w:bottom w:w="28" w:type="dxa"/>
              <w:right w:w="80" w:type="dxa"/>
            </w:tcMar>
            <w:vAlign w:val="center"/>
          </w:tcPr>
          <w:p w14:paraId="4EDAF45F" w14:textId="77777777" w:rsidR="0042033D" w:rsidRDefault="00000000">
            <w:pPr>
              <w:spacing w:line="232" w:lineRule="auto"/>
              <w:rPr>
                <w:sz w:val="24"/>
                <w:szCs w:val="24"/>
              </w:rPr>
            </w:pPr>
            <w:r>
              <w:rPr>
                <w:sz w:val="24"/>
                <w:szCs w:val="24"/>
              </w:rPr>
              <w:t>Vingt ans d'expérience dans le commerce institutionnel à Madagascar ; a structuré le contrat cadre FDA et les partenariats institutionnels, pilote le développement des grands comptes et la préparation des financements de scale-up.</w:t>
            </w:r>
          </w:p>
        </w:tc>
      </w:tr>
      <w:tr w:rsidR="0042033D" w14:paraId="5FCF0BAB" w14:textId="77777777">
        <w:trPr>
          <w:cantSplit/>
        </w:trPr>
        <w:tc>
          <w:tcPr>
            <w:tcW w:w="1500" w:type="pct"/>
            <w:tcMar>
              <w:top w:w="28" w:type="dxa"/>
              <w:left w:w="80" w:type="dxa"/>
              <w:bottom w:w="28" w:type="dxa"/>
              <w:right w:w="80" w:type="dxa"/>
            </w:tcMar>
            <w:vAlign w:val="center"/>
          </w:tcPr>
          <w:p w14:paraId="1348F722" w14:textId="77777777" w:rsidR="0042033D" w:rsidRDefault="00000000">
            <w:pPr>
              <w:spacing w:line="232" w:lineRule="auto"/>
              <w:rPr>
                <w:sz w:val="24"/>
                <w:szCs w:val="24"/>
              </w:rPr>
            </w:pPr>
            <w:r>
              <w:rPr>
                <w:b/>
                <w:bCs/>
                <w:sz w:val="24"/>
                <w:szCs w:val="24"/>
              </w:rPr>
              <w:lastRenderedPageBreak/>
              <w:t>Zafilahy Jos</w:t>
            </w:r>
            <w:r>
              <w:rPr>
                <w:sz w:val="24"/>
                <w:szCs w:val="24"/>
              </w:rPr>
              <w:t xml:space="preserve"> — Production et Lean Management</w:t>
            </w:r>
          </w:p>
        </w:tc>
        <w:tc>
          <w:tcPr>
            <w:tcW w:w="3500" w:type="pct"/>
            <w:tcMar>
              <w:top w:w="28" w:type="dxa"/>
              <w:left w:w="80" w:type="dxa"/>
              <w:bottom w:w="28" w:type="dxa"/>
              <w:right w:w="80" w:type="dxa"/>
            </w:tcMar>
            <w:vAlign w:val="center"/>
          </w:tcPr>
          <w:p w14:paraId="713D82C7" w14:textId="77777777" w:rsidR="0042033D" w:rsidRDefault="00000000">
            <w:pPr>
              <w:spacing w:line="232" w:lineRule="auto"/>
              <w:rPr>
                <w:sz w:val="24"/>
                <w:szCs w:val="24"/>
              </w:rPr>
            </w:pPr>
            <w:r>
              <w:rPr>
                <w:sz w:val="24"/>
                <w:szCs w:val="24"/>
              </w:rPr>
              <w:t>Spécialiste de l'amélioration continue (Lean Six Sigma) ; conçoit les flux d'atelier, standardise les postes de criblage et de séchage et anime la démarche Kaizen qui fonde la documentation du manuel SOP.</w:t>
            </w:r>
          </w:p>
        </w:tc>
      </w:tr>
      <w:tr w:rsidR="0042033D" w14:paraId="13613FDA" w14:textId="77777777">
        <w:trPr>
          <w:cantSplit/>
        </w:trPr>
        <w:tc>
          <w:tcPr>
            <w:tcW w:w="1500" w:type="pct"/>
            <w:tcMar>
              <w:top w:w="28" w:type="dxa"/>
              <w:left w:w="80" w:type="dxa"/>
              <w:bottom w:w="28" w:type="dxa"/>
              <w:right w:w="80" w:type="dxa"/>
            </w:tcMar>
            <w:vAlign w:val="center"/>
          </w:tcPr>
          <w:p w14:paraId="24FF973C" w14:textId="77777777" w:rsidR="0042033D" w:rsidRDefault="00000000">
            <w:pPr>
              <w:spacing w:line="232" w:lineRule="auto"/>
              <w:rPr>
                <w:sz w:val="24"/>
                <w:szCs w:val="24"/>
              </w:rPr>
            </w:pPr>
            <w:r>
              <w:rPr>
                <w:b/>
                <w:bCs/>
                <w:sz w:val="24"/>
                <w:szCs w:val="24"/>
              </w:rPr>
              <w:t>MAMPIONONA</w:t>
            </w:r>
            <w:r>
              <w:rPr>
                <w:sz w:val="24"/>
                <w:szCs w:val="24"/>
              </w:rPr>
              <w:t xml:space="preserve"> — Chef de production</w:t>
            </w:r>
          </w:p>
        </w:tc>
        <w:tc>
          <w:tcPr>
            <w:tcW w:w="3500" w:type="pct"/>
            <w:tcMar>
              <w:top w:w="28" w:type="dxa"/>
              <w:left w:w="80" w:type="dxa"/>
              <w:bottom w:w="28" w:type="dxa"/>
              <w:right w:w="80" w:type="dxa"/>
            </w:tcMar>
            <w:vAlign w:val="center"/>
          </w:tcPr>
          <w:p w14:paraId="7C5992CA" w14:textId="77777777" w:rsidR="0042033D" w:rsidRDefault="00000000">
            <w:pPr>
              <w:spacing w:line="232" w:lineRule="auto"/>
              <w:rPr>
                <w:sz w:val="24"/>
                <w:szCs w:val="24"/>
              </w:rPr>
            </w:pPr>
            <w:r>
              <w:rPr>
                <w:sz w:val="24"/>
                <w:szCs w:val="24"/>
              </w:rPr>
              <w:t>Expérimenté dans la conduite d'unités agroalimentaires artisanales puis semi-industrielles ; responsable de la planification des cycles larvaires, du suivi journalier des paramètres biologiques et de la formation pratique des opérateurs. Désigné au plan de continuité de direction pour la production (section 19.4).</w:t>
            </w:r>
          </w:p>
        </w:tc>
      </w:tr>
      <w:tr w:rsidR="0042033D" w14:paraId="178F98D8" w14:textId="77777777">
        <w:trPr>
          <w:cantSplit/>
        </w:trPr>
        <w:tc>
          <w:tcPr>
            <w:tcW w:w="1500" w:type="pct"/>
            <w:tcMar>
              <w:top w:w="28" w:type="dxa"/>
              <w:left w:w="80" w:type="dxa"/>
              <w:bottom w:w="28" w:type="dxa"/>
              <w:right w:w="80" w:type="dxa"/>
            </w:tcMar>
            <w:vAlign w:val="center"/>
          </w:tcPr>
          <w:p w14:paraId="14DB5A66" w14:textId="77777777" w:rsidR="0042033D" w:rsidRDefault="00000000">
            <w:pPr>
              <w:spacing w:line="232" w:lineRule="auto"/>
              <w:rPr>
                <w:sz w:val="24"/>
                <w:szCs w:val="24"/>
              </w:rPr>
            </w:pPr>
            <w:r>
              <w:rPr>
                <w:b/>
                <w:bCs/>
                <w:sz w:val="24"/>
                <w:szCs w:val="24"/>
              </w:rPr>
              <w:t>RASOAVINJATO Mirana Carol</w:t>
            </w:r>
            <w:r>
              <w:rPr>
                <w:sz w:val="24"/>
                <w:szCs w:val="24"/>
              </w:rPr>
              <w:t xml:space="preserve"> — Ventes et Ressources Humaines</w:t>
            </w:r>
          </w:p>
        </w:tc>
        <w:tc>
          <w:tcPr>
            <w:tcW w:w="3500" w:type="pct"/>
            <w:tcMar>
              <w:top w:w="28" w:type="dxa"/>
              <w:left w:w="80" w:type="dxa"/>
              <w:bottom w:w="28" w:type="dxa"/>
              <w:right w:w="80" w:type="dxa"/>
            </w:tcMar>
            <w:vAlign w:val="center"/>
          </w:tcPr>
          <w:p w14:paraId="3E27CA7B" w14:textId="77777777" w:rsidR="0042033D" w:rsidRDefault="00000000">
            <w:pPr>
              <w:spacing w:line="232" w:lineRule="auto"/>
              <w:rPr>
                <w:sz w:val="24"/>
                <w:szCs w:val="24"/>
              </w:rPr>
            </w:pPr>
            <w:r>
              <w:rPr>
                <w:sz w:val="24"/>
                <w:szCs w:val="24"/>
              </w:rPr>
              <w:t>En charge du développement commercial direct, du service clients et de l'administration du personnel (CNAPS, paie, sécurité au travail) ; coordonne le réseau de revendeurs et les démonstrations terrain. Désignée au plan de continuité de direction pour le commercial (section 19.4).</w:t>
            </w:r>
          </w:p>
        </w:tc>
      </w:tr>
    </w:tbl>
    <w:p w14:paraId="7AE746DF" w14:textId="77777777" w:rsidR="0042033D" w:rsidRDefault="00000000">
      <w:pPr>
        <w:spacing w:after="60"/>
        <w:jc w:val="both"/>
        <w:rPr>
          <w:sz w:val="24"/>
          <w:szCs w:val="24"/>
        </w:rPr>
      </w:pPr>
      <w:r>
        <w:rPr>
          <w:sz w:val="24"/>
          <w:szCs w:val="24"/>
        </w:rPr>
        <w:t>Les conditions de rémunération actuelles et cibles de chacun sont détaillées au Tableau 9 bis (section 14.1) ; leurs contrats de mission et les engagements de confidentialité associés figurent dans la salle de données (Annexe H).</w:t>
      </w:r>
    </w:p>
    <w:p w14:paraId="1596BFE4" w14:textId="77777777" w:rsidR="0042033D" w:rsidRDefault="00000000">
      <w:pPr>
        <w:pStyle w:val="Heading2"/>
        <w:spacing w:before="150" w:after="60"/>
        <w:rPr>
          <w:rFonts w:ascii="Times New Roman" w:hAnsi="Times New Roman"/>
        </w:rPr>
      </w:pPr>
      <w:bookmarkStart w:id="121" w:name="_Toc100122"/>
      <w:r>
        <w:rPr>
          <w:rFonts w:ascii="Times New Roman" w:hAnsi="Times New Roman"/>
        </w:rPr>
        <w:t>Annexe G — Synthèse des clauses du contrat exclusif type de collecte de substrats</w:t>
      </w:r>
      <w:bookmarkEnd w:id="121"/>
    </w:p>
    <w:p w14:paraId="534C5070" w14:textId="77777777" w:rsidR="0042033D" w:rsidRDefault="00000000">
      <w:pPr>
        <w:spacing w:after="60"/>
        <w:jc w:val="both"/>
        <w:rPr>
          <w:sz w:val="24"/>
          <w:szCs w:val="24"/>
        </w:rPr>
      </w:pPr>
      <w:r>
        <w:rPr>
          <w:sz w:val="24"/>
          <w:szCs w:val="24"/>
        </w:rPr>
        <w:t>Le contrat exclusif de collecte proposé aux fournisseurs majeurs (SCRIMAD, MAFI, élevages avicoles, restaurants) est conclu pour trois ans renouvelables par tacite reconduction, avec : exclusivité géographique de collecte sur le périmètre concerné ; volumes minimum garantis mensuels avec tolérance saisonnière contractuelle (litchi, cyclones) ; conditions tarifaires verrouillées avec indexation transparente plafonnée annuellement ; pénalités plafonnées et symétriques de rupture anticipée ; engagement de conformité sanitaire des substrats ; clauses de force majeure incluant les événements climatiques majeurs avec reprise négociée ; règlement amiable obligatoire avant toute instance ; droit applicable malgache. Le modèle intégral est disponible dans la salle de données (Annexe H) et sa signature avancée constitue l'un des jalons qualité de la première année d'exécution.</w:t>
      </w:r>
    </w:p>
    <w:p w14:paraId="31B6C4E3" w14:textId="77777777" w:rsidR="0042033D" w:rsidRDefault="00000000">
      <w:pPr>
        <w:pStyle w:val="Heading2"/>
        <w:spacing w:before="150" w:after="60"/>
        <w:rPr>
          <w:rFonts w:ascii="Times New Roman" w:hAnsi="Times New Roman"/>
        </w:rPr>
      </w:pPr>
      <w:bookmarkStart w:id="122" w:name="_Toc100123"/>
      <w:r>
        <w:rPr>
          <w:rFonts w:ascii="Times New Roman" w:hAnsi="Times New Roman"/>
        </w:rPr>
        <w:t>Annexe H — Inventaire de la salle de données (data room) et calendrier administratif</w:t>
      </w:r>
      <w:bookmarkEnd w:id="122"/>
    </w:p>
    <w:p w14:paraId="4BABF708" w14:textId="59073F3D" w:rsidR="0042033D" w:rsidRDefault="00000000">
      <w:pPr>
        <w:spacing w:after="60"/>
        <w:jc w:val="both"/>
        <w:rPr>
          <w:sz w:val="24"/>
          <w:szCs w:val="24"/>
        </w:rPr>
      </w:pPr>
      <w:r>
        <w:rPr>
          <w:sz w:val="24"/>
          <w:szCs w:val="24"/>
        </w:rPr>
        <w:t xml:space="preserve">Les pièces justificatives suivantes sont constituées et mises à disposition du financeur dans la salle de données électronique sécurisée : rapports d'audit intégraux des exercices 2023-2024 et 2024-2025 (RAKAJY Paul Philibert) ; cadre d'engagement FDA couvrant les programmes VAT, TVE, BRICK et PURPA 2026-2027 ; fiches de paie et déclarations CNAPS des seize salariés attestant la structure salariale (14 ouvriers à 267 000 MGA/mois, 2 chefs ouvriers à 287 000 MGA/mois) ; </w:t>
      </w:r>
      <w:r>
        <w:rPr>
          <w:b/>
          <w:bCs/>
          <w:sz w:val="24"/>
          <w:szCs w:val="24"/>
        </w:rPr>
        <w:t>calendrier administratif détaillé de la conversion en SARL, avec les étapes déjà franchies et les dates prévues</w:t>
      </w:r>
      <w:r>
        <w:rPr>
          <w:sz w:val="24"/>
          <w:szCs w:val="24"/>
        </w:rPr>
        <w:t xml:space="preserve"> ; photographies du site et plan cadastral ; lettre de la </w:t>
      </w:r>
      <w:r w:rsidR="00ED4AD3">
        <w:rPr>
          <w:sz w:val="24"/>
          <w:szCs w:val="24"/>
        </w:rPr>
        <w:t>BNI</w:t>
      </w:r>
      <w:r>
        <w:rPr>
          <w:sz w:val="24"/>
          <w:szCs w:val="24"/>
        </w:rPr>
        <w:t xml:space="preserve"> confirmant l'existence et les conditions de la ligne de crédit court terme ; statuts de la SARL en cours d'enregistrement et attestation notariale, à compléter par le récépissé de publication ; modèle intégral du contrat exclusif de collecte (Annexe G) ; contrats de mission des cinq fondateurs, engagements de confidentialité et curriculum vitæ (Annexe F) ; analyses laboratoire </w:t>
      </w:r>
      <w:r>
        <w:rPr>
          <w:sz w:val="24"/>
          <w:szCs w:val="24"/>
        </w:rPr>
        <w:lastRenderedPageBreak/>
        <w:t>NPK, humidité et pathogènes des derniers lots ; listes de distribution FDA et registres de ventes directes à l'appui du décompte des 430 agriculteurs soutenus ; factures types clientes et balance âgée au 30 juin 2025. L'accès est individuel, nominatif et journalisé ; la liste fait l'objet d'une mise à jour continue jusqu'à la décision du comité.</w:t>
      </w:r>
    </w:p>
    <w:p w14:paraId="1F30BB16" w14:textId="77777777" w:rsidR="0042033D" w:rsidRDefault="00000000">
      <w:pPr>
        <w:rPr>
          <w:sz w:val="24"/>
          <w:szCs w:val="24"/>
        </w:rPr>
      </w:pPr>
      <w:r>
        <w:rPr>
          <w:sz w:val="24"/>
          <w:szCs w:val="24"/>
        </w:rPr>
        <w:br w:type="page"/>
      </w:r>
    </w:p>
    <w:p w14:paraId="2B85F1EB" w14:textId="77777777" w:rsidR="0042033D" w:rsidRDefault="00000000">
      <w:pPr>
        <w:rPr>
          <w:sz w:val="24"/>
          <w:szCs w:val="24"/>
        </w:rPr>
      </w:pPr>
      <w:r>
        <w:rPr>
          <w:b/>
          <w:sz w:val="24"/>
          <w:szCs w:val="24"/>
        </w:rPr>
        <w:lastRenderedPageBreak/>
        <w:t>Annexe I — Analyse DCF simplifiée du scénario central</w:t>
      </w:r>
    </w:p>
    <w:p w14:paraId="4C9E7D51" w14:textId="77777777" w:rsidR="0042033D" w:rsidRDefault="00000000">
      <w:pPr>
        <w:rPr>
          <w:sz w:val="24"/>
          <w:szCs w:val="24"/>
          <w:lang w:val="fr-FR"/>
        </w:rPr>
      </w:pPr>
      <w:r>
        <w:rPr>
          <w:sz w:val="24"/>
          <w:szCs w:val="24"/>
        </w:rPr>
        <w:t>Cette analyse actualisée complète le compte de résultat sans assimiler le TRI à un rendement garanti du financeur. Elle applique un taux d’actualisation de 12 % retenu dans le modèle et rend explicites les principales hypothèses de flux. Le ticket initial de 50 K$ est traité comme sortie de trésorerie en année 0. Les investissements de maintenance et variations de BFR ci-dessous sont des hypothèses de modélisation prudentes destinées à tester la capacité du scénario central à générer du cash après déploiement.</w:t>
      </w:r>
    </w:p>
    <w:p w14:paraId="773A680F" w14:textId="77777777" w:rsidR="0042033D" w:rsidRDefault="0042033D">
      <w:pPr>
        <w:rPr>
          <w:sz w:val="24"/>
          <w:szCs w:val="24"/>
          <w:lang w:val="fr-FR"/>
        </w:rPr>
      </w:pPr>
    </w:p>
    <w:tbl>
      <w:tblPr>
        <w:tblW w:w="0" w:type="auto"/>
        <w:tblCellMar>
          <w:left w:w="10" w:type="dxa"/>
          <w:right w:w="10" w:type="dxa"/>
        </w:tblCellMar>
        <w:tblLook w:val="04A0" w:firstRow="1" w:lastRow="0" w:firstColumn="1" w:lastColumn="0" w:noHBand="0" w:noVBand="1"/>
      </w:tblPr>
      <w:tblGrid>
        <w:gridCol w:w="2483"/>
        <w:gridCol w:w="1207"/>
        <w:gridCol w:w="1260"/>
        <w:gridCol w:w="1260"/>
        <w:gridCol w:w="1350"/>
        <w:gridCol w:w="1350"/>
      </w:tblGrid>
      <w:tr w:rsidR="0042033D" w14:paraId="478E48F4" w14:textId="77777777">
        <w:trPr>
          <w:tblHeader/>
        </w:trPr>
        <w:tc>
          <w:tcPr>
            <w:tcW w:w="2483" w:type="dxa"/>
            <w:shd w:val="clear" w:color="auto" w:fill="D98B4A"/>
          </w:tcPr>
          <w:p w14:paraId="16B70D46" w14:textId="77777777" w:rsidR="0042033D" w:rsidRDefault="00000000">
            <w:pPr>
              <w:rPr>
                <w:sz w:val="24"/>
                <w:szCs w:val="24"/>
              </w:rPr>
            </w:pPr>
            <w:r>
              <w:rPr>
                <w:b/>
                <w:sz w:val="24"/>
                <w:szCs w:val="24"/>
              </w:rPr>
              <w:t>K$</w:t>
            </w:r>
          </w:p>
        </w:tc>
        <w:tc>
          <w:tcPr>
            <w:tcW w:w="1207" w:type="dxa"/>
            <w:shd w:val="clear" w:color="auto" w:fill="D98B4A"/>
          </w:tcPr>
          <w:p w14:paraId="0784F9CB" w14:textId="77777777" w:rsidR="0042033D" w:rsidRDefault="00000000">
            <w:pPr>
              <w:jc w:val="right"/>
              <w:rPr>
                <w:sz w:val="24"/>
                <w:szCs w:val="24"/>
              </w:rPr>
            </w:pPr>
            <w:r>
              <w:rPr>
                <w:b/>
                <w:sz w:val="24"/>
                <w:szCs w:val="24"/>
              </w:rPr>
              <w:t>2026</w:t>
            </w:r>
          </w:p>
        </w:tc>
        <w:tc>
          <w:tcPr>
            <w:tcW w:w="1260" w:type="dxa"/>
            <w:shd w:val="clear" w:color="auto" w:fill="D98B4A"/>
          </w:tcPr>
          <w:p w14:paraId="136F9F8A" w14:textId="77777777" w:rsidR="0042033D" w:rsidRDefault="00000000">
            <w:pPr>
              <w:jc w:val="right"/>
              <w:rPr>
                <w:sz w:val="24"/>
                <w:szCs w:val="24"/>
              </w:rPr>
            </w:pPr>
            <w:r>
              <w:rPr>
                <w:b/>
                <w:sz w:val="24"/>
                <w:szCs w:val="24"/>
              </w:rPr>
              <w:t>2027</w:t>
            </w:r>
          </w:p>
        </w:tc>
        <w:tc>
          <w:tcPr>
            <w:tcW w:w="1260" w:type="dxa"/>
            <w:shd w:val="clear" w:color="auto" w:fill="D98B4A"/>
          </w:tcPr>
          <w:p w14:paraId="3C482CDA" w14:textId="77777777" w:rsidR="0042033D" w:rsidRDefault="00000000">
            <w:pPr>
              <w:jc w:val="right"/>
              <w:rPr>
                <w:sz w:val="24"/>
                <w:szCs w:val="24"/>
              </w:rPr>
            </w:pPr>
            <w:r>
              <w:rPr>
                <w:b/>
                <w:sz w:val="24"/>
                <w:szCs w:val="24"/>
              </w:rPr>
              <w:t>2028</w:t>
            </w:r>
          </w:p>
        </w:tc>
        <w:tc>
          <w:tcPr>
            <w:tcW w:w="1350" w:type="dxa"/>
            <w:shd w:val="clear" w:color="auto" w:fill="D98B4A"/>
          </w:tcPr>
          <w:p w14:paraId="37ED781E" w14:textId="77777777" w:rsidR="0042033D" w:rsidRDefault="00000000">
            <w:pPr>
              <w:jc w:val="right"/>
              <w:rPr>
                <w:sz w:val="24"/>
                <w:szCs w:val="24"/>
              </w:rPr>
            </w:pPr>
            <w:r>
              <w:rPr>
                <w:b/>
                <w:sz w:val="24"/>
                <w:szCs w:val="24"/>
              </w:rPr>
              <w:t>2029</w:t>
            </w:r>
          </w:p>
        </w:tc>
        <w:tc>
          <w:tcPr>
            <w:tcW w:w="1350" w:type="dxa"/>
            <w:shd w:val="clear" w:color="auto" w:fill="D98B4A"/>
          </w:tcPr>
          <w:p w14:paraId="2C25F755" w14:textId="77777777" w:rsidR="0042033D" w:rsidRDefault="00000000">
            <w:pPr>
              <w:jc w:val="right"/>
              <w:rPr>
                <w:sz w:val="24"/>
                <w:szCs w:val="24"/>
              </w:rPr>
            </w:pPr>
            <w:r>
              <w:rPr>
                <w:b/>
                <w:sz w:val="24"/>
                <w:szCs w:val="24"/>
              </w:rPr>
              <w:t>2030</w:t>
            </w:r>
          </w:p>
        </w:tc>
      </w:tr>
      <w:tr w:rsidR="0042033D" w14:paraId="29AAA180" w14:textId="77777777">
        <w:tc>
          <w:tcPr>
            <w:tcW w:w="2483" w:type="dxa"/>
          </w:tcPr>
          <w:p w14:paraId="389180A6" w14:textId="77777777" w:rsidR="0042033D" w:rsidRDefault="00000000">
            <w:pPr>
              <w:rPr>
                <w:sz w:val="24"/>
                <w:szCs w:val="24"/>
              </w:rPr>
            </w:pPr>
            <w:r>
              <w:rPr>
                <w:sz w:val="24"/>
                <w:szCs w:val="24"/>
              </w:rPr>
              <w:t>EBITDA</w:t>
            </w:r>
          </w:p>
        </w:tc>
        <w:tc>
          <w:tcPr>
            <w:tcW w:w="1207" w:type="dxa"/>
          </w:tcPr>
          <w:p w14:paraId="41012923" w14:textId="77777777" w:rsidR="0042033D" w:rsidRDefault="00000000">
            <w:pPr>
              <w:jc w:val="right"/>
              <w:rPr>
                <w:sz w:val="24"/>
                <w:szCs w:val="24"/>
              </w:rPr>
            </w:pPr>
            <w:r>
              <w:rPr>
                <w:sz w:val="24"/>
                <w:szCs w:val="24"/>
              </w:rPr>
              <w:t>15</w:t>
            </w:r>
          </w:p>
        </w:tc>
        <w:tc>
          <w:tcPr>
            <w:tcW w:w="1260" w:type="dxa"/>
          </w:tcPr>
          <w:p w14:paraId="6493EC78" w14:textId="77777777" w:rsidR="0042033D" w:rsidRDefault="00000000">
            <w:pPr>
              <w:jc w:val="right"/>
              <w:rPr>
                <w:sz w:val="24"/>
                <w:szCs w:val="24"/>
              </w:rPr>
            </w:pPr>
            <w:r>
              <w:rPr>
                <w:sz w:val="24"/>
                <w:szCs w:val="24"/>
              </w:rPr>
              <w:t>34</w:t>
            </w:r>
          </w:p>
        </w:tc>
        <w:tc>
          <w:tcPr>
            <w:tcW w:w="1260" w:type="dxa"/>
          </w:tcPr>
          <w:p w14:paraId="19E39FBF" w14:textId="77777777" w:rsidR="0042033D" w:rsidRDefault="00000000">
            <w:pPr>
              <w:jc w:val="right"/>
              <w:rPr>
                <w:sz w:val="24"/>
                <w:szCs w:val="24"/>
              </w:rPr>
            </w:pPr>
            <w:r>
              <w:rPr>
                <w:sz w:val="24"/>
                <w:szCs w:val="24"/>
              </w:rPr>
              <w:t>62</w:t>
            </w:r>
          </w:p>
        </w:tc>
        <w:tc>
          <w:tcPr>
            <w:tcW w:w="1350" w:type="dxa"/>
          </w:tcPr>
          <w:p w14:paraId="4C74284B" w14:textId="77777777" w:rsidR="0042033D" w:rsidRDefault="00000000">
            <w:pPr>
              <w:jc w:val="right"/>
              <w:rPr>
                <w:sz w:val="24"/>
                <w:szCs w:val="24"/>
              </w:rPr>
            </w:pPr>
            <w:r>
              <w:rPr>
                <w:sz w:val="24"/>
                <w:szCs w:val="24"/>
              </w:rPr>
              <w:t>97</w:t>
            </w:r>
          </w:p>
        </w:tc>
        <w:tc>
          <w:tcPr>
            <w:tcW w:w="1350" w:type="dxa"/>
          </w:tcPr>
          <w:p w14:paraId="1F3AB125" w14:textId="77777777" w:rsidR="0042033D" w:rsidRDefault="00000000">
            <w:pPr>
              <w:jc w:val="right"/>
              <w:rPr>
                <w:sz w:val="24"/>
                <w:szCs w:val="24"/>
              </w:rPr>
            </w:pPr>
            <w:r>
              <w:rPr>
                <w:sz w:val="24"/>
                <w:szCs w:val="24"/>
              </w:rPr>
              <w:t>139</w:t>
            </w:r>
          </w:p>
        </w:tc>
      </w:tr>
      <w:tr w:rsidR="0042033D" w14:paraId="34DFD397" w14:textId="77777777">
        <w:tc>
          <w:tcPr>
            <w:tcW w:w="2483" w:type="dxa"/>
          </w:tcPr>
          <w:p w14:paraId="120262CD" w14:textId="77777777" w:rsidR="0042033D" w:rsidRDefault="00000000">
            <w:pPr>
              <w:rPr>
                <w:sz w:val="24"/>
                <w:szCs w:val="24"/>
              </w:rPr>
            </w:pPr>
            <w:r>
              <w:rPr>
                <w:sz w:val="24"/>
                <w:szCs w:val="24"/>
              </w:rPr>
              <w:t>Impôt</w:t>
            </w:r>
          </w:p>
        </w:tc>
        <w:tc>
          <w:tcPr>
            <w:tcW w:w="1207" w:type="dxa"/>
          </w:tcPr>
          <w:p w14:paraId="009507E7" w14:textId="77777777" w:rsidR="0042033D" w:rsidRDefault="00000000">
            <w:pPr>
              <w:jc w:val="right"/>
              <w:rPr>
                <w:sz w:val="24"/>
                <w:szCs w:val="24"/>
              </w:rPr>
            </w:pPr>
            <w:r>
              <w:rPr>
                <w:sz w:val="24"/>
                <w:szCs w:val="24"/>
              </w:rPr>
              <w:t>(1)</w:t>
            </w:r>
          </w:p>
        </w:tc>
        <w:tc>
          <w:tcPr>
            <w:tcW w:w="1260" w:type="dxa"/>
          </w:tcPr>
          <w:p w14:paraId="705CC996" w14:textId="77777777" w:rsidR="0042033D" w:rsidRDefault="00000000">
            <w:pPr>
              <w:jc w:val="right"/>
              <w:rPr>
                <w:sz w:val="24"/>
                <w:szCs w:val="24"/>
              </w:rPr>
            </w:pPr>
            <w:r>
              <w:rPr>
                <w:sz w:val="24"/>
                <w:szCs w:val="24"/>
              </w:rPr>
              <w:t>(4)</w:t>
            </w:r>
          </w:p>
        </w:tc>
        <w:tc>
          <w:tcPr>
            <w:tcW w:w="1260" w:type="dxa"/>
          </w:tcPr>
          <w:p w14:paraId="32AE60D4" w14:textId="77777777" w:rsidR="0042033D" w:rsidRDefault="00000000">
            <w:pPr>
              <w:jc w:val="right"/>
              <w:rPr>
                <w:sz w:val="24"/>
                <w:szCs w:val="24"/>
              </w:rPr>
            </w:pPr>
            <w:r>
              <w:rPr>
                <w:sz w:val="24"/>
                <w:szCs w:val="24"/>
              </w:rPr>
              <w:t>(8)</w:t>
            </w:r>
          </w:p>
        </w:tc>
        <w:tc>
          <w:tcPr>
            <w:tcW w:w="1350" w:type="dxa"/>
          </w:tcPr>
          <w:p w14:paraId="66C5623B" w14:textId="77777777" w:rsidR="0042033D" w:rsidRDefault="00000000">
            <w:pPr>
              <w:jc w:val="right"/>
              <w:rPr>
                <w:sz w:val="24"/>
                <w:szCs w:val="24"/>
              </w:rPr>
            </w:pPr>
            <w:r>
              <w:rPr>
                <w:sz w:val="24"/>
                <w:szCs w:val="24"/>
              </w:rPr>
              <w:t>(13)</w:t>
            </w:r>
          </w:p>
        </w:tc>
        <w:tc>
          <w:tcPr>
            <w:tcW w:w="1350" w:type="dxa"/>
          </w:tcPr>
          <w:p w14:paraId="3D565AA2" w14:textId="77777777" w:rsidR="0042033D" w:rsidRDefault="00000000">
            <w:pPr>
              <w:jc w:val="right"/>
              <w:rPr>
                <w:sz w:val="24"/>
                <w:szCs w:val="24"/>
              </w:rPr>
            </w:pPr>
            <w:r>
              <w:rPr>
                <w:sz w:val="24"/>
                <w:szCs w:val="24"/>
              </w:rPr>
              <w:t>(19)</w:t>
            </w:r>
          </w:p>
        </w:tc>
      </w:tr>
      <w:tr w:rsidR="0042033D" w14:paraId="7892EFBE" w14:textId="77777777">
        <w:tc>
          <w:tcPr>
            <w:tcW w:w="2483" w:type="dxa"/>
          </w:tcPr>
          <w:p w14:paraId="09C5206D" w14:textId="77777777" w:rsidR="0042033D" w:rsidRDefault="00000000">
            <w:pPr>
              <w:rPr>
                <w:sz w:val="24"/>
                <w:szCs w:val="24"/>
              </w:rPr>
            </w:pPr>
            <w:r>
              <w:rPr>
                <w:sz w:val="24"/>
                <w:szCs w:val="24"/>
              </w:rPr>
              <w:t>∆ BFR de modélisation</w:t>
            </w:r>
          </w:p>
        </w:tc>
        <w:tc>
          <w:tcPr>
            <w:tcW w:w="1207" w:type="dxa"/>
          </w:tcPr>
          <w:p w14:paraId="6A799D88" w14:textId="77777777" w:rsidR="0042033D" w:rsidRDefault="00000000">
            <w:pPr>
              <w:jc w:val="right"/>
              <w:rPr>
                <w:sz w:val="24"/>
                <w:szCs w:val="24"/>
              </w:rPr>
            </w:pPr>
            <w:r>
              <w:rPr>
                <w:sz w:val="24"/>
                <w:szCs w:val="24"/>
              </w:rPr>
              <w:t>(2)</w:t>
            </w:r>
          </w:p>
        </w:tc>
        <w:tc>
          <w:tcPr>
            <w:tcW w:w="1260" w:type="dxa"/>
          </w:tcPr>
          <w:p w14:paraId="569D637D" w14:textId="77777777" w:rsidR="0042033D" w:rsidRDefault="00000000">
            <w:pPr>
              <w:jc w:val="right"/>
              <w:rPr>
                <w:sz w:val="24"/>
                <w:szCs w:val="24"/>
              </w:rPr>
            </w:pPr>
            <w:r>
              <w:rPr>
                <w:sz w:val="24"/>
                <w:szCs w:val="24"/>
              </w:rPr>
              <w:t>(3)</w:t>
            </w:r>
          </w:p>
        </w:tc>
        <w:tc>
          <w:tcPr>
            <w:tcW w:w="1260" w:type="dxa"/>
          </w:tcPr>
          <w:p w14:paraId="6EFEA0A1" w14:textId="77777777" w:rsidR="0042033D" w:rsidRDefault="00000000">
            <w:pPr>
              <w:jc w:val="right"/>
              <w:rPr>
                <w:sz w:val="24"/>
                <w:szCs w:val="24"/>
              </w:rPr>
            </w:pPr>
            <w:r>
              <w:rPr>
                <w:sz w:val="24"/>
                <w:szCs w:val="24"/>
              </w:rPr>
              <w:t>(4)</w:t>
            </w:r>
          </w:p>
        </w:tc>
        <w:tc>
          <w:tcPr>
            <w:tcW w:w="1350" w:type="dxa"/>
          </w:tcPr>
          <w:p w14:paraId="396521BF" w14:textId="77777777" w:rsidR="0042033D" w:rsidRDefault="00000000">
            <w:pPr>
              <w:jc w:val="right"/>
              <w:rPr>
                <w:sz w:val="24"/>
                <w:szCs w:val="24"/>
              </w:rPr>
            </w:pPr>
            <w:r>
              <w:rPr>
                <w:sz w:val="24"/>
                <w:szCs w:val="24"/>
              </w:rPr>
              <w:t>(5)</w:t>
            </w:r>
          </w:p>
        </w:tc>
        <w:tc>
          <w:tcPr>
            <w:tcW w:w="1350" w:type="dxa"/>
          </w:tcPr>
          <w:p w14:paraId="77CC6D88" w14:textId="77777777" w:rsidR="0042033D" w:rsidRDefault="00000000">
            <w:pPr>
              <w:jc w:val="right"/>
              <w:rPr>
                <w:sz w:val="24"/>
                <w:szCs w:val="24"/>
              </w:rPr>
            </w:pPr>
            <w:r>
              <w:rPr>
                <w:sz w:val="24"/>
                <w:szCs w:val="24"/>
              </w:rPr>
              <w:t>(5)</w:t>
            </w:r>
          </w:p>
        </w:tc>
      </w:tr>
      <w:tr w:rsidR="0042033D" w14:paraId="1E03B1A5" w14:textId="77777777">
        <w:tc>
          <w:tcPr>
            <w:tcW w:w="2483" w:type="dxa"/>
          </w:tcPr>
          <w:p w14:paraId="3804373F" w14:textId="77777777" w:rsidR="0042033D" w:rsidRDefault="00000000">
            <w:pPr>
              <w:rPr>
                <w:sz w:val="24"/>
                <w:szCs w:val="24"/>
              </w:rPr>
            </w:pPr>
            <w:r>
              <w:rPr>
                <w:sz w:val="24"/>
                <w:szCs w:val="24"/>
              </w:rPr>
              <w:t>CAPEX maintenance</w:t>
            </w:r>
          </w:p>
        </w:tc>
        <w:tc>
          <w:tcPr>
            <w:tcW w:w="1207" w:type="dxa"/>
          </w:tcPr>
          <w:p w14:paraId="14C84308" w14:textId="77777777" w:rsidR="0042033D" w:rsidRDefault="00000000">
            <w:pPr>
              <w:jc w:val="right"/>
              <w:rPr>
                <w:sz w:val="24"/>
                <w:szCs w:val="24"/>
              </w:rPr>
            </w:pPr>
            <w:r>
              <w:rPr>
                <w:sz w:val="24"/>
                <w:szCs w:val="24"/>
              </w:rPr>
              <w:t>—</w:t>
            </w:r>
          </w:p>
        </w:tc>
        <w:tc>
          <w:tcPr>
            <w:tcW w:w="1260" w:type="dxa"/>
          </w:tcPr>
          <w:p w14:paraId="61C046E5" w14:textId="77777777" w:rsidR="0042033D" w:rsidRDefault="00000000">
            <w:pPr>
              <w:jc w:val="right"/>
              <w:rPr>
                <w:sz w:val="24"/>
                <w:szCs w:val="24"/>
              </w:rPr>
            </w:pPr>
            <w:r>
              <w:rPr>
                <w:sz w:val="24"/>
                <w:szCs w:val="24"/>
              </w:rPr>
              <w:t>(5)</w:t>
            </w:r>
          </w:p>
        </w:tc>
        <w:tc>
          <w:tcPr>
            <w:tcW w:w="1260" w:type="dxa"/>
          </w:tcPr>
          <w:p w14:paraId="286CB9DA" w14:textId="77777777" w:rsidR="0042033D" w:rsidRDefault="00000000">
            <w:pPr>
              <w:jc w:val="right"/>
              <w:rPr>
                <w:sz w:val="24"/>
                <w:szCs w:val="24"/>
              </w:rPr>
            </w:pPr>
            <w:r>
              <w:rPr>
                <w:sz w:val="24"/>
                <w:szCs w:val="24"/>
              </w:rPr>
              <w:t>(8)</w:t>
            </w:r>
          </w:p>
        </w:tc>
        <w:tc>
          <w:tcPr>
            <w:tcW w:w="1350" w:type="dxa"/>
          </w:tcPr>
          <w:p w14:paraId="6E22A0EE" w14:textId="77777777" w:rsidR="0042033D" w:rsidRDefault="00000000">
            <w:pPr>
              <w:jc w:val="right"/>
              <w:rPr>
                <w:sz w:val="24"/>
                <w:szCs w:val="24"/>
              </w:rPr>
            </w:pPr>
            <w:r>
              <w:rPr>
                <w:sz w:val="24"/>
                <w:szCs w:val="24"/>
              </w:rPr>
              <w:t>(10)</w:t>
            </w:r>
          </w:p>
        </w:tc>
        <w:tc>
          <w:tcPr>
            <w:tcW w:w="1350" w:type="dxa"/>
          </w:tcPr>
          <w:p w14:paraId="4184C844" w14:textId="77777777" w:rsidR="0042033D" w:rsidRDefault="00000000">
            <w:pPr>
              <w:jc w:val="right"/>
              <w:rPr>
                <w:sz w:val="24"/>
                <w:szCs w:val="24"/>
              </w:rPr>
            </w:pPr>
            <w:r>
              <w:rPr>
                <w:sz w:val="24"/>
                <w:szCs w:val="24"/>
              </w:rPr>
              <w:t>(12)</w:t>
            </w:r>
          </w:p>
        </w:tc>
      </w:tr>
      <w:tr w:rsidR="0042033D" w14:paraId="78205C78" w14:textId="77777777">
        <w:tc>
          <w:tcPr>
            <w:tcW w:w="2483" w:type="dxa"/>
          </w:tcPr>
          <w:p w14:paraId="0EC2D1B9" w14:textId="77777777" w:rsidR="0042033D" w:rsidRDefault="00000000">
            <w:pPr>
              <w:rPr>
                <w:sz w:val="24"/>
                <w:szCs w:val="24"/>
              </w:rPr>
            </w:pPr>
            <w:r>
              <w:rPr>
                <w:sz w:val="24"/>
                <w:szCs w:val="24"/>
              </w:rPr>
              <w:t>Flux net</w:t>
            </w:r>
          </w:p>
        </w:tc>
        <w:tc>
          <w:tcPr>
            <w:tcW w:w="1207" w:type="dxa"/>
          </w:tcPr>
          <w:p w14:paraId="62F46452" w14:textId="77777777" w:rsidR="0042033D" w:rsidRDefault="00000000">
            <w:pPr>
              <w:jc w:val="right"/>
              <w:rPr>
                <w:sz w:val="24"/>
                <w:szCs w:val="24"/>
              </w:rPr>
            </w:pPr>
            <w:r>
              <w:rPr>
                <w:sz w:val="24"/>
                <w:szCs w:val="24"/>
              </w:rPr>
              <w:t>12</w:t>
            </w:r>
          </w:p>
        </w:tc>
        <w:tc>
          <w:tcPr>
            <w:tcW w:w="1260" w:type="dxa"/>
          </w:tcPr>
          <w:p w14:paraId="54B98DE1" w14:textId="77777777" w:rsidR="0042033D" w:rsidRDefault="00000000">
            <w:pPr>
              <w:jc w:val="right"/>
              <w:rPr>
                <w:sz w:val="24"/>
                <w:szCs w:val="24"/>
              </w:rPr>
            </w:pPr>
            <w:r>
              <w:rPr>
                <w:sz w:val="24"/>
                <w:szCs w:val="24"/>
              </w:rPr>
              <w:t>22</w:t>
            </w:r>
          </w:p>
        </w:tc>
        <w:tc>
          <w:tcPr>
            <w:tcW w:w="1260" w:type="dxa"/>
          </w:tcPr>
          <w:p w14:paraId="6D84E6BF" w14:textId="77777777" w:rsidR="0042033D" w:rsidRDefault="00000000">
            <w:pPr>
              <w:jc w:val="right"/>
              <w:rPr>
                <w:sz w:val="24"/>
                <w:szCs w:val="24"/>
              </w:rPr>
            </w:pPr>
            <w:r>
              <w:rPr>
                <w:sz w:val="24"/>
                <w:szCs w:val="24"/>
              </w:rPr>
              <w:t>42</w:t>
            </w:r>
          </w:p>
        </w:tc>
        <w:tc>
          <w:tcPr>
            <w:tcW w:w="1350" w:type="dxa"/>
          </w:tcPr>
          <w:p w14:paraId="1E9530D0" w14:textId="77777777" w:rsidR="0042033D" w:rsidRDefault="00000000">
            <w:pPr>
              <w:jc w:val="right"/>
              <w:rPr>
                <w:sz w:val="24"/>
                <w:szCs w:val="24"/>
              </w:rPr>
            </w:pPr>
            <w:r>
              <w:rPr>
                <w:sz w:val="24"/>
                <w:szCs w:val="24"/>
              </w:rPr>
              <w:t>69</w:t>
            </w:r>
          </w:p>
        </w:tc>
        <w:tc>
          <w:tcPr>
            <w:tcW w:w="1350" w:type="dxa"/>
          </w:tcPr>
          <w:p w14:paraId="5C7E661D" w14:textId="77777777" w:rsidR="0042033D" w:rsidRDefault="00000000">
            <w:pPr>
              <w:jc w:val="right"/>
              <w:rPr>
                <w:sz w:val="24"/>
                <w:szCs w:val="24"/>
              </w:rPr>
            </w:pPr>
            <w:r>
              <w:rPr>
                <w:sz w:val="24"/>
                <w:szCs w:val="24"/>
              </w:rPr>
              <w:t>103</w:t>
            </w:r>
          </w:p>
        </w:tc>
      </w:tr>
      <w:tr w:rsidR="0042033D" w14:paraId="74CFA66C" w14:textId="77777777">
        <w:tc>
          <w:tcPr>
            <w:tcW w:w="2483" w:type="dxa"/>
          </w:tcPr>
          <w:p w14:paraId="0C88640E" w14:textId="77777777" w:rsidR="0042033D" w:rsidRDefault="00000000">
            <w:pPr>
              <w:rPr>
                <w:sz w:val="24"/>
                <w:szCs w:val="24"/>
              </w:rPr>
            </w:pPr>
            <w:r>
              <w:rPr>
                <w:sz w:val="24"/>
                <w:szCs w:val="24"/>
              </w:rPr>
              <w:t>Facteur d’actualisation</w:t>
            </w:r>
          </w:p>
        </w:tc>
        <w:tc>
          <w:tcPr>
            <w:tcW w:w="1207" w:type="dxa"/>
          </w:tcPr>
          <w:p w14:paraId="67731552" w14:textId="77777777" w:rsidR="0042033D" w:rsidRDefault="00000000">
            <w:pPr>
              <w:jc w:val="right"/>
              <w:rPr>
                <w:sz w:val="24"/>
                <w:szCs w:val="24"/>
              </w:rPr>
            </w:pPr>
            <w:r>
              <w:rPr>
                <w:sz w:val="24"/>
                <w:szCs w:val="24"/>
              </w:rPr>
              <w:t>0,893</w:t>
            </w:r>
          </w:p>
        </w:tc>
        <w:tc>
          <w:tcPr>
            <w:tcW w:w="1260" w:type="dxa"/>
          </w:tcPr>
          <w:p w14:paraId="4505D962" w14:textId="77777777" w:rsidR="0042033D" w:rsidRDefault="00000000">
            <w:pPr>
              <w:jc w:val="right"/>
              <w:rPr>
                <w:sz w:val="24"/>
                <w:szCs w:val="24"/>
              </w:rPr>
            </w:pPr>
            <w:r>
              <w:rPr>
                <w:sz w:val="24"/>
                <w:szCs w:val="24"/>
              </w:rPr>
              <w:t>0,797</w:t>
            </w:r>
          </w:p>
        </w:tc>
        <w:tc>
          <w:tcPr>
            <w:tcW w:w="1260" w:type="dxa"/>
          </w:tcPr>
          <w:p w14:paraId="0C716257" w14:textId="77777777" w:rsidR="0042033D" w:rsidRDefault="00000000">
            <w:pPr>
              <w:jc w:val="right"/>
              <w:rPr>
                <w:sz w:val="24"/>
                <w:szCs w:val="24"/>
              </w:rPr>
            </w:pPr>
            <w:r>
              <w:rPr>
                <w:sz w:val="24"/>
                <w:szCs w:val="24"/>
              </w:rPr>
              <w:t>0,712</w:t>
            </w:r>
          </w:p>
        </w:tc>
        <w:tc>
          <w:tcPr>
            <w:tcW w:w="1350" w:type="dxa"/>
          </w:tcPr>
          <w:p w14:paraId="74D65FFF" w14:textId="77777777" w:rsidR="0042033D" w:rsidRDefault="00000000">
            <w:pPr>
              <w:jc w:val="right"/>
              <w:rPr>
                <w:sz w:val="24"/>
                <w:szCs w:val="24"/>
              </w:rPr>
            </w:pPr>
            <w:r>
              <w:rPr>
                <w:sz w:val="24"/>
                <w:szCs w:val="24"/>
              </w:rPr>
              <w:t>0,636</w:t>
            </w:r>
          </w:p>
        </w:tc>
        <w:tc>
          <w:tcPr>
            <w:tcW w:w="1350" w:type="dxa"/>
          </w:tcPr>
          <w:p w14:paraId="5F2DA2E9" w14:textId="77777777" w:rsidR="0042033D" w:rsidRDefault="00000000">
            <w:pPr>
              <w:jc w:val="right"/>
              <w:rPr>
                <w:sz w:val="24"/>
                <w:szCs w:val="24"/>
              </w:rPr>
            </w:pPr>
            <w:r>
              <w:rPr>
                <w:sz w:val="24"/>
                <w:szCs w:val="24"/>
              </w:rPr>
              <w:t>0,567</w:t>
            </w:r>
          </w:p>
        </w:tc>
      </w:tr>
      <w:tr w:rsidR="0042033D" w14:paraId="2F5E0B6E" w14:textId="77777777">
        <w:tc>
          <w:tcPr>
            <w:tcW w:w="2483" w:type="dxa"/>
          </w:tcPr>
          <w:p w14:paraId="5D307F02" w14:textId="77777777" w:rsidR="0042033D" w:rsidRDefault="00000000">
            <w:pPr>
              <w:rPr>
                <w:sz w:val="24"/>
                <w:szCs w:val="24"/>
              </w:rPr>
            </w:pPr>
            <w:r>
              <w:rPr>
                <w:sz w:val="24"/>
                <w:szCs w:val="24"/>
              </w:rPr>
              <w:t>Flux actualisé</w:t>
            </w:r>
          </w:p>
        </w:tc>
        <w:tc>
          <w:tcPr>
            <w:tcW w:w="1207" w:type="dxa"/>
          </w:tcPr>
          <w:p w14:paraId="288560A5" w14:textId="77777777" w:rsidR="0042033D" w:rsidRDefault="00000000">
            <w:pPr>
              <w:jc w:val="right"/>
              <w:rPr>
                <w:sz w:val="24"/>
                <w:szCs w:val="24"/>
              </w:rPr>
            </w:pPr>
            <w:r>
              <w:rPr>
                <w:sz w:val="24"/>
                <w:szCs w:val="24"/>
              </w:rPr>
              <w:t>10,7</w:t>
            </w:r>
          </w:p>
        </w:tc>
        <w:tc>
          <w:tcPr>
            <w:tcW w:w="1260" w:type="dxa"/>
          </w:tcPr>
          <w:p w14:paraId="1FD96984" w14:textId="77777777" w:rsidR="0042033D" w:rsidRDefault="00000000">
            <w:pPr>
              <w:jc w:val="right"/>
              <w:rPr>
                <w:sz w:val="24"/>
                <w:szCs w:val="24"/>
              </w:rPr>
            </w:pPr>
            <w:r>
              <w:rPr>
                <w:sz w:val="24"/>
                <w:szCs w:val="24"/>
              </w:rPr>
              <w:t>17,5</w:t>
            </w:r>
          </w:p>
        </w:tc>
        <w:tc>
          <w:tcPr>
            <w:tcW w:w="1260" w:type="dxa"/>
          </w:tcPr>
          <w:p w14:paraId="72B1C30B" w14:textId="77777777" w:rsidR="0042033D" w:rsidRDefault="00000000">
            <w:pPr>
              <w:jc w:val="right"/>
              <w:rPr>
                <w:sz w:val="24"/>
                <w:szCs w:val="24"/>
              </w:rPr>
            </w:pPr>
            <w:r>
              <w:rPr>
                <w:sz w:val="24"/>
                <w:szCs w:val="24"/>
              </w:rPr>
              <w:t>29,9</w:t>
            </w:r>
          </w:p>
        </w:tc>
        <w:tc>
          <w:tcPr>
            <w:tcW w:w="1350" w:type="dxa"/>
          </w:tcPr>
          <w:p w14:paraId="289471E3" w14:textId="77777777" w:rsidR="0042033D" w:rsidRDefault="00000000">
            <w:pPr>
              <w:jc w:val="right"/>
              <w:rPr>
                <w:sz w:val="24"/>
                <w:szCs w:val="24"/>
              </w:rPr>
            </w:pPr>
            <w:r>
              <w:rPr>
                <w:sz w:val="24"/>
                <w:szCs w:val="24"/>
              </w:rPr>
              <w:t>43,9</w:t>
            </w:r>
          </w:p>
        </w:tc>
        <w:tc>
          <w:tcPr>
            <w:tcW w:w="1350" w:type="dxa"/>
          </w:tcPr>
          <w:p w14:paraId="61E1D2BA" w14:textId="77777777" w:rsidR="0042033D" w:rsidRDefault="00000000">
            <w:pPr>
              <w:jc w:val="right"/>
              <w:rPr>
                <w:sz w:val="24"/>
                <w:szCs w:val="24"/>
              </w:rPr>
            </w:pPr>
            <w:r>
              <w:rPr>
                <w:sz w:val="24"/>
                <w:szCs w:val="24"/>
              </w:rPr>
              <w:t>58,4</w:t>
            </w:r>
          </w:p>
        </w:tc>
      </w:tr>
    </w:tbl>
    <w:p w14:paraId="45E936FA" w14:textId="77777777" w:rsidR="0042033D" w:rsidRDefault="0042033D">
      <w:pPr>
        <w:rPr>
          <w:sz w:val="24"/>
          <w:szCs w:val="24"/>
          <w:lang w:val="fr-FR"/>
        </w:rPr>
      </w:pPr>
    </w:p>
    <w:p w14:paraId="1EEF019E" w14:textId="77777777" w:rsidR="0042033D" w:rsidRDefault="00000000">
      <w:pPr>
        <w:jc w:val="both"/>
        <w:rPr>
          <w:sz w:val="24"/>
          <w:szCs w:val="24"/>
        </w:rPr>
      </w:pPr>
      <w:r>
        <w:rPr>
          <w:sz w:val="24"/>
          <w:szCs w:val="24"/>
        </w:rPr>
        <w:t>Investissement initial : (50 K$). VAN indicative au taux de 12 % : environ 110 K$. TRI mathématique du profil de flux ci-dessus : environ 56,6 %. Délai de récupération actualisé : environ 2,7 ans. Ces indicateurs sont des propriétés du scénario financier modélisé ; ils ne constituent ni une promesse de rendement, ni une valorisation de l’entreprise, ni un rendement contractuel du financeur.</w:t>
      </w:r>
    </w:p>
    <w:sectPr w:rsidR="0042033D">
      <w:headerReference w:type="default" r:id="rId32"/>
      <w:footerReference w:type="default" r:id="rId33"/>
      <w:pgSz w:w="11906" w:h="16838"/>
      <w:pgMar w:top="1240" w:right="1250" w:bottom="1240" w:left="15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A8264" w14:textId="77777777" w:rsidR="00042383" w:rsidRDefault="00042383">
      <w:pPr>
        <w:spacing w:line="240" w:lineRule="auto"/>
      </w:pPr>
      <w:r>
        <w:separator/>
      </w:r>
    </w:p>
  </w:endnote>
  <w:endnote w:type="continuationSeparator" w:id="0">
    <w:p w14:paraId="4E5AB70B" w14:textId="77777777" w:rsidR="00042383" w:rsidRDefault="000423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ague Spartan">
    <w:panose1 w:val="00000800000000000000"/>
    <w:charset w:val="00"/>
    <w:family w:val="auto"/>
    <w:pitch w:val="variable"/>
    <w:sig w:usb0="00000007" w:usb1="00000000" w:usb2="00000000" w:usb3="00000000" w:csb0="00000083"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B6AB0" w14:textId="77777777" w:rsidR="0042033D" w:rsidRDefault="00000000">
    <w:pPr>
      <w:jc w:val="center"/>
    </w:pPr>
    <w:r>
      <w:rPr>
        <w:color w:val="808080"/>
        <w:sz w:val="18"/>
        <w:szCs w:val="18"/>
      </w:rPr>
      <w:fldChar w:fldCharType="begin"/>
    </w:r>
    <w:r>
      <w:rPr>
        <w:color w:val="808080"/>
        <w:sz w:val="18"/>
        <w:szCs w:val="18"/>
      </w:rPr>
      <w:instrText xml:space="preserve"> PAGE \* ROMAN \* MERGEFORMAT </w:instrText>
    </w:r>
    <w:r>
      <w:rPr>
        <w:color w:val="808080"/>
        <w:sz w:val="18"/>
        <w:szCs w:val="18"/>
      </w:rPr>
      <w:fldChar w:fldCharType="separate"/>
    </w:r>
    <w:r>
      <w:rPr>
        <w:noProof/>
        <w:color w:val="808080"/>
        <w:sz w:val="18"/>
        <w:szCs w:val="18"/>
      </w:rPr>
      <w:t>I</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13937" w14:textId="77777777" w:rsidR="0042033D" w:rsidRDefault="00000000">
    <w:pPr>
      <w:jc w:val="center"/>
    </w:pPr>
    <w:r>
      <w:rPr>
        <w:color w:val="808080"/>
        <w:sz w:val="18"/>
        <w:szCs w:val="18"/>
      </w:rPr>
      <w:fldChar w:fldCharType="begin"/>
    </w:r>
    <w:r>
      <w:rPr>
        <w:color w:val="808080"/>
        <w:sz w:val="18"/>
        <w:szCs w:val="18"/>
      </w:rPr>
      <w:instrText xml:space="preserve"> PAGE \* arabic \* MERGEFORMAT </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B21E3" w14:textId="77777777" w:rsidR="00042383" w:rsidRDefault="00042383">
      <w:pPr>
        <w:spacing w:line="240" w:lineRule="auto"/>
      </w:pPr>
      <w:r>
        <w:separator/>
      </w:r>
    </w:p>
  </w:footnote>
  <w:footnote w:type="continuationSeparator" w:id="0">
    <w:p w14:paraId="46BE5B96" w14:textId="77777777" w:rsidR="00042383" w:rsidRDefault="000423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4DFE5" w14:textId="77777777" w:rsidR="0042033D" w:rsidRDefault="00000000">
    <w:pPr>
      <w:pBdr>
        <w:bottom w:val="single" w:sz="2" w:space="4" w:color="D9D9D9"/>
      </w:pBdr>
      <w:jc w:val="right"/>
    </w:pPr>
    <w:r>
      <w:rPr>
        <w:rFonts w:ascii="Arial" w:eastAsia="Arial" w:hAnsi="Arial"/>
        <w:color w:val="8A929C"/>
        <w:sz w:val="16"/>
        <w:szCs w:val="16"/>
      </w:rPr>
      <w:t>Bio Source Farm — Business Plan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DD654" w14:textId="77777777" w:rsidR="0042033D" w:rsidRDefault="00000000">
    <w:pPr>
      <w:pBdr>
        <w:bottom w:val="single" w:sz="2" w:space="4" w:color="D9D9D9"/>
      </w:pBdr>
      <w:jc w:val="right"/>
    </w:pPr>
    <w:r>
      <w:rPr>
        <w:rFonts w:ascii="Arial" w:eastAsia="Arial" w:hAnsi="Arial"/>
        <w:color w:val="8A929C"/>
        <w:sz w:val="16"/>
        <w:szCs w:val="16"/>
      </w:rPr>
      <w:t>Bio Source Farm — Business Plan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F17A6"/>
    <w:multiLevelType w:val="hybridMultilevel"/>
    <w:tmpl w:val="FF1C69A6"/>
    <w:lvl w:ilvl="0" w:tplc="81C4C928">
      <w:start w:val="1"/>
      <w:numFmt w:val="bullet"/>
      <w:lvlText w:val="●"/>
      <w:lvlJc w:val="left"/>
      <w:pPr>
        <w:ind w:left="720" w:hanging="360"/>
      </w:pPr>
    </w:lvl>
    <w:lvl w:ilvl="1" w:tplc="A0D469DC">
      <w:start w:val="1"/>
      <w:numFmt w:val="bullet"/>
      <w:lvlText w:val="○"/>
      <w:lvlJc w:val="left"/>
      <w:pPr>
        <w:ind w:left="1440" w:hanging="360"/>
      </w:pPr>
    </w:lvl>
    <w:lvl w:ilvl="2" w:tplc="998C19EE">
      <w:start w:val="1"/>
      <w:numFmt w:val="bullet"/>
      <w:lvlText w:val="■"/>
      <w:lvlJc w:val="left"/>
      <w:pPr>
        <w:ind w:left="2160" w:hanging="360"/>
      </w:pPr>
    </w:lvl>
    <w:lvl w:ilvl="3" w:tplc="2884B39E">
      <w:start w:val="1"/>
      <w:numFmt w:val="bullet"/>
      <w:lvlText w:val="●"/>
      <w:lvlJc w:val="left"/>
      <w:pPr>
        <w:ind w:left="2880" w:hanging="360"/>
      </w:pPr>
    </w:lvl>
    <w:lvl w:ilvl="4" w:tplc="2F44C1A0">
      <w:start w:val="1"/>
      <w:numFmt w:val="bullet"/>
      <w:lvlText w:val="○"/>
      <w:lvlJc w:val="left"/>
      <w:pPr>
        <w:ind w:left="3600" w:hanging="360"/>
      </w:pPr>
    </w:lvl>
    <w:lvl w:ilvl="5" w:tplc="898E8080">
      <w:start w:val="1"/>
      <w:numFmt w:val="bullet"/>
      <w:lvlText w:val="■"/>
      <w:lvlJc w:val="left"/>
      <w:pPr>
        <w:ind w:left="4320" w:hanging="360"/>
      </w:pPr>
    </w:lvl>
    <w:lvl w:ilvl="6" w:tplc="24C61A08">
      <w:start w:val="1"/>
      <w:numFmt w:val="bullet"/>
      <w:lvlText w:val="●"/>
      <w:lvlJc w:val="left"/>
      <w:pPr>
        <w:ind w:left="5040" w:hanging="360"/>
      </w:pPr>
    </w:lvl>
    <w:lvl w:ilvl="7" w:tplc="25FEEA5A">
      <w:start w:val="1"/>
      <w:numFmt w:val="bullet"/>
      <w:lvlText w:val="●"/>
      <w:lvlJc w:val="left"/>
      <w:pPr>
        <w:ind w:left="5760" w:hanging="360"/>
      </w:pPr>
    </w:lvl>
    <w:lvl w:ilvl="8" w:tplc="308A8118">
      <w:start w:val="1"/>
      <w:numFmt w:val="bullet"/>
      <w:lvlText w:val="●"/>
      <w:lvlJc w:val="left"/>
      <w:pPr>
        <w:ind w:left="6480" w:hanging="360"/>
      </w:pPr>
    </w:lvl>
  </w:abstractNum>
  <w:num w:numId="1" w16cid:durableId="525023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64B"/>
    <w:rsid w:val="000348BF"/>
    <w:rsid w:val="00042383"/>
    <w:rsid w:val="00064DDB"/>
    <w:rsid w:val="000C45B8"/>
    <w:rsid w:val="000D1DAE"/>
    <w:rsid w:val="000E4AA6"/>
    <w:rsid w:val="001147E3"/>
    <w:rsid w:val="001162FC"/>
    <w:rsid w:val="001166A1"/>
    <w:rsid w:val="001367F5"/>
    <w:rsid w:val="00157797"/>
    <w:rsid w:val="00172D01"/>
    <w:rsid w:val="0018718E"/>
    <w:rsid w:val="001A6B4A"/>
    <w:rsid w:val="002210FF"/>
    <w:rsid w:val="0023322B"/>
    <w:rsid w:val="002E1357"/>
    <w:rsid w:val="002F4175"/>
    <w:rsid w:val="003002E1"/>
    <w:rsid w:val="00320641"/>
    <w:rsid w:val="003231B5"/>
    <w:rsid w:val="003C6B3A"/>
    <w:rsid w:val="0042033D"/>
    <w:rsid w:val="0042350A"/>
    <w:rsid w:val="00425A27"/>
    <w:rsid w:val="0048250D"/>
    <w:rsid w:val="00497FBA"/>
    <w:rsid w:val="004A224A"/>
    <w:rsid w:val="004B7298"/>
    <w:rsid w:val="004C3E51"/>
    <w:rsid w:val="004E16BC"/>
    <w:rsid w:val="004E5C3B"/>
    <w:rsid w:val="00525595"/>
    <w:rsid w:val="00566560"/>
    <w:rsid w:val="005B060E"/>
    <w:rsid w:val="005B064B"/>
    <w:rsid w:val="005C594B"/>
    <w:rsid w:val="005F4206"/>
    <w:rsid w:val="006253C4"/>
    <w:rsid w:val="00635220"/>
    <w:rsid w:val="0064712E"/>
    <w:rsid w:val="00663E51"/>
    <w:rsid w:val="006830E2"/>
    <w:rsid w:val="00716EBB"/>
    <w:rsid w:val="00745D87"/>
    <w:rsid w:val="007531F2"/>
    <w:rsid w:val="00754316"/>
    <w:rsid w:val="00790D5F"/>
    <w:rsid w:val="007B430F"/>
    <w:rsid w:val="007E7392"/>
    <w:rsid w:val="00836E56"/>
    <w:rsid w:val="00844F20"/>
    <w:rsid w:val="008535D6"/>
    <w:rsid w:val="008C3A12"/>
    <w:rsid w:val="008E425A"/>
    <w:rsid w:val="008E4870"/>
    <w:rsid w:val="00967232"/>
    <w:rsid w:val="00983AFB"/>
    <w:rsid w:val="00987656"/>
    <w:rsid w:val="009A032A"/>
    <w:rsid w:val="009C1943"/>
    <w:rsid w:val="00A5540C"/>
    <w:rsid w:val="00A86F2F"/>
    <w:rsid w:val="00AE3011"/>
    <w:rsid w:val="00B05ED3"/>
    <w:rsid w:val="00B13B18"/>
    <w:rsid w:val="00B6265D"/>
    <w:rsid w:val="00C001FE"/>
    <w:rsid w:val="00C01700"/>
    <w:rsid w:val="00C47C22"/>
    <w:rsid w:val="00CB3301"/>
    <w:rsid w:val="00CD632C"/>
    <w:rsid w:val="00CF217A"/>
    <w:rsid w:val="00CF4185"/>
    <w:rsid w:val="00D0128C"/>
    <w:rsid w:val="00D53F22"/>
    <w:rsid w:val="00D76B09"/>
    <w:rsid w:val="00DD53C6"/>
    <w:rsid w:val="00E45BB8"/>
    <w:rsid w:val="00E623D5"/>
    <w:rsid w:val="00E86C0A"/>
    <w:rsid w:val="00ED4AD3"/>
    <w:rsid w:val="00EE4432"/>
    <w:rsid w:val="00EE4B43"/>
    <w:rsid w:val="00F06311"/>
    <w:rsid w:val="00F073EE"/>
    <w:rsid w:val="00F30602"/>
    <w:rsid w:val="00F549BC"/>
    <w:rsid w:val="00F928CA"/>
    <w:rsid w:val="00FE7C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8A11"/>
  <w15:docId w15:val="{92EB273C-13A9-44DC-B9E1-E89D7C6E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2937"/>
        <w:lang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Arial" w:eastAsia="Arial" w:hAnsi="Arial"/>
      <w:b/>
      <w:bCs/>
      <w:color w:val="1A2330"/>
      <w:sz w:val="28"/>
      <w:szCs w:val="28"/>
    </w:rPr>
  </w:style>
  <w:style w:type="paragraph" w:styleId="Heading2">
    <w:name w:val="heading 2"/>
    <w:uiPriority w:val="9"/>
    <w:unhideWhenUsed/>
    <w:qFormat/>
    <w:pPr>
      <w:spacing w:before="200" w:after="80"/>
      <w:outlineLvl w:val="1"/>
    </w:pPr>
    <w:rPr>
      <w:rFonts w:ascii="Arial" w:eastAsia="Arial" w:hAnsi="Arial"/>
      <w:b/>
      <w:bCs/>
      <w:color w:val="1A233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character" w:styleId="UnresolvedMention">
    <w:name w:val="Unresolved Mention"/>
    <w:basedOn w:val="DefaultParagraphFont"/>
    <w:uiPriority w:val="99"/>
    <w:semiHidden/>
    <w:unhideWhenUsed/>
    <w:rsid w:val="00425A27"/>
    <w:rPr>
      <w:color w:val="605E5C"/>
      <w:shd w:val="clear" w:color="auto" w:fill="E1DFDD"/>
    </w:rPr>
  </w:style>
  <w:style w:type="table" w:styleId="PlainTable2">
    <w:name w:val="Plain Table 2"/>
    <w:basedOn w:val="TableNormal"/>
    <w:uiPriority w:val="42"/>
    <w:rsid w:val="006253C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77297">
      <w:bodyDiv w:val="1"/>
      <w:marLeft w:val="0"/>
      <w:marRight w:val="0"/>
      <w:marTop w:val="0"/>
      <w:marBottom w:val="0"/>
      <w:divBdr>
        <w:top w:val="none" w:sz="0" w:space="0" w:color="auto"/>
        <w:left w:val="none" w:sz="0" w:space="0" w:color="auto"/>
        <w:bottom w:val="none" w:sz="0" w:space="0" w:color="auto"/>
        <w:right w:val="none" w:sz="0" w:space="0" w:color="auto"/>
      </w:divBdr>
    </w:div>
    <w:div w:id="772633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www.pic.mg/projet-pic-madagascar/category/consultants/2"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doi.org/10.1371/journal.pone.0343378"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fao.org/in-action/globefish/news-events/news/news-detail/china-demand-and-lower-quotas-lift-fishmeal-and-fish-oil-prices/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fonds-pierre-castel.org/prix-pierre-castel/edition-2024/" TargetMode="External"/><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hyperlink" Target="https://documents1.worldbank.org/curated/en/099082724062527226/pdf/P1796861ca217605919f1bd282a7f19a206.pdf" TargetMode="External"/><Relationship Id="rId28" Type="http://schemas.openxmlformats.org/officeDocument/2006/relationships/hyperlink" Target="https://wits.worldbank.org/trade/comtrade/en/country/MDG/year/2023/tradeflow/Imports/partner/ALL/product/31"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www.douanes.gov.mg/srcs/uploads/2024/01/Tarif-2024-APRES-LFI-2024.pdf"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www.epa.gov/system/files/documents/2023-12/warm_organic_materials_v16_dec.pdf" TargetMode="External"/><Relationship Id="rId30" Type="http://schemas.openxmlformats.org/officeDocument/2006/relationships/hyperlink" Target="https://doi.org/10.1002/jsfa.8081" TargetMode="External"/><Relationship Id="rId35" Type="http://schemas.openxmlformats.org/officeDocument/2006/relationships/theme" Target="theme/theme1.xml"/><Relationship Id="rId8"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50" normalizeH="0" baseline="0">
                <a:solidFill>
                  <a:schemeClr val="tx1">
                    <a:lumMod val="65000"/>
                    <a:lumOff val="35000"/>
                  </a:schemeClr>
                </a:solidFill>
                <a:latin typeface="Arial Narrow" panose="020B0606020202030204" pitchFamily="34" charset="0"/>
                <a:ea typeface="+mj-ea"/>
                <a:cs typeface="+mj-cs"/>
              </a:defRPr>
            </a:pPr>
            <a:r>
              <a:rPr lang="en-US" sz="1400">
                <a:latin typeface="Arial Narrow" panose="020B0606020202030204" pitchFamily="34" charset="0"/>
              </a:rPr>
              <a:t>Ventes de BSF sur 3 ans</a:t>
            </a:r>
          </a:p>
        </c:rich>
      </c:tx>
      <c:overlay val="0"/>
      <c:spPr>
        <a:noFill/>
        <a:ln>
          <a:noFill/>
        </a:ln>
        <a:effectLst/>
      </c:spPr>
      <c:txPr>
        <a:bodyPr rot="0" spcFirstLastPara="1" vertOverflow="ellipsis" vert="horz" wrap="square" anchor="ctr" anchorCtr="1"/>
        <a:lstStyle/>
        <a:p>
          <a:pPr>
            <a:defRPr sz="1400" b="0" i="0" u="none" strike="noStrike" kern="1200" cap="none" spc="50" normalizeH="0" baseline="0">
              <a:solidFill>
                <a:schemeClr val="tx1">
                  <a:lumMod val="65000"/>
                  <a:lumOff val="35000"/>
                </a:schemeClr>
              </a:solidFill>
              <a:latin typeface="Arial Narrow" panose="020B0606020202030204" pitchFamily="34" charset="0"/>
              <a:ea typeface="+mj-ea"/>
              <a:cs typeface="+mj-cs"/>
            </a:defRPr>
          </a:pPr>
          <a:endParaRPr lang="LID4096"/>
        </a:p>
      </c:txPr>
    </c:title>
    <c:autoTitleDeleted val="0"/>
    <c:plotArea>
      <c:layout/>
      <c:barChart>
        <c:barDir val="col"/>
        <c:grouping val="clustered"/>
        <c:varyColors val="0"/>
        <c:ser>
          <c:idx val="0"/>
          <c:order val="0"/>
          <c:tx>
            <c:strRef>
              <c:f>Sheet1!$B$1</c:f>
              <c:strCache>
                <c:ptCount val="1"/>
                <c:pt idx="0">
                  <c:v>2024</c:v>
                </c:pt>
              </c:strCache>
            </c:strRef>
          </c:tx>
          <c:spPr>
            <a:solidFill>
              <a:schemeClr val="accent2">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Narrow" panose="020B0606020202030204" pitchFamily="34" charset="0"/>
                    <a:ea typeface="+mn-ea"/>
                    <a:cs typeface="+mn-cs"/>
                  </a:defRPr>
                </a:pPr>
                <a:endParaRPr lang="LID4096"/>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FDA</c:v>
                </c:pt>
                <c:pt idx="1">
                  <c:v>Revendeurs</c:v>
                </c:pt>
                <c:pt idx="2">
                  <c:v>Entreprises</c:v>
                </c:pt>
                <c:pt idx="3">
                  <c:v>Clients directs</c:v>
                </c:pt>
              </c:strCache>
            </c:strRef>
          </c:cat>
          <c:val>
            <c:numRef>
              <c:f>Sheet1!$B$2:$B$5</c:f>
              <c:numCache>
                <c:formatCode>General</c:formatCode>
                <c:ptCount val="4"/>
                <c:pt idx="0">
                  <c:v>50</c:v>
                </c:pt>
                <c:pt idx="1">
                  <c:v>0</c:v>
                </c:pt>
                <c:pt idx="2">
                  <c:v>1</c:v>
                </c:pt>
                <c:pt idx="3">
                  <c:v>2</c:v>
                </c:pt>
              </c:numCache>
            </c:numRef>
          </c:val>
          <c:extLst>
            <c:ext xmlns:c16="http://schemas.microsoft.com/office/drawing/2014/chart" uri="{C3380CC4-5D6E-409C-BE32-E72D297353CC}">
              <c16:uniqueId val="{00000000-CBC0-4120-A6C6-D7045C811A6F}"/>
            </c:ext>
          </c:extLst>
        </c:ser>
        <c:ser>
          <c:idx val="1"/>
          <c:order val="1"/>
          <c:tx>
            <c:strRef>
              <c:f>Sheet1!$C$1</c:f>
              <c:strCache>
                <c:ptCount val="1"/>
                <c:pt idx="0">
                  <c:v>2025</c:v>
                </c:pt>
              </c:strCache>
            </c:strRef>
          </c:tx>
          <c:spPr>
            <a:solidFill>
              <a:schemeClr val="accent4">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Narrow" panose="020B0606020202030204" pitchFamily="34" charset="0"/>
                    <a:ea typeface="+mn-ea"/>
                    <a:cs typeface="+mn-cs"/>
                  </a:defRPr>
                </a:pPr>
                <a:endParaRPr lang="LID4096"/>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FDA</c:v>
                </c:pt>
                <c:pt idx="1">
                  <c:v>Revendeurs</c:v>
                </c:pt>
                <c:pt idx="2">
                  <c:v>Entreprises</c:v>
                </c:pt>
                <c:pt idx="3">
                  <c:v>Clients directs</c:v>
                </c:pt>
              </c:strCache>
            </c:strRef>
          </c:cat>
          <c:val>
            <c:numRef>
              <c:f>Sheet1!$C$2:$C$5</c:f>
              <c:numCache>
                <c:formatCode>General</c:formatCode>
                <c:ptCount val="4"/>
                <c:pt idx="0">
                  <c:v>48</c:v>
                </c:pt>
                <c:pt idx="1">
                  <c:v>19</c:v>
                </c:pt>
                <c:pt idx="2">
                  <c:v>2</c:v>
                </c:pt>
                <c:pt idx="3">
                  <c:v>6</c:v>
                </c:pt>
              </c:numCache>
            </c:numRef>
          </c:val>
          <c:extLst>
            <c:ext xmlns:c16="http://schemas.microsoft.com/office/drawing/2014/chart" uri="{C3380CC4-5D6E-409C-BE32-E72D297353CC}">
              <c16:uniqueId val="{00000001-CBC0-4120-A6C6-D7045C811A6F}"/>
            </c:ext>
          </c:extLst>
        </c:ser>
        <c:ser>
          <c:idx val="2"/>
          <c:order val="2"/>
          <c:tx>
            <c:strRef>
              <c:f>Sheet1!$D$1</c:f>
              <c:strCache>
                <c:ptCount val="1"/>
                <c:pt idx="0">
                  <c:v>2026</c:v>
                </c:pt>
              </c:strCache>
            </c:strRef>
          </c:tx>
          <c:spPr>
            <a:solidFill>
              <a:schemeClr val="accent6">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Narrow" panose="020B0606020202030204" pitchFamily="34" charset="0"/>
                    <a:ea typeface="+mn-ea"/>
                    <a:cs typeface="+mn-cs"/>
                  </a:defRPr>
                </a:pPr>
                <a:endParaRPr lang="LID4096"/>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4"/>
                <c:pt idx="0">
                  <c:v>FDA</c:v>
                </c:pt>
                <c:pt idx="1">
                  <c:v>Revendeurs</c:v>
                </c:pt>
                <c:pt idx="2">
                  <c:v>Entreprises</c:v>
                </c:pt>
                <c:pt idx="3">
                  <c:v>Clients directs</c:v>
                </c:pt>
              </c:strCache>
            </c:strRef>
          </c:cat>
          <c:val>
            <c:numRef>
              <c:f>Sheet1!$D$2:$D$5</c:f>
              <c:numCache>
                <c:formatCode>General</c:formatCode>
                <c:ptCount val="4"/>
                <c:pt idx="0">
                  <c:v>12</c:v>
                </c:pt>
                <c:pt idx="1">
                  <c:v>15</c:v>
                </c:pt>
                <c:pt idx="2">
                  <c:v>14</c:v>
                </c:pt>
                <c:pt idx="3">
                  <c:v>12</c:v>
                </c:pt>
              </c:numCache>
            </c:numRef>
          </c:val>
          <c:extLst>
            <c:ext xmlns:c16="http://schemas.microsoft.com/office/drawing/2014/chart" uri="{C3380CC4-5D6E-409C-BE32-E72D297353CC}">
              <c16:uniqueId val="{00000002-CBC0-4120-A6C6-D7045C811A6F}"/>
            </c:ext>
          </c:extLst>
        </c:ser>
        <c:dLbls>
          <c:dLblPos val="inEnd"/>
          <c:showLegendKey val="0"/>
          <c:showVal val="1"/>
          <c:showCatName val="0"/>
          <c:showSerName val="0"/>
          <c:showPercent val="0"/>
          <c:showBubbleSize val="0"/>
        </c:dLbls>
        <c:gapWidth val="80"/>
        <c:overlap val="25"/>
        <c:axId val="1554952064"/>
        <c:axId val="1554950144"/>
      </c:barChart>
      <c:catAx>
        <c:axId val="1554952064"/>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cap="none" spc="20" normalizeH="0" baseline="0">
                <a:solidFill>
                  <a:schemeClr val="tx1">
                    <a:lumMod val="65000"/>
                    <a:lumOff val="35000"/>
                  </a:schemeClr>
                </a:solidFill>
                <a:latin typeface="Arial Narrow" panose="020B0606020202030204" pitchFamily="34" charset="0"/>
                <a:ea typeface="+mn-ea"/>
                <a:cs typeface="+mn-cs"/>
              </a:defRPr>
            </a:pPr>
            <a:endParaRPr lang="LID4096"/>
          </a:p>
        </c:txPr>
        <c:crossAx val="1554950144"/>
        <c:crosses val="autoZero"/>
        <c:auto val="1"/>
        <c:lblAlgn val="ctr"/>
        <c:lblOffset val="100"/>
        <c:noMultiLvlLbl val="0"/>
      </c:catAx>
      <c:valAx>
        <c:axId val="1554950144"/>
        <c:scaling>
          <c:orientation val="minMax"/>
        </c:scaling>
        <c:delete val="0"/>
        <c:axPos val="l"/>
        <c:majorGridlines>
          <c:spPr>
            <a:ln w="9525" cap="flat" cmpd="sng" algn="ctr">
              <a:no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LID4096"/>
          </a:p>
        </c:txPr>
        <c:crossAx val="1554952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Narrow" panose="020B0606020202030204" pitchFamily="34" charset="0"/>
              <a:ea typeface="+mn-ea"/>
              <a:cs typeface="+mn-cs"/>
            </a:defRPr>
          </a:pPr>
          <a:endParaRPr lang="LID4096"/>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noFill/>
      <a:round/>
    </a:ln>
    <a:effectLst/>
  </c:spPr>
  <c:txPr>
    <a:bodyPr/>
    <a:lstStyle/>
    <a:p>
      <a:pPr>
        <a:defRPr/>
      </a:pPr>
      <a:endParaRPr lang="LID4096"/>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1319</TotalTime>
  <Pages>69</Pages>
  <Words>22650</Words>
  <Characters>129111</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Bio Source Farm — Business Plan 2026</vt:lpstr>
    </vt:vector>
  </TitlesOfParts>
  <Company/>
  <LinksUpToDate>false</LinksUpToDate>
  <CharactersWithSpaces>151459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 Source Farm — Business Plan 2026</dc:title>
  <dc:creator/>
  <dc:description>Business plan institutionnel — Programme ACCELEREO du PIC3 (Banque mondiale)</dc:description>
  <cp:lastModifiedBy>Tendry Ny-Aina</cp:lastModifiedBy>
  <cp:revision>41</cp:revision>
  <dcterms:created xsi:type="dcterms:W3CDTF">2026-08-27T20:00:00Z</dcterms:created>
  <dcterms:modified xsi:type="dcterms:W3CDTF">2026-09-01T12:37:00Z</dcterms:modified>
</cp:coreProperties>
</file>