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Домашняя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работа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vh3jroy630v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ISA. Ассемблер, дизассемблер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знакомство с архитектурой набора команд RISC-V.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Инструментарий и требования к работе: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работа может быть выполнена на любом из следующих языков: 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C++, Python, Java.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учить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систему кодирования команд RISC-V;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структуру elf-файла;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Написать программу-транслятор, с помощью которой можно преобразовывать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машинный код в текст программы на языке ассемблера.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Теоретическая часть (порядок выполнения работы п.1).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работы написанного кода (пункт 2 из Порядка выполнения, экспериментальная 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 указанием языка программирования в самом начале части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 результата работы написанной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Листинг кода с указанием компилятора/интерпретатора (подробнее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кода в отчёте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3v8pko2fwo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Примечания: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Плагиат карается отрицательными баллами за всю работу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Код можно расшарить либо прикрепив исходники архивом в форму, либо как ссылку на репозиторий (git – репозиторий должен быть закрытым и расшаренным с RonoveRaum).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hhcmkac9xgk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Дополнительные сведения (код)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24"/>
          <w:szCs w:val="24"/>
          <w:rtl w:val="0"/>
        </w:rPr>
        <w:t xml:space="preserve">hw4.exe &lt;имя_входного_elf_файла&gt; &lt;имя_выходного_файла&gt;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Корректно выделяется и освобождается память, закрываются файлы, есть обработка ошибок: не удалось открыть файл, формат файла не поддерживается.</w:t>
        <w:br w:type="textWrapping"/>
        <w:t xml:space="preserve">Если программе передано значение, которое не поддерживается – следует сообщить об ошибке;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программе можно вызывать только стандартные библиотеки (например, &lt;bits/stdc++.h&gt;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таковой не является и ее использование влечет за собой потерю баллов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программа использует библиотеки, которые явно не указаны в файле с исходным кодом (например, &lt;algorithm&gt;), то за это также будут снижаться баллы;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Если во входном файле встречается команда, которая не распознается программой, то следует выводить unknown_command.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xfqo3yiakik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Дополнительные сведения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RISC-V RV32I, RV32M, RVC (нас интересуют только те команды, которые являются сжатой версией команд из RV32I и RV32M).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RVC можно ознакомиться по ссылке: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waterman-ms.pdf (berkeley.edu)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Кодирование: little endian.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ELF file: 32 бита.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Обрабатывать нужно только секции .text, .symtable.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строки кода указывается её адрес в hex формате (16 СС).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Обозначение меток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нужно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 Symbol Table (.symtable). Если же название метки там не найдено, то используется следующее обозначение: LOC_%05x, например, LOC_00000, LOC_00034.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метки перед названием указывается адрес (пример ниже).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k5nn7nrc1pzp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Шаблон файла дизассемблера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должен состоять из двух частей: .text и .symtab, отделенных друг от друга одной пустой строкой.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приведены комментарии (строки, начинающиеся с ;) и форматы оформления.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формат строк указан по правилам printf (Си)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.text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строки оформляются в следующем формате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с меткой: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"%08x %10s: %s %s, %s, %s\n"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без метки: метка является пустой строкой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числа - десятичная запись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load/store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"%08x %10s: %s %s, %s(%s)\n"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для c.addi*sp* команд sp регистр прописывается явно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примеры: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00010078     _start: addi a0, zero, 0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0001007a             lui a1, 65536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00010080             lw a0, -24(s0)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00010088             c.addi4spn a0, sp, 8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между секциями text и symtab одна пустая строка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37">
          <w:pPr>
            <w:spacing w:line="240" w:lineRule="auto"/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.symtab</w:t>
          </w:r>
        </w:p>
      </w:sdtContent>
    </w:sdt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заголовок таблицы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"%s %-15s %7s %-8s %-8s %-8s %6s %s\n"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строки таблицы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"[%4i] 0x%-15X %5i %-8s %-8s %-8s %6s %s\n"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примеры: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Symbol Value            Size Type     Bind     Vis       Index Name                                                     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0] 0x0                 0 NOTYPE   LOCAL    DEFAULT   UNDEF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1] 0x100b0             0 SECTION  LOCAL    DEFAULT       1 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6] 0x0                 0 FILE     LOCAL    DEFAULT     ABS test.c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7] 0x11168             4 OBJECT   LOCAL    DEFAULT       3 counter.0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8] 0x11967             0 NOTYPE   GLOBAL   DEFAULT     ABS __global_pointer$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   9] 0x11167             0 NOTYPE   GLOBAL   DEFAULT       2 __SDATA_BEGIN__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Остальные комментарии: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примеры дизасма fence можно найти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здесь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в рамках этой работы команды fence можно не обрабатывать (в тестах их также не будет).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Псевдонимы команд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псевдонимы команд парсить не нужно.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Вывод меток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хочется всегда красиво выводить метки, особенно если их размер больше 10 символов, то можно посчитать размер метки и использовать вместо 10 полученное значение (это изменение не отразиться на баллах за работу, ибо проверяющий в случае чего, сможет поправить ваш формат вывода для тестов при необходимости).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29.11.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Вывод регистров: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 4.12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допустимые варианты вывода RVC: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c.or a1, a3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c.or a1, a1, a3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(ecall, ebreak, csr...) являются частью RV32I и их тоже нужно дизассемблировать.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31sbm2hfxu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3gban6maokt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Оформление кода в отчёте</w:t>
      </w:r>
    </w:p>
    <w:p w:rsidR="00000000" w:rsidDel="00000000" w:rsidP="00000000" w:rsidRDefault="00000000" w:rsidRPr="00000000" w14:paraId="00000052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Никаких скринов кода – код в отчет добавляется только текстом;</w:t>
      </w:r>
    </w:p>
    <w:p w:rsidR="00000000" w:rsidDel="00000000" w:rsidP="00000000" w:rsidRDefault="00000000" w:rsidRPr="00000000" w14:paraId="0000005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Шрифт: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Consolas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(размер 10-14 на ваше усмотрение);</w:t>
      </w:r>
    </w:p>
    <w:p w:rsidR="00000000" w:rsidDel="00000000" w:rsidP="00000000" w:rsidRDefault="00000000" w:rsidRPr="00000000" w14:paraId="0000005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Выравнивание по левому краю;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Подсветка кода допустима. Текст должен быть читаемым (а не светло-серый текст, который без выделения на белом не разобрать);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раздел Листинг код вставляется полностью в следующем виде: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&lt;Название файла&gt;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&lt;Его содержимое&gt;</w:t>
        <w:br w:type="textWrapping"/>
        <w:t xml:space="preserve">Файлы исходных кодов разделяются новой строкой.</w:t>
        <w:br w:type="textWrapping"/>
        <w:t xml:space="preserve">Например,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rtl w:val="0"/>
        </w:rPr>
        <w:br w:type="textWrapping"/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281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return 0;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40" w:lineRule="auto"/>
            <w:ind w:left="426" w:firstLine="0"/>
            <w:rPr>
              <w:rFonts w:ascii="Consolas" w:cs="Consolas" w:eastAsia="Consolas" w:hAnsi="Consolas"/>
              <w:color w:val="000000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color w:val="000000"/>
              <w:rtl w:val="0"/>
            </w:rPr>
            <w:t xml:space="preserve">tmain.cpp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E">
      <w:pPr>
        <w:spacing w:after="0" w:line="240" w:lineRule="auto"/>
        <w:ind w:firstLine="426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tmain()</w:t>
      </w:r>
    </w:p>
    <w:p w:rsidR="00000000" w:rsidDel="00000000" w:rsidP="00000000" w:rsidRDefault="00000000" w:rsidRPr="00000000" w14:paraId="0000005F">
      <w:pPr>
        <w:spacing w:after="0" w:line="240" w:lineRule="auto"/>
        <w:ind w:firstLine="426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666;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}</w:t>
        <w:tab/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Фон белый (актуально для тех, у кого копипаста кода идет вместе с фоном темной темы из IDE).</w:t>
      </w:r>
    </w:p>
    <w:p w:rsidR="00000000" w:rsidDel="00000000" w:rsidP="00000000" w:rsidRDefault="00000000" w:rsidRPr="00000000" w14:paraId="0000006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nou8yij4feu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Оформление дизассемблера в отчёте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работы программы оформляется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Consolas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(размер 10-14 на ваше усмотрение);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Интервал: 1.0;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Выравнивание по левому краю;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26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Остальное зафиксировано в Шаблоне файла дизассемблера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nsolas" w:cs="Consolas" w:eastAsia="Consolas" w:hAnsi="Consolas"/>
          <w:color w:val="a31515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5212"/>
  </w:style>
  <w:style w:type="paragraph" w:styleId="1">
    <w:name w:val="heading 1"/>
    <w:basedOn w:val="a"/>
    <w:next w:val="a"/>
    <w:link w:val="10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F41E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Pr>
      <w:color w:val="0563c1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DF41E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3416AA"/>
    <w:rPr>
      <w:color w:val="605e5c"/>
      <w:shd w:color="auto" w:fill="e1dfdd" w:val="clear"/>
    </w:rPr>
  </w:style>
  <w:style w:type="paragraph" w:styleId="a6">
    <w:name w:val="Normal (Web)"/>
    <w:basedOn w:val="a"/>
    <w:uiPriority w:val="99"/>
    <w:semiHidden w:val="1"/>
    <w:unhideWhenUsed w:val="1"/>
    <w:rsid w:val="00E863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7">
    <w:name w:val="Emphasis"/>
    <w:basedOn w:val="a0"/>
    <w:uiPriority w:val="20"/>
    <w:qFormat w:val="1"/>
    <w:rsid w:val="00D90E8A"/>
    <w:rPr>
      <w:i w:val="1"/>
      <w:iCs w:val="1"/>
    </w:rPr>
  </w:style>
  <w:style w:type="character" w:styleId="a8">
    <w:name w:val="FollowedHyperlink"/>
    <w:basedOn w:val="a0"/>
    <w:uiPriority w:val="99"/>
    <w:semiHidden w:val="1"/>
    <w:unhideWhenUsed w:val="1"/>
    <w:rsid w:val="000E409F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eople.eecs.berkeley.edu/~krste/papers/waterman-ms.pdf" TargetMode="External"/><Relationship Id="rId8" Type="http://schemas.openxmlformats.org/officeDocument/2006/relationships/hyperlink" Target="https://riscv.org/wp-content/uploads/2018/05/14.25-15.00-RISCVMemoryModel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5Ad3xAwCugq7kC/rRLZWDw6bxQ==">AMUW2mUOr55HF2Nt/K9VK2JMtizwVbp9hO+ANgJSvt6bvukSb2mXOb61DDkntU6zpsFCOF2dzKmVPH+z/vv/CMq56KmaguOd5/+e343OIihzbnsOda+n4cDEdLh/4ItE0feuoIjLxPJjYHbTd3vwYWZ35VNHCG4aEr96mAresoVyhHA4pPN6gRTDRKcxwTMwG/Eo7gf0PcSxYnmhc626E35ToynH6cDgG7cVrqqgCVWgNeyXOvaUXb6C5OkW0dpsdOaNTVsPW/DbeeP/utLE4m/OGOzR9c9nHbAPVRoNd4Jw7wQP/LtMif5hPNhgVzzBjng5hNcYM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2020-11-28T12:51:00Z</dcterms:created>
  <dc:creator>Яковлева Виктория Евгеньевна</dc:creator>
</cp:coreProperties>
</file>