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Product Requirements Document</w:t>
      </w:r>
    </w:p>
    <w:p>
      <w:pPr>
        <w:spacing w:after="40"/>
      </w:pPr>
      <w:r>
        <w:rPr>
          <w:b/>
          <w:bCs/>
          <w:color w:val="374151"/>
          <w:sz w:val="30"/>
          <w:szCs w:val="30"/>
        </w:rPr>
        <w:t xml:space="preserve">Pari-Mutuel Prediction Market Escrow</w:t>
      </w:r>
    </w:p>
    <w:p>
      <w:pPr>
        <w:spacing w:after="400"/>
      </w:pPr>
      <w:r>
        <w:rPr>
          <w:i/>
          <w:iCs/>
          <w:color w:val="6B7280"/>
          <w:sz w:val="20"/>
          <w:szCs w:val="20"/>
        </w:rPr>
        <w:t xml:space="preserve">On Robinhood Chain · Draft v0.1 · September 2026</w:t>
      </w:r>
    </w:p>
    <w:p>
      <w:pPr>
        <w:pStyle w:val="Heading1"/>
        <w:spacing w:after="160" w:before="320"/>
      </w:pPr>
      <w:r>
        <w:t xml:space="preserve">1. Summary</w:t>
      </w:r>
    </w:p>
    <w:p>
      <w:pPr>
        <w:spacing w:after="140"/>
      </w:pPr>
      <w:r>
        <w:t xml:space="preserve">A pari-mutuel prediction market where users bet a fixed project token on the outcome of a round — Win, Draw, or Lose — before a round's cutoff time. Winners split the combined stakes of all losing outcomes, proportional to their own stake, plus get their original stake back. An off-chain cron job resolves each round at 1am by pushing the real-world outcome on-chain. Deployed on Robinhood Chain, Robinhood's EVM-compatible Layer-2.</w:t>
      </w:r>
    </w:p>
    <w:p>
      <w:pPr>
        <w:pStyle w:val="Heading1"/>
        <w:spacing w:after="160" w:before="320"/>
      </w:pPr>
      <w:r>
        <w:t xml:space="preserve">2. Goals &amp; Non-Goals</w:t>
      </w:r>
    </w:p>
    <w:p>
      <w:pPr>
        <w:pStyle w:val="Heading2"/>
        <w:spacing w:after="120" w:before="240"/>
      </w:pPr>
      <w:r>
        <w:t xml:space="preserve">Goals</w:t>
      </w:r>
    </w:p>
    <w:p>
      <w:pPr>
        <w:pStyle w:val="ListParagraph"/>
        <w:numPr>
          <w:ilvl w:val="0"/>
          <w:numId w:val="2"/>
        </w:numPr>
        <w:spacing w:after="60"/>
      </w:pPr>
      <w:r>
        <w:t xml:space="preserve">Let an admin launch a round with an end time.</w:t>
      </w:r>
    </w:p>
    <w:p>
      <w:pPr>
        <w:pStyle w:val="ListParagraph"/>
        <w:numPr>
          <w:ilvl w:val="0"/>
          <w:numId w:val="2"/>
        </w:numPr>
        <w:spacing w:after="60"/>
      </w:pPr>
      <w:r>
        <w:t xml:space="preserve">Let users bet on Win / Draw / Lose with a specified amount before the round's end time.</w:t>
      </w:r>
    </w:p>
    <w:p>
      <w:pPr>
        <w:pStyle w:val="ListParagraph"/>
        <w:numPr>
          <w:ilvl w:val="0"/>
          <w:numId w:val="2"/>
        </w:numPr>
        <w:spacing w:after="60"/>
      </w:pPr>
      <w:r>
        <w:t xml:space="preserve">Let users withdraw their bet in full any time before the end time.</w:t>
      </w:r>
    </w:p>
    <w:p>
      <w:pPr>
        <w:pStyle w:val="ListParagraph"/>
        <w:numPr>
          <w:ilvl w:val="0"/>
          <w:numId w:val="2"/>
        </w:numPr>
        <w:spacing w:after="60"/>
      </w:pPr>
      <w:r>
        <w:t xml:space="preserve">Resolve each round's outcome via a trusted, narrowly-scoped cron/resolver wallet.</w:t>
      </w:r>
    </w:p>
    <w:p>
      <w:pPr>
        <w:pStyle w:val="ListParagraph"/>
        <w:numPr>
          <w:ilvl w:val="0"/>
          <w:numId w:val="2"/>
        </w:numPr>
        <w:spacing w:after="60"/>
      </w:pPr>
      <w:r>
        <w:t xml:space="preserve">Pay out winners pari-mutuel style: stake back + a proportional share of all losing pools.</w:t>
      </w:r>
    </w:p>
    <w:p>
      <w:pPr>
        <w:pStyle w:val="ListParagraph"/>
        <w:numPr>
          <w:ilvl w:val="0"/>
          <w:numId w:val="2"/>
        </w:numPr>
        <w:spacing w:after="60"/>
      </w:pPr>
      <w:r>
        <w:t xml:space="preserve">Hold funds in escrow safely — no fund loss, no ability for any single compromised key to drain the contract.</w:t>
      </w:r>
    </w:p>
    <w:p>
      <w:pPr>
        <w:pStyle w:val="Heading2"/>
        <w:spacing w:after="120" w:before="240"/>
      </w:pPr>
      <w:r>
        <w:t xml:space="preserve">Non-Goals (v1)</w:t>
      </w:r>
    </w:p>
    <w:p>
      <w:pPr>
        <w:pStyle w:val="ListParagraph"/>
        <w:numPr>
          <w:ilvl w:val="0"/>
          <w:numId w:val="2"/>
        </w:numPr>
        <w:spacing w:after="60"/>
      </w:pPr>
      <w:r>
        <w:t xml:space="preserve">No on-chain price oracle or automated outcome determination — resolution is a trusted cron call.</w:t>
      </w:r>
    </w:p>
    <w:p>
      <w:pPr>
        <w:pStyle w:val="ListParagraph"/>
        <w:numPr>
          <w:ilvl w:val="0"/>
          <w:numId w:val="2"/>
        </w:numPr>
        <w:spacing w:after="60"/>
      </w:pPr>
      <w:r>
        <w:t xml:space="preserve">No support for multiple betting tokens — one fixed ERC20 token.</w:t>
      </w:r>
    </w:p>
    <w:p>
      <w:pPr>
        <w:pStyle w:val="ListParagraph"/>
        <w:numPr>
          <w:ilvl w:val="0"/>
          <w:numId w:val="2"/>
        </w:numPr>
        <w:spacing w:after="60"/>
      </w:pPr>
      <w:r>
        <w:t xml:space="preserve">No partial withdrawals or multiple bets per user per round (see Section 6, Open Decisions).</w:t>
      </w:r>
    </w:p>
    <w:p>
      <w:pPr>
        <w:pStyle w:val="ListParagraph"/>
        <w:numPr>
          <w:ilvl w:val="0"/>
          <w:numId w:val="2"/>
        </w:numPr>
        <w:spacing w:after="60"/>
      </w:pPr>
      <w:r>
        <w:t xml:space="preserve">No on-chain UI/frontend specification — this PRD covers the escrow contract and its off-chain resolver only.</w:t>
      </w:r>
    </w:p>
    <w:p>
      <w:pPr>
        <w:pStyle w:val="Heading1"/>
        <w:spacing w:after="160" w:before="320"/>
      </w:pPr>
      <w:r>
        <w:t xml:space="preserve">3. Users &amp;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00"/>
      </w:tblGrid>
      <w:tr>
        <w:tc>
          <w:tcPr>
            <w:tcW w:type="dxa" w:w="2200"/>
            <w:shd w:fill="1F2937" w:val="clear"/>
            <w:tcMar>
              <w:top w:type="dxa" w:w="80"/>
              <w:left w:type="dxa" w:w="100"/>
              <w:bottom w:type="dxa" w:w="80"/>
              <w:right w:type="dxa" w:w="100"/>
            </w:tcMar>
          </w:tcPr>
          <w:p>
            <w:r>
              <w:rPr>
                <w:b/>
                <w:bCs/>
                <w:color w:val="FFFFFF"/>
                <w:sz w:val="20"/>
                <w:szCs w:val="20"/>
              </w:rPr>
              <w:t xml:space="preserve">Role</w:t>
            </w:r>
          </w:p>
        </w:tc>
        <w:tc>
          <w:tcPr>
            <w:tcW w:type="dxa" w:w="3200"/>
            <w:shd w:fill="1F2937" w:val="clear"/>
            <w:tcMar>
              <w:top w:type="dxa" w:w="80"/>
              <w:left w:type="dxa" w:w="100"/>
              <w:bottom w:type="dxa" w:w="80"/>
              <w:right w:type="dxa" w:w="100"/>
            </w:tcMar>
          </w:tcPr>
          <w:p>
            <w:r>
              <w:rPr>
                <w:b/>
                <w:bCs/>
                <w:color w:val="FFFFFF"/>
                <w:sz w:val="20"/>
                <w:szCs w:val="20"/>
              </w:rPr>
              <w:t xml:space="preserve">Who</w:t>
            </w:r>
          </w:p>
        </w:tc>
        <w:tc>
          <w:tcPr>
            <w:tcW w:type="dxa" w:w="4200"/>
            <w:shd w:fill="1F2937" w:val="clear"/>
            <w:tcMar>
              <w:top w:type="dxa" w:w="80"/>
              <w:left w:type="dxa" w:w="100"/>
              <w:bottom w:type="dxa" w:w="80"/>
              <w:right w:type="dxa" w:w="100"/>
            </w:tcMar>
          </w:tcPr>
          <w:p>
            <w:r>
              <w:rPr>
                <w:b/>
                <w:bCs/>
                <w:color w:val="FFFFFF"/>
                <w:sz w:val="20"/>
                <w:szCs w:val="20"/>
              </w:rPr>
              <w:t xml:space="preserve">Can do</w:t>
            </w:r>
          </w:p>
        </w:tc>
      </w:tr>
      <w:tr>
        <w:tc>
          <w:tcPr>
            <w:tcW w:type="dxa" w:w="2200"/>
            <w:tcMar>
              <w:top w:type="dxa" w:w="80"/>
              <w:left w:type="dxa" w:w="100"/>
              <w:bottom w:type="dxa" w:w="80"/>
              <w:right w:type="dxa" w:w="100"/>
            </w:tcMar>
          </w:tcPr>
          <w:p>
            <w:r>
              <w:rPr>
                <w:b w:val="false"/>
                <w:bCs w:val="false"/>
                <w:sz w:val="20"/>
                <w:szCs w:val="20"/>
              </w:rPr>
              <w:t xml:space="preserve">Bettor</w:t>
            </w:r>
          </w:p>
        </w:tc>
        <w:tc>
          <w:tcPr>
            <w:tcW w:type="dxa" w:w="3200"/>
            <w:tcMar>
              <w:top w:type="dxa" w:w="80"/>
              <w:left w:type="dxa" w:w="100"/>
              <w:bottom w:type="dxa" w:w="80"/>
              <w:right w:type="dxa" w:w="100"/>
            </w:tcMar>
          </w:tcPr>
          <w:p>
            <w:r>
              <w:rPr>
                <w:b w:val="false"/>
                <w:bCs w:val="false"/>
                <w:sz w:val="20"/>
                <w:szCs w:val="20"/>
              </w:rPr>
              <w:t xml:space="preserve">Any wallet holding the project token</w:t>
            </w:r>
          </w:p>
        </w:tc>
        <w:tc>
          <w:tcPr>
            <w:tcW w:type="dxa" w:w="4200"/>
            <w:tcMar>
              <w:top w:type="dxa" w:w="80"/>
              <w:left w:type="dxa" w:w="100"/>
              <w:bottom w:type="dxa" w:w="80"/>
              <w:right w:type="dxa" w:w="100"/>
            </w:tcMar>
          </w:tcPr>
          <w:p>
            <w:r>
              <w:rPr>
                <w:b w:val="false"/>
                <w:bCs w:val="false"/>
                <w:sz w:val="20"/>
                <w:szCs w:val="20"/>
              </w:rPr>
              <w:t xml:space="preserve">Bet, withdraw pre-lock, claim after resolution</w:t>
            </w:r>
          </w:p>
        </w:tc>
      </w:tr>
      <w:tr>
        <w:tc>
          <w:tcPr>
            <w:tcW w:type="dxa" w:w="2200"/>
            <w:tcMar>
              <w:top w:type="dxa" w:w="80"/>
              <w:left w:type="dxa" w:w="100"/>
              <w:bottom w:type="dxa" w:w="80"/>
              <w:right w:type="dxa" w:w="100"/>
            </w:tcMar>
          </w:tcPr>
          <w:p>
            <w:r>
              <w:rPr>
                <w:b w:val="false"/>
                <w:bCs w:val="false"/>
                <w:sz w:val="20"/>
                <w:szCs w:val="20"/>
              </w:rPr>
              <w:t xml:space="preserve">Admin</w:t>
            </w:r>
          </w:p>
        </w:tc>
        <w:tc>
          <w:tcPr>
            <w:tcW w:type="dxa" w:w="3200"/>
            <w:tcMar>
              <w:top w:type="dxa" w:w="80"/>
              <w:left w:type="dxa" w:w="100"/>
              <w:bottom w:type="dxa" w:w="80"/>
              <w:right w:type="dxa" w:w="100"/>
            </w:tcMar>
          </w:tcPr>
          <w:p>
            <w:r>
              <w:rPr>
                <w:b w:val="false"/>
                <w:bCs w:val="false"/>
                <w:sz w:val="20"/>
                <w:szCs w:val="20"/>
              </w:rPr>
              <w:t xml:space="preserve">Founders / ops multisig</w:t>
            </w:r>
          </w:p>
        </w:tc>
        <w:tc>
          <w:tcPr>
            <w:tcW w:type="dxa" w:w="4200"/>
            <w:tcMar>
              <w:top w:type="dxa" w:w="80"/>
              <w:left w:type="dxa" w:w="100"/>
              <w:bottom w:type="dxa" w:w="80"/>
              <w:right w:type="dxa" w:w="100"/>
            </w:tcMar>
          </w:tcPr>
          <w:p>
            <w:r>
              <w:rPr>
                <w:b w:val="false"/>
                <w:bCs w:val="false"/>
                <w:sz w:val="20"/>
                <w:szCs w:val="20"/>
              </w:rPr>
              <w:t xml:space="preserve">Launch rounds, pause new bets, manage roles, (optional) cancel rounds</w:t>
            </w:r>
          </w:p>
        </w:tc>
      </w:tr>
      <w:tr>
        <w:tc>
          <w:tcPr>
            <w:tcW w:type="dxa" w:w="2200"/>
            <w:tcMar>
              <w:top w:type="dxa" w:w="80"/>
              <w:left w:type="dxa" w:w="100"/>
              <w:bottom w:type="dxa" w:w="80"/>
              <w:right w:type="dxa" w:w="100"/>
            </w:tcMar>
          </w:tcPr>
          <w:p>
            <w:r>
              <w:rPr>
                <w:b w:val="false"/>
                <w:bCs w:val="false"/>
                <w:sz w:val="20"/>
                <w:szCs w:val="20"/>
              </w:rPr>
              <w:t xml:space="preserve">Resolver</w:t>
            </w:r>
          </w:p>
        </w:tc>
        <w:tc>
          <w:tcPr>
            <w:tcW w:type="dxa" w:w="3200"/>
            <w:tcMar>
              <w:top w:type="dxa" w:w="80"/>
              <w:left w:type="dxa" w:w="100"/>
              <w:bottom w:type="dxa" w:w="80"/>
              <w:right w:type="dxa" w:w="100"/>
            </w:tcMar>
          </w:tcPr>
          <w:p>
            <w:r>
              <w:rPr>
                <w:b w:val="false"/>
                <w:bCs w:val="false"/>
                <w:sz w:val="20"/>
                <w:szCs w:val="20"/>
              </w:rPr>
              <w:t xml:space="preserve">Automated cron wallet</w:t>
            </w:r>
          </w:p>
        </w:tc>
        <w:tc>
          <w:tcPr>
            <w:tcW w:type="dxa" w:w="4200"/>
            <w:tcMar>
              <w:top w:type="dxa" w:w="80"/>
              <w:left w:type="dxa" w:w="100"/>
              <w:bottom w:type="dxa" w:w="80"/>
              <w:right w:type="dxa" w:w="100"/>
            </w:tcMar>
          </w:tcPr>
          <w:p>
            <w:r>
              <w:rPr>
                <w:b w:val="false"/>
                <w:bCs w:val="false"/>
                <w:sz w:val="20"/>
                <w:szCs w:val="20"/>
              </w:rPr>
              <w:t xml:space="preserve">Report a round's outcome after its end time — nothing else</w:t>
            </w:r>
          </w:p>
        </w:tc>
      </w:tr>
    </w:tbl>
    <w:p>
      <w:pPr>
        <w:spacing w:after="160"/>
      </w:pPr>
    </w:p>
    <w:p>
      <w:pPr>
        <w:spacing w:after="140"/>
      </w:pPr>
      <w:r>
        <w:t xml:space="preserve">Admin and Resolver are deliberately separate roles and separate keys. The resolver runs unattended on a server; it must be capable of nothing beyond reporting an outcome, so that a compromised resolver key cannot move or freeze funds — worst case is a wrong outcome recorded, which is operationally bad but contained and auditable, not a fund-loss event.</w:t>
      </w:r>
    </w:p>
    <w:p>
      <w:pPr>
        <w:pStyle w:val="Heading1"/>
        <w:spacing w:after="160" w:before="320"/>
      </w:pPr>
      <w:r>
        <w:t xml:space="preserve">4. Core Flow</w:t>
      </w:r>
    </w:p>
    <w:p>
      <w:pPr>
        <w:pStyle w:val="Heading2"/>
        <w:spacing w:after="120" w:before="240"/>
      </w:pPr>
      <w:r>
        <w:t xml:space="preserve">4.1 Round lifecycle</w:t>
      </w:r>
    </w:p>
    <w:p>
      <w:pPr>
        <w:pStyle w:val="ListParagraph"/>
        <w:numPr>
          <w:ilvl w:val="0"/>
          <w:numId w:val="2"/>
        </w:numPr>
        <w:spacing w:after="60"/>
      </w:pPr>
      <w:r>
        <w:t xml:space="preserve">OPEN — created by admin via launchRound(endTime). Bets accepted.</w:t>
      </w:r>
    </w:p>
    <w:p>
      <w:pPr>
        <w:pStyle w:val="ListParagraph"/>
        <w:numPr>
          <w:ilvl w:val="0"/>
          <w:numId w:val="2"/>
        </w:numPr>
        <w:spacing w:after="60"/>
      </w:pPr>
      <w:r>
        <w:t xml:space="preserve">LOCKED (implicit) — once block.timestamp passes endTime, no new bets or withdrawals are accepted, but the round has not yet been resolved.</w:t>
      </w:r>
    </w:p>
    <w:p>
      <w:pPr>
        <w:pStyle w:val="ListParagraph"/>
        <w:numPr>
          <w:ilvl w:val="0"/>
          <w:numId w:val="2"/>
        </w:numPr>
        <w:spacing w:after="60"/>
      </w:pPr>
      <w:r>
        <w:t xml:space="preserve">RESOLVED — resolver calls resolveRound(roundId, outcome) any time at or after endTime. Outcome is now final; winners can claim.</w:t>
      </w:r>
    </w:p>
    <w:p>
      <w:pPr>
        <w:pStyle w:val="ListParagraph"/>
        <w:numPr>
          <w:ilvl w:val="0"/>
          <w:numId w:val="2"/>
        </w:numPr>
        <w:spacing w:after="60"/>
      </w:pPr>
      <w:r>
        <w:t xml:space="preserve">CANCELLED (recommended, optional — see Section 6) — admin-only, only while still OPEN. All bettors get a full refund regardless of outcome.</w:t>
      </w:r>
    </w:p>
    <w:p>
      <w:pPr>
        <w:pStyle w:val="Heading2"/>
        <w:spacing w:after="120" w:before="240"/>
      </w:pPr>
      <w:r>
        <w:t xml:space="preserve">4.2 Betting</w:t>
      </w:r>
    </w:p>
    <w:p>
      <w:pPr>
        <w:spacing w:after="140"/>
      </w:pPr>
      <w:r>
        <w:t xml:space="preserve">A user calls placeBet(roundId, outcome, amount) with amount of the project token approved for transfer. The contract checks the round exists, is still OPEN, and block.timestamp is before endTime, then pulls the tokens into escrow and records the bet against that outcome's pool.</w:t>
      </w:r>
    </w:p>
    <w:p>
      <w:pPr>
        <w:pStyle w:val="Heading2"/>
        <w:spacing w:after="120" w:before="240"/>
      </w:pPr>
      <w:r>
        <w:t xml:space="preserve">4.3 Withdrawal</w:t>
      </w:r>
    </w:p>
    <w:p>
      <w:pPr>
        <w:spacing w:after="140"/>
      </w:pPr>
      <w:r>
        <w:t xml:space="preserve">A user calls withdrawBet(roundId) any time before endTime to pull their full stake back out and remove it from that outcome's pool. There is no withdrawal once the round has passed its end time, matching the stated requirement exactly (“bets withdrawal if endtime has not reached”).</w:t>
      </w:r>
    </w:p>
    <w:p>
      <w:pPr>
        <w:pStyle w:val="Heading2"/>
        <w:spacing w:after="120" w:before="240"/>
      </w:pPr>
      <w:r>
        <w:t xml:space="preserve">4.4 Resolution</w:t>
      </w:r>
    </w:p>
    <w:p>
      <w:pPr>
        <w:spacing w:after="140"/>
      </w:pPr>
      <w:r>
        <w:t xml:space="preserve">At 1am, an off-chain cron job determines each due round's real-world outcome and calls resolveRound on-chain for every round whose endTime has passed and which is still OPEN. This only records the outcome — no funds move at resolution time. Payout is pull-based: each winner claims individually.</w:t>
      </w:r>
    </w:p>
    <w:p>
      <w:pPr>
        <w:pStyle w:val="Heading2"/>
        <w:spacing w:after="120" w:before="240"/>
      </w:pPr>
      <w:r>
        <w:t xml:space="preserve">4.5 Claiming</w:t>
      </w:r>
    </w:p>
    <w:p>
      <w:pPr>
        <w:spacing w:after="140"/>
      </w:pPr>
      <w:r>
        <w:t xml:space="preserve">After resolution, any bettor (winner or loser) can call claim(roundId). Losing bets return 0. Winning bets return the bettor's own stake plus their proportional share of both losing pools combined, per the formula in Section 5.</w:t>
      </w:r>
    </w:p>
    <w:p>
      <w:pPr>
        <w:pStyle w:val="Heading1"/>
        <w:spacing w:after="160" w:before="320"/>
      </w:pPr>
      <w:r>
        <w:t xml:space="preserve">5. Payout Model (Pari-Mutuel)</w:t>
      </w:r>
    </w:p>
    <w:p>
      <w:pPr>
        <w:spacing w:after="140"/>
      </w:pPr>
      <w:r>
        <w:rPr>
          <w:b/>
          <w:bCs/>
        </w:rPr>
        <w:t xml:space="preserve">Confirmed rule: winners receive their original stake back, plus a share of the combined losing pools (both other outcomes) proportional to their share of the winning pool.</w:t>
      </w:r>
    </w:p>
    <w:p>
      <w:pPr>
        <w:spacing w:after="60"/>
      </w:pPr>
    </w:p>
    <w:p>
      <w:pPr>
        <w:spacing w:after="140"/>
      </w:pPr>
      <w:r>
        <w:t xml:space="preserve">For a bettor with stake s on the winning outcome, where winningPool is the total staked on the winning outcome and losingPool is everything staked on the other two outcomes combined:</w:t>
      </w:r>
    </w:p>
    <w:p>
      <w:pPr>
        <w:spacing w:after="160"/>
      </w:pPr>
      <w:r>
        <w:rPr>
          <w:b/>
          <w:bCs/>
          <w:i/>
          <w:iCs/>
          <w:sz w:val="22"/>
          <w:szCs w:val="22"/>
        </w:rPr>
        <w:t xml:space="preserve">payout = s + s × (losingPool / winningPool)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1F2937" w:val="clear"/>
            <w:tcMar>
              <w:top w:type="dxa" w:w="80"/>
              <w:left w:type="dxa" w:w="100"/>
              <w:bottom w:type="dxa" w:w="80"/>
              <w:right w:type="dxa" w:w="100"/>
            </w:tcMar>
          </w:tcPr>
          <w:p>
            <w:r>
              <w:rPr>
                <w:b/>
                <w:bCs/>
                <w:color w:val="FFFFFF"/>
                <w:sz w:val="20"/>
                <w:szCs w:val="20"/>
              </w:rPr>
              <w:t xml:space="preserve">Scenario</w:t>
            </w:r>
          </w:p>
        </w:tc>
        <w:tc>
          <w:tcPr>
            <w:tcW w:type="dxa" w:w="6000"/>
            <w:shd w:fill="1F2937" w:val="clear"/>
            <w:tcMar>
              <w:top w:type="dxa" w:w="80"/>
              <w:left w:type="dxa" w:w="100"/>
              <w:bottom w:type="dxa" w:w="80"/>
              <w:right w:type="dxa" w:w="100"/>
            </w:tcMar>
          </w:tcPr>
          <w:p>
            <w:r>
              <w:rPr>
                <w:b/>
                <w:bCs/>
                <w:color w:val="FFFFFF"/>
                <w:sz w:val="20"/>
                <w:szCs w:val="20"/>
              </w:rPr>
              <w:t xml:space="preserve">Result</w:t>
            </w:r>
          </w:p>
        </w:tc>
      </w:tr>
      <w:tr>
        <w:tc>
          <w:tcPr>
            <w:tcW w:type="dxa" w:w="3600"/>
            <w:tcMar>
              <w:top w:type="dxa" w:w="80"/>
              <w:left w:type="dxa" w:w="100"/>
              <w:bottom w:type="dxa" w:w="80"/>
              <w:right w:type="dxa" w:w="100"/>
            </w:tcMar>
          </w:tcPr>
          <w:p>
            <w:r>
              <w:rPr>
                <w:b w:val="false"/>
                <w:bCs w:val="false"/>
                <w:sz w:val="20"/>
                <w:szCs w:val="20"/>
              </w:rPr>
              <w:t xml:space="preserve">Normal 3-way split, all pools non-empty</w:t>
            </w:r>
          </w:p>
        </w:tc>
        <w:tc>
          <w:tcPr>
            <w:tcW w:type="dxa" w:w="6000"/>
            <w:tcMar>
              <w:top w:type="dxa" w:w="80"/>
              <w:left w:type="dxa" w:w="100"/>
              <w:bottom w:type="dxa" w:w="80"/>
              <w:right w:type="dxa" w:w="100"/>
            </w:tcMar>
          </w:tcPr>
          <w:p>
            <w:r>
              <w:rPr>
                <w:b w:val="false"/>
                <w:bCs w:val="false"/>
                <w:sz w:val="20"/>
                <w:szCs w:val="20"/>
              </w:rPr>
              <w:t xml:space="preserve">Each winner gets stake back + proportional cut of the other two pools combined</w:t>
            </w:r>
          </w:p>
        </w:tc>
      </w:tr>
      <w:tr>
        <w:tc>
          <w:tcPr>
            <w:tcW w:type="dxa" w:w="3600"/>
            <w:tcMar>
              <w:top w:type="dxa" w:w="80"/>
              <w:left w:type="dxa" w:w="100"/>
              <w:bottom w:type="dxa" w:w="80"/>
              <w:right w:type="dxa" w:w="100"/>
            </w:tcMar>
          </w:tcPr>
          <w:p>
            <w:r>
              <w:rPr>
                <w:b w:val="false"/>
                <w:bCs w:val="false"/>
                <w:sz w:val="20"/>
                <w:szCs w:val="20"/>
              </w:rPr>
              <w:t xml:space="preserve">No one bet on the losing side(s)</w:t>
            </w:r>
          </w:p>
        </w:tc>
        <w:tc>
          <w:tcPr>
            <w:tcW w:type="dxa" w:w="6000"/>
            <w:tcMar>
              <w:top w:type="dxa" w:w="80"/>
              <w:left w:type="dxa" w:w="100"/>
              <w:bottom w:type="dxa" w:w="80"/>
              <w:right w:type="dxa" w:w="100"/>
            </w:tcMar>
          </w:tcPr>
          <w:p>
            <w:r>
              <w:rPr>
                <w:b w:val="false"/>
                <w:bCs w:val="false"/>
                <w:sz w:val="20"/>
                <w:szCs w:val="20"/>
              </w:rPr>
              <w:t xml:space="preserve">Winners get exactly their stake back — no profit, no loss (falls out of the formula automatically)</w:t>
            </w:r>
          </w:p>
        </w:tc>
      </w:tr>
      <w:tr>
        <w:tc>
          <w:tcPr>
            <w:tcW w:type="dxa" w:w="3600"/>
            <w:tcMar>
              <w:top w:type="dxa" w:w="80"/>
              <w:left w:type="dxa" w:w="100"/>
              <w:bottom w:type="dxa" w:w="80"/>
              <w:right w:type="dxa" w:w="100"/>
            </w:tcMar>
          </w:tcPr>
          <w:p>
            <w:r>
              <w:rPr>
                <w:b w:val="false"/>
                <w:bCs w:val="false"/>
                <w:sz w:val="20"/>
                <w:szCs w:val="20"/>
              </w:rPr>
              <w:t xml:space="preserve">No one bet the winning outcome at all</w:t>
            </w:r>
          </w:p>
        </w:tc>
        <w:tc>
          <w:tcPr>
            <w:tcW w:type="dxa" w:w="6000"/>
            <w:tcMar>
              <w:top w:type="dxa" w:w="80"/>
              <w:left w:type="dxa" w:w="100"/>
              <w:bottom w:type="dxa" w:w="80"/>
              <w:right w:type="dxa" w:w="100"/>
            </w:tcMar>
          </w:tcPr>
          <w:p>
            <w:r>
              <w:rPr>
                <w:b w:val="false"/>
                <w:bCs w:val="false"/>
                <w:sz w:val="20"/>
                <w:szCs w:val="20"/>
              </w:rPr>
              <w:t xml:space="preserve">No one is eligible to claim on that side — nothing to pay out, nothing reverts</w:t>
            </w:r>
          </w:p>
        </w:tc>
      </w:tr>
      <w:tr>
        <w:tc>
          <w:tcPr>
            <w:tcW w:type="dxa" w:w="3600"/>
            <w:tcMar>
              <w:top w:type="dxa" w:w="80"/>
              <w:left w:type="dxa" w:w="100"/>
              <w:bottom w:type="dxa" w:w="80"/>
              <w:right w:type="dxa" w:w="100"/>
            </w:tcMar>
          </w:tcPr>
          <w:p>
            <w:r>
              <w:rPr>
                <w:b w:val="false"/>
                <w:bCs w:val="false"/>
                <w:sz w:val="20"/>
                <w:szCs w:val="20"/>
              </w:rPr>
              <w:t xml:space="preserve">Round cancelled (optional feature)</w:t>
            </w:r>
          </w:p>
        </w:tc>
        <w:tc>
          <w:tcPr>
            <w:tcW w:type="dxa" w:w="6000"/>
            <w:tcMar>
              <w:top w:type="dxa" w:w="80"/>
              <w:left w:type="dxa" w:w="100"/>
              <w:bottom w:type="dxa" w:w="80"/>
              <w:right w:type="dxa" w:w="100"/>
            </w:tcMar>
          </w:tcPr>
          <w:p>
            <w:r>
              <w:rPr>
                <w:b w:val="false"/>
                <w:bCs w:val="false"/>
                <w:sz w:val="20"/>
                <w:szCs w:val="20"/>
              </w:rPr>
              <w:t xml:space="preserve">Every bettor refunded their exact stake, regardless of outcome</w:t>
            </w:r>
          </w:p>
        </w:tc>
      </w:tr>
    </w:tbl>
    <w:p>
      <w:pPr>
        <w:spacing w:after="160"/>
      </w:pPr>
    </w:p>
    <w:p>
      <w:pPr>
        <w:spacing w:after="140"/>
      </w:pPr>
      <w:r>
        <w:t xml:space="preserve">Integer division means the sum of all payouts can be marginally less than the total pool (truncation dust), never more. This dust is expected, safe, and recoverable only via a restricted, delayed admin sweep that can never touch unclaimed principal — see the implementation guide for the exact mechanism.</w:t>
      </w:r>
    </w:p>
    <w:p>
      <w:pPr>
        <w:pStyle w:val="Heading1"/>
        <w:spacing w:after="160" w:before="320"/>
      </w:pPr>
      <w:r>
        <w:t xml:space="preserve">6. Open Decisions for Product Owner</w:t>
      </w:r>
    </w:p>
    <w:p>
      <w:pPr>
        <w:spacing w:after="140"/>
      </w:pPr>
      <w:r>
        <w:t xml:space="preserve">Two scope questions should be confirmed before or during build — flagged here rather than assumed silently:</w:t>
      </w:r>
    </w:p>
    <w:p>
      <w:pPr>
        <w:pStyle w:val="ListParagraph"/>
        <w:numPr>
          <w:ilvl w:val="0"/>
          <w:numId w:val="2"/>
        </w:numPr>
        <w:spacing w:after="60"/>
      </w:pPr>
      <w:r>
        <w:t xml:space="preserve">Single bet vs. multiple bets per user per round. This PRD assumes one active bet per user per round (simplest, matches “users can predict” read literally). If users should be able to place several bets — even across different outcomes — in the same round, say so; it changes the data model.</w:t>
      </w:r>
    </w:p>
    <w:p>
      <w:pPr>
        <w:pStyle w:val="ListParagraph"/>
        <w:numPr>
          <w:ilvl w:val="0"/>
          <w:numId w:val="2"/>
        </w:numPr>
        <w:spacing w:after="60"/>
      </w:pPr>
      <w:r>
        <w:t xml:space="preserve">Cancelled rounds. Not in the original spec, but recommended: an admin-only path to void a round (bad end time, postponed event, compliance pull) with full refunds to everyone. Confirm whether this is in scope for v1.</w:t>
      </w:r>
    </w:p>
    <w:p>
      <w:pPr>
        <w:pStyle w:val="ListParagraph"/>
        <w:numPr>
          <w:ilvl w:val="0"/>
          <w:numId w:val="2"/>
        </w:numPr>
        <w:spacing w:after="60"/>
      </w:pPr>
      <w:r>
        <w:t xml:space="preserve">Betting token safety assumptions. The contract assumes the project token is a standard, non-fee-on-transfer, non-rebasing ERC20. Confirm this holds, since fee-on-transfer tokens would silently under-credit bettors unless specifically handled.</w:t>
      </w:r>
    </w:p>
    <w:p>
      <w:pPr>
        <w:pStyle w:val="ListParagraph"/>
        <w:numPr>
          <w:ilvl w:val="0"/>
          <w:numId w:val="2"/>
        </w:numPr>
        <w:spacing w:after="60"/>
      </w:pPr>
      <w:r>
        <w:t xml:space="preserve">Per-user or per-round bet caps. Not specified. Worth considering if the token has thin liquidity, to limit single-address pool-skew risk.</w:t>
      </w:r>
    </w:p>
    <w:p>
      <w:pPr>
        <w:pStyle w:val="ListParagraph"/>
        <w:numPr>
          <w:ilvl w:val="0"/>
          <w:numId w:val="2"/>
        </w:numPr>
        <w:spacing w:after="60"/>
      </w:pPr>
      <w:r>
        <w:t xml:space="preserve">Cron timezone. “1am” needs an explicit timezone (UTC vs. local) for the cron schedule — confirm which.</w:t>
      </w:r>
    </w:p>
    <w:p>
      <w:pPr>
        <w:pStyle w:val="Heading1"/>
        <w:spacing w:after="160" w:before="320"/>
      </w:pPr>
      <w:r>
        <w:t xml:space="preserve">7. Security Requirements</w:t>
      </w:r>
    </w:p>
    <w:p>
      <w:pPr>
        <w:pStyle w:val="ListParagraph"/>
        <w:numPr>
          <w:ilvl w:val="0"/>
          <w:numId w:val="2"/>
        </w:numPr>
        <w:spacing w:after="60"/>
      </w:pPr>
      <w:r>
        <w:t xml:space="preserve">Reentrancy guards on every fund-moving function (bet, withdraw, claim).</w:t>
      </w:r>
    </w:p>
    <w:p>
      <w:pPr>
        <w:pStyle w:val="ListParagraph"/>
        <w:numPr>
          <w:ilvl w:val="0"/>
          <w:numId w:val="2"/>
        </w:numPr>
        <w:spacing w:after="60"/>
      </w:pPr>
      <w:r>
        <w:t xml:space="preserve">Checks-effects-interactions ordering throughout — state updated before any external token transfer.</w:t>
      </w:r>
    </w:p>
    <w:p>
      <w:pPr>
        <w:pStyle w:val="ListParagraph"/>
        <w:numPr>
          <w:ilvl w:val="0"/>
          <w:numId w:val="2"/>
        </w:numPr>
        <w:spacing w:after="60"/>
      </w:pPr>
      <w:r>
        <w:t xml:space="preserve">Pausing new bets must never be able to block withdrawals or claims — an emergency pause stops new exposure, it can never trap existing user funds.</w:t>
      </w:r>
    </w:p>
    <w:p>
      <w:pPr>
        <w:pStyle w:val="ListParagraph"/>
        <w:numPr>
          <w:ilvl w:val="0"/>
          <w:numId w:val="2"/>
        </w:numPr>
        <w:spacing w:after="60"/>
      </w:pPr>
      <w:r>
        <w:t xml:space="preserve">No unbounded loops over bettors — payouts are pull-based (each user claims their own), so resolution and claiming stay cheap regardless of round size.</w:t>
      </w:r>
    </w:p>
    <w:p>
      <w:pPr>
        <w:pStyle w:val="ListParagraph"/>
        <w:numPr>
          <w:ilvl w:val="0"/>
          <w:numId w:val="2"/>
        </w:numPr>
        <w:spacing w:after="60"/>
      </w:pPr>
      <w:r>
        <w:t xml:space="preserve">Resolver role is capped to reporting outcomes only — cannot move funds, cannot alter round parameters, cannot re-resolve a round.</w:t>
      </w:r>
    </w:p>
    <w:p>
      <w:pPr>
        <w:pStyle w:val="ListParagraph"/>
        <w:numPr>
          <w:ilvl w:val="0"/>
          <w:numId w:val="2"/>
        </w:numPr>
        <w:spacing w:after="60"/>
      </w:pPr>
      <w:r>
        <w:t xml:space="preserve">External security audit before mainnet deployment with real funds.</w:t>
      </w:r>
    </w:p>
    <w:p>
      <w:pPr>
        <w:pStyle w:val="Heading1"/>
        <w:spacing w:after="160" w:before="320"/>
      </w:pPr>
      <w:r>
        <w:t xml:space="preserve">8. Success Metrics</w:t>
      </w:r>
    </w:p>
    <w:p>
      <w:pPr>
        <w:pStyle w:val="ListParagraph"/>
        <w:numPr>
          <w:ilvl w:val="0"/>
          <w:numId w:val="2"/>
        </w:numPr>
        <w:spacing w:after="60"/>
      </w:pPr>
      <w:r>
        <w:t xml:space="preserve">Zero fund-loss incidents.</w:t>
      </w:r>
    </w:p>
    <w:p>
      <w:pPr>
        <w:pStyle w:val="ListParagraph"/>
        <w:numPr>
          <w:ilvl w:val="0"/>
          <w:numId w:val="2"/>
        </w:numPr>
        <w:spacing w:after="60"/>
      </w:pPr>
      <w:r>
        <w:t xml:space="preserve">100% of rounds resolved within the intended window of their end time (monitored via on-chain events + alerting on the cron job).</w:t>
      </w:r>
    </w:p>
    <w:p>
      <w:pPr>
        <w:pStyle w:val="ListParagraph"/>
        <w:numPr>
          <w:ilvl w:val="0"/>
          <w:numId w:val="2"/>
        </w:numPr>
        <w:spacing w:after="60"/>
      </w:pPr>
      <w:r>
        <w:t xml:space="preserve">Payout math verified via exhaustive test suite (see implementation guide) before any mainnet deployment.</w:t>
      </w:r>
    </w:p>
    <w:p>
      <w:pPr>
        <w:pStyle w:val="Heading1"/>
        <w:spacing w:after="160" w:before="320"/>
      </w:pPr>
      <w:r>
        <w:t xml:space="preserve">9. Milestones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c>
          <w:tcPr>
            <w:tcW w:type="dxa" w:w="1400"/>
            <w:shd w:fill="1F2937" w:val="clear"/>
            <w:tcMar>
              <w:top w:type="dxa" w:w="80"/>
              <w:left w:type="dxa" w:w="100"/>
              <w:bottom w:type="dxa" w:w="80"/>
              <w:right w:type="dxa" w:w="100"/>
            </w:tcMar>
          </w:tcPr>
          <w:p>
            <w:r>
              <w:rPr>
                <w:b/>
                <w:bCs/>
                <w:color w:val="FFFFFF"/>
                <w:sz w:val="20"/>
                <w:szCs w:val="20"/>
              </w:rPr>
              <w:t xml:space="preserve">Phase</w:t>
            </w:r>
          </w:p>
        </w:tc>
        <w:tc>
          <w:tcPr>
            <w:tcW w:type="dxa" w:w="8200"/>
            <w:shd w:fill="1F2937" w:val="clear"/>
            <w:tcMar>
              <w:top w:type="dxa" w:w="80"/>
              <w:left w:type="dxa" w:w="100"/>
              <w:bottom w:type="dxa" w:w="80"/>
              <w:right w:type="dxa" w:w="100"/>
            </w:tcMar>
          </w:tcPr>
          <w:p>
            <w:r>
              <w:rPr>
                <w:b/>
                <w:bCs/>
                <w:color w:val="FFFFFF"/>
                <w:sz w:val="20"/>
                <w:szCs w:val="20"/>
              </w:rPr>
              <w:t xml:space="preserve">Deliverable</w:t>
            </w:r>
          </w:p>
        </w:tc>
      </w:tr>
      <w:tr>
        <w:tc>
          <w:tcPr>
            <w:tcW w:type="dxa" w:w="1400"/>
            <w:tcMar>
              <w:top w:type="dxa" w:w="80"/>
              <w:left w:type="dxa" w:w="100"/>
              <w:bottom w:type="dxa" w:w="80"/>
              <w:right w:type="dxa" w:w="100"/>
            </w:tcMar>
          </w:tcPr>
          <w:p>
            <w:r>
              <w:rPr>
                <w:b w:val="false"/>
                <w:bCs w:val="false"/>
                <w:sz w:val="20"/>
                <w:szCs w:val="20"/>
              </w:rPr>
              <w:t xml:space="preserve">1</w:t>
            </w:r>
          </w:p>
        </w:tc>
        <w:tc>
          <w:tcPr>
            <w:tcW w:type="dxa" w:w="8200"/>
            <w:tcMar>
              <w:top w:type="dxa" w:w="80"/>
              <w:left w:type="dxa" w:w="100"/>
              <w:bottom w:type="dxa" w:w="80"/>
              <w:right w:type="dxa" w:w="100"/>
            </w:tcMar>
          </w:tcPr>
          <w:p>
            <w:r>
              <w:rPr>
                <w:b w:val="false"/>
                <w:bCs w:val="false"/>
                <w:sz w:val="20"/>
                <w:szCs w:val="20"/>
              </w:rPr>
              <w:t xml:space="preserve">Contract implementation (launch / bet / withdraw / resolve / claim)</w:t>
            </w:r>
          </w:p>
        </w:tc>
      </w:tr>
      <w:tr>
        <w:tc>
          <w:tcPr>
            <w:tcW w:type="dxa" w:w="1400"/>
            <w:tcMar>
              <w:top w:type="dxa" w:w="80"/>
              <w:left w:type="dxa" w:w="100"/>
              <w:bottom w:type="dxa" w:w="80"/>
              <w:right w:type="dxa" w:w="100"/>
            </w:tcMar>
          </w:tcPr>
          <w:p>
            <w:r>
              <w:rPr>
                <w:b w:val="false"/>
                <w:bCs w:val="false"/>
                <w:sz w:val="20"/>
                <w:szCs w:val="20"/>
              </w:rPr>
              <w:t xml:space="preserve">2</w:t>
            </w:r>
          </w:p>
        </w:tc>
        <w:tc>
          <w:tcPr>
            <w:tcW w:type="dxa" w:w="8200"/>
            <w:tcMar>
              <w:top w:type="dxa" w:w="80"/>
              <w:left w:type="dxa" w:w="100"/>
              <w:bottom w:type="dxa" w:w="80"/>
              <w:right w:type="dxa" w:w="100"/>
            </w:tcMar>
          </w:tcPr>
          <w:p>
            <w:r>
              <w:rPr>
                <w:b w:val="false"/>
                <w:bCs w:val="false"/>
                <w:sz w:val="20"/>
                <w:szCs w:val="20"/>
              </w:rPr>
              <w:t xml:space="preserve">Full Foundry test suite, including payout-math edge cases and fuzzing</w:t>
            </w:r>
          </w:p>
        </w:tc>
      </w:tr>
      <w:tr>
        <w:tc>
          <w:tcPr>
            <w:tcW w:type="dxa" w:w="1400"/>
            <w:tcMar>
              <w:top w:type="dxa" w:w="80"/>
              <w:left w:type="dxa" w:w="100"/>
              <w:bottom w:type="dxa" w:w="80"/>
              <w:right w:type="dxa" w:w="100"/>
            </w:tcMar>
          </w:tcPr>
          <w:p>
            <w:r>
              <w:rPr>
                <w:b w:val="false"/>
                <w:bCs w:val="false"/>
                <w:sz w:val="20"/>
                <w:szCs w:val="20"/>
              </w:rPr>
              <w:t xml:space="preserve">3</w:t>
            </w:r>
          </w:p>
        </w:tc>
        <w:tc>
          <w:tcPr>
            <w:tcW w:type="dxa" w:w="8200"/>
            <w:tcMar>
              <w:top w:type="dxa" w:w="80"/>
              <w:left w:type="dxa" w:w="100"/>
              <w:bottom w:type="dxa" w:w="80"/>
              <w:right w:type="dxa" w:w="100"/>
            </w:tcMar>
          </w:tcPr>
          <w:p>
            <w:r>
              <w:rPr>
                <w:b w:val="false"/>
                <w:bCs w:val="false"/>
                <w:sz w:val="20"/>
                <w:szCs w:val="20"/>
              </w:rPr>
              <w:t xml:space="preserve">Testnet deployment on Robinhood Chain + manual full-lifecycle test</w:t>
            </w:r>
          </w:p>
        </w:tc>
      </w:tr>
      <w:tr>
        <w:tc>
          <w:tcPr>
            <w:tcW w:type="dxa" w:w="1400"/>
            <w:tcMar>
              <w:top w:type="dxa" w:w="80"/>
              <w:left w:type="dxa" w:w="100"/>
              <w:bottom w:type="dxa" w:w="80"/>
              <w:right w:type="dxa" w:w="100"/>
            </w:tcMar>
          </w:tcPr>
          <w:p>
            <w:r>
              <w:rPr>
                <w:b w:val="false"/>
                <w:bCs w:val="false"/>
                <w:sz w:val="20"/>
                <w:szCs w:val="20"/>
              </w:rPr>
              <w:t xml:space="preserve">4</w:t>
            </w:r>
          </w:p>
        </w:tc>
        <w:tc>
          <w:tcPr>
            <w:tcW w:type="dxa" w:w="8200"/>
            <w:tcMar>
              <w:top w:type="dxa" w:w="80"/>
              <w:left w:type="dxa" w:w="100"/>
              <w:bottom w:type="dxa" w:w="80"/>
              <w:right w:type="dxa" w:w="100"/>
            </w:tcMar>
          </w:tcPr>
          <w:p>
            <w:r>
              <w:rPr>
                <w:b w:val="false"/>
                <w:bCs w:val="false"/>
                <w:sz w:val="20"/>
                <w:szCs w:val="20"/>
              </w:rPr>
              <w:t xml:space="preserve">Off-chain cron resolver service, with failure alerting</w:t>
            </w:r>
          </w:p>
        </w:tc>
      </w:tr>
      <w:tr>
        <w:tc>
          <w:tcPr>
            <w:tcW w:type="dxa" w:w="1400"/>
            <w:tcMar>
              <w:top w:type="dxa" w:w="80"/>
              <w:left w:type="dxa" w:w="100"/>
              <w:bottom w:type="dxa" w:w="80"/>
              <w:right w:type="dxa" w:w="100"/>
            </w:tcMar>
          </w:tcPr>
          <w:p>
            <w:r>
              <w:rPr>
                <w:b w:val="false"/>
                <w:bCs w:val="false"/>
                <w:sz w:val="20"/>
                <w:szCs w:val="20"/>
              </w:rPr>
              <w:t xml:space="preserve">5</w:t>
            </w:r>
          </w:p>
        </w:tc>
        <w:tc>
          <w:tcPr>
            <w:tcW w:type="dxa" w:w="8200"/>
            <w:tcMar>
              <w:top w:type="dxa" w:w="80"/>
              <w:left w:type="dxa" w:w="100"/>
              <w:bottom w:type="dxa" w:w="80"/>
              <w:right w:type="dxa" w:w="100"/>
            </w:tcMar>
          </w:tcPr>
          <w:p>
            <w:r>
              <w:rPr>
                <w:b w:val="false"/>
                <w:bCs w:val="false"/>
                <w:sz w:val="20"/>
                <w:szCs w:val="20"/>
              </w:rPr>
              <w:t xml:space="preserve">External audit</w:t>
            </w:r>
          </w:p>
        </w:tc>
      </w:tr>
      <w:tr>
        <w:tc>
          <w:tcPr>
            <w:tcW w:type="dxa" w:w="1400"/>
            <w:tcMar>
              <w:top w:type="dxa" w:w="80"/>
              <w:left w:type="dxa" w:w="100"/>
              <w:bottom w:type="dxa" w:w="80"/>
              <w:right w:type="dxa" w:w="100"/>
            </w:tcMar>
          </w:tcPr>
          <w:p>
            <w:r>
              <w:rPr>
                <w:b w:val="false"/>
                <w:bCs w:val="false"/>
                <w:sz w:val="20"/>
                <w:szCs w:val="20"/>
              </w:rPr>
              <w:t xml:space="preserve">6</w:t>
            </w:r>
          </w:p>
        </w:tc>
        <w:tc>
          <w:tcPr>
            <w:tcW w:type="dxa" w:w="8200"/>
            <w:tcMar>
              <w:top w:type="dxa" w:w="80"/>
              <w:left w:type="dxa" w:w="100"/>
              <w:bottom w:type="dxa" w:w="80"/>
              <w:right w:type="dxa" w:w="100"/>
            </w:tcMar>
          </w:tcPr>
          <w:p>
            <w:r>
              <w:rPr>
                <w:b w:val="false"/>
                <w:bCs w:val="false"/>
                <w:sz w:val="20"/>
                <w:szCs w:val="20"/>
              </w:rPr>
              <w:t xml:space="preserve">Mainnet deployment</w:t>
            </w:r>
          </w:p>
        </w:tc>
      </w:tr>
    </w:tbl>
    <w:p>
      <w:pPr>
        <w:pStyle w:val="Heading1"/>
        <w:spacing w:after="160" w:before="320"/>
      </w:pPr>
      <w:r>
        <w:t xml:space="preserve">10. Reference</w:t>
      </w:r>
    </w:p>
    <w:p>
      <w:pPr>
        <w:spacing w:after="140"/>
      </w:pPr>
      <w:r>
        <w:t xml:space="preserve">Chain: Robinhood Chain — permissionless, EVM-compatible L2 (Arbitrum stack), 100ms block times, ETH gas, standard Solidity/Foundry tooling. Testnet chain ID 46630, RPC https://rpc.testnet.chain.robinhood.com.</w:t>
      </w:r>
    </w:p>
    <w:p>
      <w:pPr>
        <w:spacing w:after="140"/>
      </w:pPr>
      <w:r>
        <w:t xml:space="preserve">See the companion implementation guide (SKILL.md) for the full technical build spec, data model, function-by-function requirements, and test plan.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2026-09-20T02:10:19.824Z</dcterms:created>
  <dcterms:modified xsi:type="dcterms:W3CDTF">2026-09-20T02:10:19.833Z</dcterms:modified>
</cp:coreProperties>
</file>

<file path=docProps/custom.xml><?xml version="1.0" encoding="utf-8"?>
<Properties xmlns="http://schemas.openxmlformats.org/officeDocument/2006/custom-properties" xmlns:vt="http://schemas.openxmlformats.org/officeDocument/2006/docPropsVTypes"/>
</file>