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Visa Information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840"/>
            <w:vAlign w:val="center"/>
          </w:tcPr>
          <w:p>
            <w:r>
              <w:t>&lt;&lt;applicant_name&gt;&gt;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Indian company</w:t>
            </w:r>
          </w:p>
        </w:tc>
        <w:tc>
          <w:tcPr>
            <w:tcW w:type="dxa" w:w="6840"/>
            <w:vAlign w:val="center"/>
          </w:tcPr>
          <w:p>
            <w:r>
              <w:t>&lt;&lt;in_company_name&gt;&gt;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Chinese company</w:t>
            </w:r>
          </w:p>
        </w:tc>
        <w:tc>
          <w:tcPr>
            <w:tcW w:type="dxa" w:w="6840"/>
            <w:vAlign w:val="center"/>
          </w:tcPr>
          <w:p>
            <w:r>
              <w:t>Audi China Enterprise Management Co., Ltd.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Telephone</w:t>
            </w:r>
          </w:p>
        </w:tc>
        <w:tc>
          <w:tcPr>
            <w:tcW w:type="dxa" w:w="6840"/>
            <w:vAlign w:val="center"/>
          </w:tcPr>
          <w:p>
            <w:r>
              <w:t>&lt;&lt;mobile&gt;&gt;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6840"/>
            <w:vAlign w:val="center"/>
          </w:tcPr>
          <w:p>
            <w:r>
              <w:t>&lt;&lt;email&gt;&gt;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