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1F3864"/>
          <w:sz w:val="44"/>
          <w:szCs w:val="44"/>
        </w:rPr>
        <w:t xml:space="preserve">Especificación de Requisitos de Software</w:t>
      </w:r>
    </w:p>
    <w:p>
      <w:pPr>
        <w:spacing w:after="60"/>
        <w:jc w:val="center"/>
      </w:pPr>
      <w:r>
        <w:rPr>
          <w:rFonts w:ascii="Calibri" w:cs="Calibri" w:eastAsia="Calibri" w:hAnsi="Calibri"/>
          <w:b/>
          <w:bCs/>
          <w:color w:val="2E5496"/>
          <w:sz w:val="30"/>
          <w:szCs w:val="30"/>
        </w:rPr>
        <w:t xml:space="preserve">(ERS)</w:t>
      </w:r>
    </w:p>
    <w:p>
      <w:pPr>
        <w:spacing w:after="40" w:before="120"/>
        <w:jc w:val="center"/>
      </w:pPr>
      <w:r>
        <w:rPr>
          <w:rFonts w:ascii="Calibri" w:cs="Calibri" w:eastAsia="Calibri" w:hAnsi="Calibri"/>
          <w:b/>
          <w:bCs/>
          <w:color w:val="000000"/>
          <w:sz w:val="30"/>
          <w:szCs w:val="30"/>
        </w:rPr>
        <w:t xml:space="preserve">Portal de Proveedores ULTRASIST</w:t>
      </w:r>
    </w:p>
    <w:p>
      <w:pPr>
        <w:spacing w:after="600"/>
        <w:jc w:val="center"/>
      </w:pPr>
      <w:r>
        <w:rPr>
          <w:rFonts w:ascii="Calibri" w:cs="Calibri" w:eastAsia="Calibri" w:hAnsi="Calibri"/>
          <w:color w:val="595959"/>
          <w:sz w:val="26"/>
          <w:szCs w:val="26"/>
        </w:rPr>
        <w:t xml:space="preserve">Producto Mínimo Viable (MVP)</w:t>
      </w:r>
    </w:p>
    <w:p>
      <w:pPr>
        <w:spacing w:after="40"/>
        <w:jc w:val="center"/>
      </w:pPr>
      <w:r>
        <w:rPr>
          <w:rFonts w:ascii="Calibri" w:cs="Calibri" w:eastAsia="Calibri" w:hAnsi="Calibri"/>
          <w:b/>
          <w:bCs/>
          <w:color w:val="000000"/>
          <w:sz w:val="24"/>
          <w:szCs w:val="24"/>
        </w:rPr>
        <w:t xml:space="preserve">Versión 1.4</w:t>
      </w:r>
    </w:p>
    <w:p>
      <w:pPr>
        <w:spacing w:after="40"/>
        <w:jc w:val="center"/>
      </w:pPr>
      <w:r>
        <w:rPr>
          <w:rFonts w:ascii="Calibri" w:cs="Calibri" w:eastAsia="Calibri" w:hAnsi="Calibri"/>
          <w:color w:val="595959"/>
          <w:sz w:val="22"/>
          <w:szCs w:val="22"/>
        </w:rPr>
        <w:t xml:space="preserve">30 de septiembre de 2026</w:t>
      </w:r>
    </w:p>
    <w:p>
      <w:pPr>
        <w:spacing w:after="40" w:before="400"/>
        <w:jc w:val="center"/>
      </w:pPr>
      <w:r>
        <w:rPr>
          <w:rFonts w:ascii="Calibri" w:cs="Calibri" w:eastAsia="Calibri" w:hAnsi="Calibri"/>
          <w:i/>
          <w:iCs/>
          <w:color w:val="595959"/>
          <w:sz w:val="20"/>
          <w:szCs w:val="20"/>
        </w:rPr>
        <w:t xml:space="preserve">Documento base y fuente de verdad:</w:t>
      </w:r>
    </w:p>
    <w:p>
      <w:pPr>
        <w:spacing w:after="40"/>
        <w:jc w:val="center"/>
      </w:pPr>
      <w:r>
        <w:rPr>
          <w:rFonts w:ascii="Calibri" w:cs="Calibri" w:eastAsia="Calibri" w:hAnsi="Calibri"/>
          <w:i/>
          <w:iCs/>
          <w:color w:val="595959"/>
          <w:sz w:val="20"/>
          <w:szCs w:val="20"/>
        </w:rPr>
        <w:t xml:space="preserve">Validacion_HUs_MVP_Portal_Proveedores.docx (validación de HUs vs. Alcance del MVP)</w:t>
      </w:r>
    </w:p>
    <w:p>
      <w:r>
        <w:br w:type="page"/>
      </w:r>
    </w:p>
    <w:p>
      <w:pPr>
        <w:pStyle w:val="Heading1"/>
        <w:pBdr>
          <w:bottom w:val="single" w:color="2E5496" w:sz="6" w:space="4"/>
        </w:pBdr>
        <w:spacing w:after="140" w:before="320"/>
      </w:pPr>
      <w:r>
        <w:rPr>
          <w:rFonts w:ascii="Calibri" w:cs="Calibri" w:eastAsia="Calibri" w:hAnsi="Calibri"/>
          <w:b/>
          <w:bCs/>
          <w:color w:val="1F3864"/>
          <w:sz w:val="30"/>
          <w:szCs w:val="30"/>
        </w:rPr>
        <w:t xml:space="preserve">Control de versiones</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1000"/>
        <w:gridCol w:w="1500"/>
        <w:gridCol w:w="2500"/>
        <w:gridCol w:w="4360"/>
      </w:tblGrid>
      <w:tr>
        <w:trPr>
          <w:tblHeader/>
        </w:trPr>
        <w:tc>
          <w:tcPr>
            <w:tcW w:type="dxa" w:w="10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Versión</w:t>
            </w:r>
          </w:p>
        </w:tc>
        <w:tc>
          <w:tcPr>
            <w:tcW w:type="dxa" w:w="15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Fecha</w:t>
            </w:r>
          </w:p>
        </w:tc>
        <w:tc>
          <w:tcPr>
            <w:tcW w:type="dxa" w:w="25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Autor</w:t>
            </w:r>
          </w:p>
        </w:tc>
        <w:tc>
          <w:tcPr>
            <w:tcW w:type="dxa" w:w="43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Descripción</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1.0</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23/09/2026</w:t>
            </w:r>
          </w:p>
        </w:tc>
        <w:tc>
          <w:tcPr>
            <w:tcW w:type="dxa" w:w="2500"/>
            <w:tcMar>
              <w:top w:type="dxa" w:w="50"/>
              <w:left w:type="dxa" w:w="90"/>
              <w:bottom w:type="dxa" w:w="50"/>
              <w:right w:type="dxa" w:w="90"/>
            </w:tcMar>
          </w:tcPr>
          <w:p>
            <w:pPr>
              <w:spacing w:after="30" w:line="260"/>
            </w:pPr>
            <w:r>
              <w:rPr>
                <w:rFonts w:ascii="Calibri" w:cs="Calibri" w:eastAsia="Calibri" w:hAnsi="Calibri"/>
                <w:sz w:val="20"/>
                <w:szCs w:val="20"/>
              </w:rPr>
              <w:t xml:space="preserve">Equipo Técnico</w:t>
            </w:r>
          </w:p>
        </w:tc>
        <w:tc>
          <w:tcPr>
            <w:tcW w:type="dxa" w:w="4360"/>
            <w:tcMar>
              <w:top w:type="dxa" w:w="50"/>
              <w:left w:type="dxa" w:w="90"/>
              <w:bottom w:type="dxa" w:w="50"/>
              <w:right w:type="dxa" w:w="90"/>
            </w:tcMar>
          </w:tcPr>
          <w:p>
            <w:pPr>
              <w:spacing w:after="30" w:line="260"/>
            </w:pPr>
            <w:r>
              <w:rPr>
                <w:rFonts w:ascii="Calibri" w:cs="Calibri" w:eastAsia="Calibri" w:hAnsi="Calibri"/>
                <w:sz w:val="20"/>
                <w:szCs w:val="20"/>
              </w:rPr>
              <w:t xml:space="preserve">Versión inicial de la ERS del MVP, derivada de la validación de HUs (10 HUs “Dentro del MVP”).</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1.1</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23/09/2026</w:t>
            </w:r>
          </w:p>
        </w:tc>
        <w:tc>
          <w:tcPr>
            <w:tcW w:type="dxa" w:w="2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Equipo Técnico</w:t>
            </w:r>
          </w:p>
        </w:tc>
        <w:tc>
          <w:tcPr>
            <w:tcW w:type="dxa" w:w="43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Cierre de huecos: se añaden RF-11 a RF-18 (nuevas HU-06 a HU-08 y HU-15 a HU-19) para cubrir la totalidad del Alcance del MVP; se agrega la verificación de cobertura (4.2); se elimina la sección de elementos fuera del MVP.</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1.2</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23/09/2026</w:t>
            </w:r>
          </w:p>
        </w:tc>
        <w:tc>
          <w:tcPr>
            <w:tcW w:type="dxa" w:w="2500"/>
            <w:tcMar>
              <w:top w:type="dxa" w:w="50"/>
              <w:left w:type="dxa" w:w="90"/>
              <w:bottom w:type="dxa" w:w="50"/>
              <w:right w:type="dxa" w:w="90"/>
            </w:tcMar>
          </w:tcPr>
          <w:p>
            <w:pPr>
              <w:spacing w:after="30" w:line="260"/>
            </w:pPr>
            <w:r>
              <w:rPr>
                <w:rFonts w:ascii="Calibri" w:cs="Calibri" w:eastAsia="Calibri" w:hAnsi="Calibri"/>
                <w:sz w:val="20"/>
                <w:szCs w:val="20"/>
              </w:rPr>
              <w:t xml:space="preserve">Equipo Técnico</w:t>
            </w:r>
          </w:p>
        </w:tc>
        <w:tc>
          <w:tcPr>
            <w:tcW w:type="dxa" w:w="4360"/>
            <w:tcMar>
              <w:top w:type="dxa" w:w="50"/>
              <w:left w:type="dxa" w:w="90"/>
              <w:bottom w:type="dxa" w:w="50"/>
              <w:right w:type="dxa" w:w="90"/>
            </w:tcMar>
          </w:tcPr>
          <w:p>
            <w:pPr>
              <w:spacing w:after="30" w:line="260"/>
            </w:pPr>
            <w:r>
              <w:rPr>
                <w:rFonts w:ascii="Calibri" w:cs="Calibri" w:eastAsia="Calibri" w:hAnsi="Calibri"/>
                <w:sz w:val="20"/>
                <w:szCs w:val="20"/>
              </w:rPr>
              <w:t xml:space="preserve">Nomenclatura de estatus unificada (Autorizada / Rechazada / Observaciones; proveedor “Autorizado”); correo a Recepción de Facturas disparado por la autorización del PMO; normalización de IDs (HU1 → HU-20; RN con formato RN-HUxx-nn).</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1.3</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23/09/2026</w:t>
            </w:r>
          </w:p>
        </w:tc>
        <w:tc>
          <w:tcPr>
            <w:tcW w:type="dxa" w:w="2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Equipo Técnico</w:t>
            </w:r>
          </w:p>
        </w:tc>
        <w:tc>
          <w:tcPr>
            <w:tcW w:type="dxa" w:w="43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Se agrega la sección 3.1 Historias de Usuario: HU del documento canónico en forma literal y redacción de las HU-06 a HU-08 y HU-15 a HU-19.</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1.4</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30/09/2026</w:t>
            </w:r>
          </w:p>
        </w:tc>
        <w:tc>
          <w:tcPr>
            <w:tcW w:type="dxa" w:w="2500"/>
            <w:tcMar>
              <w:top w:type="dxa" w:w="50"/>
              <w:left w:type="dxa" w:w="90"/>
              <w:bottom w:type="dxa" w:w="50"/>
              <w:right w:type="dxa" w:w="90"/>
            </w:tcMar>
          </w:tcPr>
          <w:p>
            <w:pPr>
              <w:spacing w:after="30" w:line="260"/>
            </w:pPr>
            <w:r>
              <w:rPr>
                <w:rFonts w:ascii="Calibri" w:cs="Calibri" w:eastAsia="Calibri" w:hAnsi="Calibri"/>
                <w:sz w:val="20"/>
                <w:szCs w:val="20"/>
              </w:rPr>
              <w:t xml:space="preserve">Equipo Técnico</w:t>
            </w:r>
          </w:p>
        </w:tc>
        <w:tc>
          <w:tcPr>
            <w:tcW w:type="dxa" w:w="4360"/>
            <w:tcMar>
              <w:top w:type="dxa" w:w="50"/>
              <w:left w:type="dxa" w:w="90"/>
              <w:bottom w:type="dxa" w:w="50"/>
              <w:right w:type="dxa" w:w="90"/>
            </w:tcMar>
          </w:tcPr>
          <w:p>
            <w:pPr>
              <w:spacing w:after="30" w:line="260"/>
            </w:pPr>
            <w:r>
              <w:rPr>
                <w:rFonts w:ascii="Calibri" w:cs="Calibri" w:eastAsia="Calibri" w:hAnsi="Calibri"/>
                <w:sz w:val="20"/>
                <w:szCs w:val="20"/>
              </w:rPr>
              <w:t xml:space="preserve">Corrección de nomenclatura: “ClickCloud” era un error de transcripción; el componente es Keycloak, un proveedor de identidad (IdP), no un gestor de secretos. Se reformula RN-HU03-01 y se ajustan 1.3, 2.4, 2.5, RF-03, 3.3, 3.4 y 3.5.</w:t>
            </w:r>
          </w:p>
        </w:tc>
      </w:tr>
    </w:tbl>
    <w:p>
      <w:pPr>
        <w:pStyle w:val="Heading1"/>
        <w:pBdr>
          <w:bottom w:val="single" w:color="2E5496" w:sz="6" w:space="4"/>
        </w:pBdr>
        <w:spacing w:after="140" w:before="320"/>
      </w:pPr>
      <w:r>
        <w:rPr>
          <w:rFonts w:ascii="Calibri" w:cs="Calibri" w:eastAsia="Calibri" w:hAnsi="Calibri"/>
          <w:b/>
          <w:bCs/>
          <w:color w:val="1F3864"/>
          <w:sz w:val="30"/>
          <w:szCs w:val="30"/>
        </w:rPr>
        <w:t xml:space="preserve">1. Introducción</w:t>
      </w:r>
    </w:p>
    <w:p>
      <w:pPr>
        <w:pStyle w:val="Heading2"/>
        <w:spacing w:after="90" w:before="220"/>
      </w:pPr>
      <w:r>
        <w:rPr>
          <w:rFonts w:ascii="Calibri" w:cs="Calibri" w:eastAsia="Calibri" w:hAnsi="Calibri"/>
          <w:b/>
          <w:bCs/>
          <w:color w:val="1F3864"/>
          <w:sz w:val="25"/>
          <w:szCs w:val="25"/>
        </w:rPr>
        <w:t xml:space="preserve">1.1 Propósito</w:t>
      </w:r>
    </w:p>
    <w:p>
      <w:pPr>
        <w:spacing w:after="120" w:before="0" w:line="276"/>
      </w:pPr>
      <w:r>
        <w:rPr>
          <w:rFonts w:ascii="Calibri" w:cs="Calibri" w:eastAsia="Calibri" w:hAnsi="Calibri"/>
          <w:sz w:val="22"/>
          <w:szCs w:val="22"/>
        </w:rPr>
        <w:t xml:space="preserve">Este documento especifica los requisitos de software del Portal de Proveedores ULTRASIST en su alcance de Producto Mínimo Viable (MVP). Su objetivo es servir como referencia técnica y funcional para el equipo de desarrollo, pruebas (QA) y las áreas usuarias (Administrador, Proveedor y PMO), estableciendo qué debe hacer el sistema.</w:t>
      </w:r>
    </w:p>
    <w:p>
      <w:pPr>
        <w:pStyle w:val="Heading2"/>
        <w:spacing w:after="90" w:before="220"/>
      </w:pPr>
      <w:r>
        <w:rPr>
          <w:rFonts w:ascii="Calibri" w:cs="Calibri" w:eastAsia="Calibri" w:hAnsi="Calibri"/>
          <w:b/>
          <w:bCs/>
          <w:color w:val="1F3864"/>
          <w:sz w:val="25"/>
          <w:szCs w:val="25"/>
        </w:rPr>
        <w:t xml:space="preserve">1.2 Alcance</w:t>
      </w:r>
    </w:p>
    <w:p>
      <w:pPr>
        <w:spacing w:after="120" w:before="0" w:line="276"/>
      </w:pPr>
      <w:r>
        <w:rPr>
          <w:rFonts w:ascii="Calibri" w:cs="Calibri" w:eastAsia="Calibri" w:hAnsi="Calibri"/>
          <w:sz w:val="22"/>
          <w:szCs w:val="22"/>
        </w:rPr>
        <w:t xml:space="preserve">El MVP permitirá registrar, validar y dar seguimiento a las facturas cargadas por los proveedores (nacionales e internacionales), con control de duplicados, gestión de estatus y notificaciones automáticas. Esta ERS cubre la totalidad de los elementos definidos en la sección “Alcance del MVP” de la minuta: los que ya contaban con HU y los que no, para los cuales se definen nuevas HU en este documento (véase la matriz de trazabilidad y la verificación de cobertura, sección 4).</w:t>
      </w:r>
    </w:p>
    <w:p>
      <w:pPr>
        <w:spacing w:after="120" w:before="0" w:line="276"/>
      </w:pPr>
      <w:r>
        <w:rPr>
          <w:rFonts w:ascii="Calibri" w:cs="Calibri" w:eastAsia="Calibri" w:hAnsi="Calibri"/>
          <w:sz w:val="22"/>
          <w:szCs w:val="22"/>
        </w:rPr>
        <w:t xml:space="preserve">Roles considerados: Administrador, Proveedor (Nacional e Internacional) y PMO (área de validación de facturas).</w:t>
      </w:r>
    </w:p>
    <w:p>
      <w:pPr>
        <w:pStyle w:val="Heading2"/>
        <w:spacing w:after="90" w:before="220"/>
      </w:pPr>
      <w:r>
        <w:rPr>
          <w:rFonts w:ascii="Calibri" w:cs="Calibri" w:eastAsia="Calibri" w:hAnsi="Calibri"/>
          <w:b/>
          <w:bCs/>
          <w:color w:val="1F3864"/>
          <w:sz w:val="25"/>
          <w:szCs w:val="25"/>
        </w:rPr>
        <w:t xml:space="preserve">1.3 Definiciones, acrónimos y abreviaturas</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2200"/>
        <w:gridCol w:w="7160"/>
      </w:tblGrid>
      <w:tr>
        <w:trPr>
          <w:tblHeader/>
        </w:trPr>
        <w:tc>
          <w:tcPr>
            <w:tcW w:type="dxa" w:w="22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Término</w:t>
            </w:r>
          </w:p>
        </w:tc>
        <w:tc>
          <w:tcPr>
            <w:tcW w:type="dxa" w:w="71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Definición</w:t>
            </w:r>
          </w:p>
        </w:tc>
      </w:tr>
      <w:tr>
        <w:tc>
          <w:tcPr>
            <w:tcW w:type="dxa" w:w="2200"/>
            <w:tcMar>
              <w:top w:type="dxa" w:w="50"/>
              <w:left w:type="dxa" w:w="90"/>
              <w:bottom w:type="dxa" w:w="50"/>
              <w:right w:type="dxa" w:w="90"/>
            </w:tcMar>
          </w:tcPr>
          <w:p>
            <w:pPr>
              <w:spacing w:after="30" w:line="260"/>
            </w:pPr>
            <w:r>
              <w:rPr>
                <w:rFonts w:ascii="Calibri" w:cs="Calibri" w:eastAsia="Calibri" w:hAnsi="Calibri"/>
                <w:sz w:val="20"/>
                <w:szCs w:val="20"/>
              </w:rPr>
              <w:t xml:space="preserve">ERS</w:t>
            </w:r>
          </w:p>
        </w:tc>
        <w:tc>
          <w:tcPr>
            <w:tcW w:type="dxa" w:w="7160"/>
            <w:tcMar>
              <w:top w:type="dxa" w:w="50"/>
              <w:left w:type="dxa" w:w="90"/>
              <w:bottom w:type="dxa" w:w="50"/>
              <w:right w:type="dxa" w:w="90"/>
            </w:tcMar>
          </w:tcPr>
          <w:p>
            <w:pPr>
              <w:spacing w:after="30" w:line="260"/>
            </w:pPr>
            <w:r>
              <w:rPr>
                <w:rFonts w:ascii="Calibri" w:cs="Calibri" w:eastAsia="Calibri" w:hAnsi="Calibri"/>
                <w:sz w:val="20"/>
                <w:szCs w:val="20"/>
              </w:rPr>
              <w:t xml:space="preserve">Especificación de Requisitos de Software.</w:t>
            </w:r>
          </w:p>
        </w:tc>
      </w:tr>
      <w:tr>
        <w:tc>
          <w:tcPr>
            <w:tcW w:type="dxa" w:w="2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MVP</w:t>
            </w:r>
          </w:p>
        </w:tc>
        <w:tc>
          <w:tcPr>
            <w:tcW w:type="dxa" w:w="71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Producto Mínimo Viable (Minimum Viable Product).</w:t>
            </w:r>
          </w:p>
        </w:tc>
      </w:tr>
      <w:tr>
        <w:tc>
          <w:tcPr>
            <w:tcW w:type="dxa" w:w="2200"/>
            <w:tcMar>
              <w:top w:type="dxa" w:w="50"/>
              <w:left w:type="dxa" w:w="90"/>
              <w:bottom w:type="dxa" w:w="50"/>
              <w:right w:type="dxa" w:w="90"/>
            </w:tcMar>
          </w:tcPr>
          <w:p>
            <w:pPr>
              <w:spacing w:after="30" w:line="260"/>
            </w:pPr>
            <w:r>
              <w:rPr>
                <w:rFonts w:ascii="Calibri" w:cs="Calibri" w:eastAsia="Calibri" w:hAnsi="Calibri"/>
                <w:sz w:val="20"/>
                <w:szCs w:val="20"/>
              </w:rPr>
              <w:t xml:space="preserve">HU</w:t>
            </w:r>
          </w:p>
        </w:tc>
        <w:tc>
          <w:tcPr>
            <w:tcW w:type="dxa" w:w="7160"/>
            <w:tcMar>
              <w:top w:type="dxa" w:w="50"/>
              <w:left w:type="dxa" w:w="90"/>
              <w:bottom w:type="dxa" w:w="50"/>
              <w:right w:type="dxa" w:w="90"/>
            </w:tcMar>
          </w:tcPr>
          <w:p>
            <w:pPr>
              <w:spacing w:after="30" w:line="260"/>
            </w:pPr>
            <w:r>
              <w:rPr>
                <w:rFonts w:ascii="Calibri" w:cs="Calibri" w:eastAsia="Calibri" w:hAnsi="Calibri"/>
                <w:sz w:val="20"/>
                <w:szCs w:val="20"/>
              </w:rPr>
              <w:t xml:space="preserve">Historia de Usuario.</w:t>
            </w:r>
          </w:p>
        </w:tc>
      </w:tr>
      <w:tr>
        <w:tc>
          <w:tcPr>
            <w:tcW w:type="dxa" w:w="2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RN</w:t>
            </w:r>
          </w:p>
        </w:tc>
        <w:tc>
          <w:tcPr>
            <w:tcW w:type="dxa" w:w="71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Regla de Negocio (definida en el documento de HUs).</w:t>
            </w:r>
          </w:p>
        </w:tc>
      </w:tr>
      <w:tr>
        <w:tc>
          <w:tcPr>
            <w:tcW w:type="dxa" w:w="2200"/>
            <w:tcMar>
              <w:top w:type="dxa" w:w="50"/>
              <w:left w:type="dxa" w:w="90"/>
              <w:bottom w:type="dxa" w:w="50"/>
              <w:right w:type="dxa" w:w="90"/>
            </w:tcMar>
          </w:tcPr>
          <w:p>
            <w:pPr>
              <w:spacing w:after="30" w:line="260"/>
            </w:pPr>
            <w:r>
              <w:rPr>
                <w:rFonts w:ascii="Calibri" w:cs="Calibri" w:eastAsia="Calibri" w:hAnsi="Calibri"/>
                <w:sz w:val="20"/>
                <w:szCs w:val="20"/>
              </w:rPr>
              <w:t xml:space="preserve">RF / RNF</w:t>
            </w:r>
          </w:p>
        </w:tc>
        <w:tc>
          <w:tcPr>
            <w:tcW w:type="dxa" w:w="7160"/>
            <w:tcMar>
              <w:top w:type="dxa" w:w="50"/>
              <w:left w:type="dxa" w:w="90"/>
              <w:bottom w:type="dxa" w:w="50"/>
              <w:right w:type="dxa" w:w="90"/>
            </w:tcMar>
          </w:tcPr>
          <w:p>
            <w:pPr>
              <w:spacing w:after="30" w:line="260"/>
            </w:pPr>
            <w:r>
              <w:rPr>
                <w:rFonts w:ascii="Calibri" w:cs="Calibri" w:eastAsia="Calibri" w:hAnsi="Calibri"/>
                <w:sz w:val="20"/>
                <w:szCs w:val="20"/>
              </w:rPr>
              <w:t xml:space="preserve">Requisito Funcional / Requisito No Funcional.</w:t>
            </w:r>
          </w:p>
        </w:tc>
      </w:tr>
      <w:tr>
        <w:tc>
          <w:tcPr>
            <w:tcW w:type="dxa" w:w="2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71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Área responsable de la validación manual y la gestión de estatus de las facturas.</w:t>
            </w:r>
          </w:p>
        </w:tc>
      </w:tr>
      <w:tr>
        <w:tc>
          <w:tcPr>
            <w:tcW w:type="dxa" w:w="2200"/>
            <w:tcMar>
              <w:top w:type="dxa" w:w="50"/>
              <w:left w:type="dxa" w:w="90"/>
              <w:bottom w:type="dxa" w:w="50"/>
              <w:right w:type="dxa" w:w="90"/>
            </w:tcMar>
          </w:tcPr>
          <w:p>
            <w:pPr>
              <w:spacing w:after="30" w:line="260"/>
            </w:pPr>
            <w:r>
              <w:rPr>
                <w:rFonts w:ascii="Calibri" w:cs="Calibri" w:eastAsia="Calibri" w:hAnsi="Calibri"/>
                <w:sz w:val="20"/>
                <w:szCs w:val="20"/>
              </w:rPr>
              <w:t xml:space="preserve">Proveedor Nacional / Internacional</w:t>
            </w:r>
          </w:p>
        </w:tc>
        <w:tc>
          <w:tcPr>
            <w:tcW w:type="dxa" w:w="7160"/>
            <w:tcMar>
              <w:top w:type="dxa" w:w="50"/>
              <w:left w:type="dxa" w:w="90"/>
              <w:bottom w:type="dxa" w:w="50"/>
              <w:right w:type="dxa" w:w="90"/>
            </w:tcMar>
          </w:tcPr>
          <w:p>
            <w:pPr>
              <w:spacing w:after="30" w:line="260"/>
            </w:pPr>
            <w:r>
              <w:rPr>
                <w:rFonts w:ascii="Calibri" w:cs="Calibri" w:eastAsia="Calibri" w:hAnsi="Calibri"/>
                <w:sz w:val="20"/>
                <w:szCs w:val="20"/>
              </w:rPr>
              <w:t xml:space="preserve">Clasificación del proveedor que determina el flujo de carga y validación (nacional con XML; internacional con Invoice en PDF).</w:t>
            </w:r>
          </w:p>
        </w:tc>
      </w:tr>
      <w:tr>
        <w:tc>
          <w:tcPr>
            <w:tcW w:type="dxa" w:w="2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XML</w:t>
            </w:r>
          </w:p>
        </w:tc>
        <w:tc>
          <w:tcPr>
            <w:tcW w:type="dxa" w:w="71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Archivo de la factura electrónica nacional del que se extrae el folio y los datos a validar.</w:t>
            </w:r>
          </w:p>
        </w:tc>
      </w:tr>
      <w:tr>
        <w:tc>
          <w:tcPr>
            <w:tcW w:type="dxa" w:w="2200"/>
            <w:tcMar>
              <w:top w:type="dxa" w:w="50"/>
              <w:left w:type="dxa" w:w="90"/>
              <w:bottom w:type="dxa" w:w="50"/>
              <w:right w:type="dxa" w:w="90"/>
            </w:tcMar>
          </w:tcPr>
          <w:p>
            <w:pPr>
              <w:spacing w:after="30" w:line="260"/>
            </w:pPr>
            <w:r>
              <w:rPr>
                <w:rFonts w:ascii="Calibri" w:cs="Calibri" w:eastAsia="Calibri" w:hAnsi="Calibri"/>
                <w:sz w:val="20"/>
                <w:szCs w:val="20"/>
              </w:rPr>
              <w:t xml:space="preserve">Keycloak</w:t>
            </w:r>
          </w:p>
        </w:tc>
        <w:tc>
          <w:tcPr>
            <w:tcW w:type="dxa" w:w="7160"/>
            <w:tcMar>
              <w:top w:type="dxa" w:w="50"/>
              <w:left w:type="dxa" w:w="90"/>
              <w:bottom w:type="dxa" w:w="50"/>
              <w:right w:type="dxa" w:w="90"/>
            </w:tcMar>
          </w:tcPr>
          <w:p>
            <w:pPr>
              <w:spacing w:after="30" w:line="260"/>
            </w:pPr>
            <w:r>
              <w:rPr>
                <w:rFonts w:ascii="Calibri" w:cs="Calibri" w:eastAsia="Calibri" w:hAnsi="Calibri"/>
                <w:sz w:val="20"/>
                <w:szCs w:val="20"/>
              </w:rPr>
              <w:t xml:space="preserve">Proveedor de identidad (IdP): servidor de autenticación OIDC que gestiona las cuentas de los usuarios del portal y sus credenciales, incluida la contraseña temporal del proveedor (RN-HU03-01).</w:t>
            </w:r>
          </w:p>
        </w:tc>
      </w:tr>
      <w:tr>
        <w:tc>
          <w:tcPr>
            <w:tcW w:type="dxa" w:w="2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Recepción de Facturas</w:t>
            </w:r>
          </w:p>
        </w:tc>
        <w:tc>
          <w:tcPr>
            <w:tcW w:type="dxa" w:w="71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Buzón/área destino de las notificaciones (recepcionfacturas@ultrasist.com.mx).</w:t>
            </w:r>
          </w:p>
        </w:tc>
      </w:tr>
    </w:tbl>
    <w:p>
      <w:pPr>
        <w:pStyle w:val="Heading2"/>
        <w:spacing w:after="90" w:before="220"/>
      </w:pPr>
      <w:r>
        <w:rPr>
          <w:rFonts w:ascii="Calibri" w:cs="Calibri" w:eastAsia="Calibri" w:hAnsi="Calibri"/>
          <w:b/>
          <w:bCs/>
          <w:color w:val="1F3864"/>
          <w:sz w:val="25"/>
          <w:szCs w:val="25"/>
        </w:rPr>
        <w:t xml:space="preserve">1.4 Referencias</w:t>
      </w:r>
    </w:p>
    <w:p>
      <w:pPr>
        <w:pStyle w:val="ListParagraph"/>
        <w:numPr>
          <w:ilvl w:val="0"/>
          <w:numId w:val="1"/>
        </w:numPr>
        <w:spacing w:after="50" w:line="264"/>
      </w:pPr>
      <w:r>
        <w:rPr>
          <w:rFonts w:ascii="Calibri" w:cs="Calibri" w:eastAsia="Calibri" w:hAnsi="Calibri"/>
          <w:sz w:val="22"/>
          <w:szCs w:val="22"/>
        </w:rPr>
        <w:t xml:space="preserve">Validacion_HUs_MVP_Portal_Proveedores.docx — Validación de HUs contra el Alcance del MVP (documento base y fuente de verdad de esta ERS).</w:t>
      </w:r>
    </w:p>
    <w:p>
      <w:pPr>
        <w:pStyle w:val="ListParagraph"/>
        <w:numPr>
          <w:ilvl w:val="0"/>
          <w:numId w:val="1"/>
        </w:numPr>
        <w:spacing w:after="50" w:line="264"/>
      </w:pPr>
      <w:r>
        <w:rPr>
          <w:rFonts w:ascii="Calibri" w:cs="Calibri" w:eastAsia="Calibri" w:hAnsi="Calibri"/>
          <w:sz w:val="22"/>
          <w:szCs w:val="22"/>
        </w:rPr>
        <w:t xml:space="preserve">Minuta_Portal_Proveedores_ULTRASIST_21Sep2026.docx — sección “Alcance del MVP” (fuente primaria del alcance).</w:t>
      </w:r>
    </w:p>
    <w:p>
      <w:pPr>
        <w:pStyle w:val="ListParagraph"/>
        <w:numPr>
          <w:ilvl w:val="0"/>
          <w:numId w:val="1"/>
        </w:numPr>
        <w:spacing w:after="50" w:line="264"/>
      </w:pPr>
      <w:r>
        <w:rPr>
          <w:rFonts w:ascii="Calibri" w:cs="Calibri" w:eastAsia="Calibri" w:hAnsi="Calibri"/>
          <w:sz w:val="22"/>
          <w:szCs w:val="22"/>
        </w:rPr>
        <w:t xml:space="preserve">HUs Portal Proveedores ULTRASIST_v2.docx — Historias de Usuario y Reglas de Negocio.</w:t>
      </w:r>
    </w:p>
    <w:p>
      <w:pPr>
        <w:pStyle w:val="Heading2"/>
        <w:spacing w:after="90" w:before="220"/>
      </w:pPr>
      <w:r>
        <w:rPr>
          <w:rFonts w:ascii="Calibri" w:cs="Calibri" w:eastAsia="Calibri" w:hAnsi="Calibri"/>
          <w:b/>
          <w:bCs/>
          <w:color w:val="1F3864"/>
          <w:sz w:val="25"/>
          <w:szCs w:val="25"/>
        </w:rPr>
        <w:t xml:space="preserve">1.5 Visión general del documento</w:t>
      </w:r>
    </w:p>
    <w:p>
      <w:pPr>
        <w:spacing w:after="120" w:before="0" w:line="276"/>
      </w:pPr>
      <w:r>
        <w:rPr>
          <w:rFonts w:ascii="Calibri" w:cs="Calibri" w:eastAsia="Calibri" w:hAnsi="Calibri"/>
          <w:sz w:val="22"/>
          <w:szCs w:val="22"/>
        </w:rPr>
        <w:t xml:space="preserve">La sección 2 describe el producto, sus usuarios, restricciones y suposiciones. La sección 3 detalla las Historias de Usuario y los requisitos específicos: funcionales (RF), de interfaces externas, no funcionales, reglas de negocio y el modelo de estados de la factura. La sección 4 presenta la matriz de trazabilidad HU ↔ RF ↔ RN y la verificación de cobertura del Alcance del MVP. La sección 5 contiene el registro de aprobaciones.</w:t>
      </w:r>
    </w:p>
    <w:p>
      <w:pPr>
        <w:pStyle w:val="Heading1"/>
        <w:pBdr>
          <w:bottom w:val="single" w:color="2E5496" w:sz="6" w:space="4"/>
        </w:pBdr>
        <w:spacing w:after="140" w:before="320"/>
      </w:pPr>
      <w:r>
        <w:rPr>
          <w:rFonts w:ascii="Calibri" w:cs="Calibri" w:eastAsia="Calibri" w:hAnsi="Calibri"/>
          <w:b/>
          <w:bCs/>
          <w:color w:val="1F3864"/>
          <w:sz w:val="30"/>
          <w:szCs w:val="30"/>
        </w:rPr>
        <w:t xml:space="preserve">2. Descripción general</w:t>
      </w:r>
    </w:p>
    <w:p>
      <w:pPr>
        <w:pStyle w:val="Heading2"/>
        <w:spacing w:after="90" w:before="220"/>
      </w:pPr>
      <w:r>
        <w:rPr>
          <w:rFonts w:ascii="Calibri" w:cs="Calibri" w:eastAsia="Calibri" w:hAnsi="Calibri"/>
          <w:b/>
          <w:bCs/>
          <w:color w:val="1F3864"/>
          <w:sz w:val="25"/>
          <w:szCs w:val="25"/>
        </w:rPr>
        <w:t xml:space="preserve">2.1 Perspectiva del producto</w:t>
      </w:r>
    </w:p>
    <w:p>
      <w:pPr>
        <w:spacing w:after="120" w:before="0" w:line="276"/>
      </w:pPr>
      <w:r>
        <w:rPr>
          <w:rFonts w:ascii="Calibri" w:cs="Calibri" w:eastAsia="Calibri" w:hAnsi="Calibri"/>
          <w:sz w:val="22"/>
          <w:szCs w:val="22"/>
        </w:rPr>
        <w:t xml:space="preserve">El Portal de Proveedores ULTRASIST es una aplicación web que digitaliza la recepción, validación, seguimiento y control de facturas de proveedores. Incorpora control de duplicados, gestión de estatus y notificaciones automáticas por correo. Se desarrolla de forma iterativa (Sprints), iniciando por este MVP.</w:t>
      </w:r>
    </w:p>
    <w:p>
      <w:pPr>
        <w:pStyle w:val="Heading2"/>
        <w:spacing w:after="90" w:before="220"/>
      </w:pPr>
      <w:r>
        <w:rPr>
          <w:rFonts w:ascii="Calibri" w:cs="Calibri" w:eastAsia="Calibri" w:hAnsi="Calibri"/>
          <w:b/>
          <w:bCs/>
          <w:color w:val="1F3864"/>
          <w:sz w:val="25"/>
          <w:szCs w:val="25"/>
        </w:rPr>
        <w:t xml:space="preserve">2.2 Funciones del producto (resumen)</w:t>
      </w:r>
    </w:p>
    <w:p>
      <w:pPr>
        <w:pStyle w:val="ListParagraph"/>
        <w:numPr>
          <w:ilvl w:val="0"/>
          <w:numId w:val="1"/>
        </w:numPr>
        <w:spacing w:after="50" w:line="264"/>
      </w:pPr>
      <w:r>
        <w:rPr>
          <w:rFonts w:ascii="Calibri" w:cs="Calibri" w:eastAsia="Calibri" w:hAnsi="Calibri"/>
          <w:sz w:val="22"/>
          <w:szCs w:val="22"/>
        </w:rPr>
        <w:t xml:space="preserve">Administración y configuración: carga masiva del catálogo de proveedores, autorización de proveedores, envío de credenciales temporales, definición de archivos mínimos, configuración de Reglas de Validación, administración de catálogos y configuración de plantillas, correos y destinatarios de notificaciones.</w:t>
      </w:r>
    </w:p>
    <w:p>
      <w:pPr>
        <w:pStyle w:val="ListParagraph"/>
        <w:numPr>
          <w:ilvl w:val="0"/>
          <w:numId w:val="1"/>
        </w:numPr>
        <w:spacing w:after="50" w:line="264"/>
      </w:pPr>
      <w:r>
        <w:rPr>
          <w:rFonts w:ascii="Calibri" w:cs="Calibri" w:eastAsia="Calibri" w:hAnsi="Calibri"/>
          <w:sz w:val="22"/>
          <w:szCs w:val="22"/>
        </w:rPr>
        <w:t xml:space="preserve">Acceso y seguridad: primer inicio de sesión con cambio obligatorio de contraseña y política de complejidad.</w:t>
      </w:r>
    </w:p>
    <w:p>
      <w:pPr>
        <w:pStyle w:val="ListParagraph"/>
        <w:numPr>
          <w:ilvl w:val="0"/>
          <w:numId w:val="1"/>
        </w:numPr>
        <w:spacing w:after="50" w:line="264"/>
      </w:pPr>
      <w:r>
        <w:rPr>
          <w:rFonts w:ascii="Calibri" w:cs="Calibri" w:eastAsia="Calibri" w:hAnsi="Calibri"/>
          <w:sz w:val="22"/>
          <w:szCs w:val="22"/>
        </w:rPr>
        <w:t xml:space="preserve">Gestión de facturas (Proveedor): registro y carga de facturas con archivos mínimos (Nacional con PDF/XML e Internacional con Invoice), envío a validación con verificación y control de duplicados, seguimiento del estatus, y cancelación con acuse.</w:t>
      </w:r>
    </w:p>
    <w:p>
      <w:pPr>
        <w:pStyle w:val="ListParagraph"/>
        <w:numPr>
          <w:ilvl w:val="0"/>
          <w:numId w:val="1"/>
        </w:numPr>
        <w:spacing w:after="50" w:line="264"/>
      </w:pPr>
      <w:r>
        <w:rPr>
          <w:rFonts w:ascii="Calibri" w:cs="Calibri" w:eastAsia="Calibri" w:hAnsi="Calibri"/>
          <w:sz w:val="22"/>
          <w:szCs w:val="22"/>
        </w:rPr>
        <w:t xml:space="preserve">Validación (PMO): consulta/listado de facturas, pantalla de validación manual y cambio de estatus (Autorizada / Rechazada / Observaciones) con registro de observaciones y notificaciones automáticas.</w:t>
      </w:r>
    </w:p>
    <w:p>
      <w:pPr>
        <w:pStyle w:val="Heading2"/>
        <w:spacing w:after="90" w:before="220"/>
      </w:pPr>
      <w:r>
        <w:rPr>
          <w:rFonts w:ascii="Calibri" w:cs="Calibri" w:eastAsia="Calibri" w:hAnsi="Calibri"/>
          <w:b/>
          <w:bCs/>
          <w:color w:val="1F3864"/>
          <w:sz w:val="25"/>
          <w:szCs w:val="25"/>
        </w:rPr>
        <w:t xml:space="preserve">2.3 Características de los usuarios</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2200"/>
        <w:gridCol w:w="7160"/>
      </w:tblGrid>
      <w:tr>
        <w:trPr>
          <w:tblHeader/>
        </w:trPr>
        <w:tc>
          <w:tcPr>
            <w:tcW w:type="dxa" w:w="22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Rol</w:t>
            </w:r>
          </w:p>
        </w:tc>
        <w:tc>
          <w:tcPr>
            <w:tcW w:type="dxa" w:w="71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Descripción</w:t>
            </w:r>
          </w:p>
        </w:tc>
      </w:tr>
      <w:tr>
        <w:tc>
          <w:tcPr>
            <w:tcW w:type="dxa" w:w="2200"/>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7160"/>
            <w:tcMar>
              <w:top w:type="dxa" w:w="50"/>
              <w:left w:type="dxa" w:w="90"/>
              <w:bottom w:type="dxa" w:w="50"/>
              <w:right w:type="dxa" w:w="90"/>
            </w:tcMar>
          </w:tcPr>
          <w:p>
            <w:pPr>
              <w:spacing w:after="30" w:line="260"/>
            </w:pPr>
            <w:r>
              <w:rPr>
                <w:rFonts w:ascii="Calibri" w:cs="Calibri" w:eastAsia="Calibri" w:hAnsi="Calibri"/>
                <w:sz w:val="20"/>
                <w:szCs w:val="20"/>
              </w:rPr>
              <w:t xml:space="preserve">Gestiona el catálogo de proveedores y los accesos; administra catálogos y configura parámetros, archivos mínimos, Reglas de Validación, plantillas, correos y destinatarios.</w:t>
            </w:r>
          </w:p>
        </w:tc>
      </w:tr>
      <w:tr>
        <w:tc>
          <w:tcPr>
            <w:tcW w:type="dxa" w:w="2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Proveedor (Nacional / Internacional)</w:t>
            </w:r>
          </w:p>
        </w:tc>
        <w:tc>
          <w:tcPr>
            <w:tcW w:type="dxa" w:w="71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Registra y carga sus facturas con los archivos mínimos, las envía a validación, da seguimiento a su estatus y puede solicitar su cancelación. El flujo difiere entre Nacional (PDF/XML) e Internacional (Invoice en PDF).</w:t>
            </w:r>
          </w:p>
        </w:tc>
      </w:tr>
      <w:tr>
        <w:tc>
          <w:tcPr>
            <w:tcW w:type="dxa" w:w="2200"/>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7160"/>
            <w:tcMar>
              <w:top w:type="dxa" w:w="50"/>
              <w:left w:type="dxa" w:w="90"/>
              <w:bottom w:type="dxa" w:w="50"/>
              <w:right w:type="dxa" w:w="90"/>
            </w:tcMar>
          </w:tcPr>
          <w:p>
            <w:pPr>
              <w:spacing w:after="30" w:line="260"/>
            </w:pPr>
            <w:r>
              <w:rPr>
                <w:rFonts w:ascii="Calibri" w:cs="Calibri" w:eastAsia="Calibri" w:hAnsi="Calibri"/>
                <w:sz w:val="20"/>
                <w:szCs w:val="20"/>
              </w:rPr>
              <w:t xml:space="preserve">Consulta las facturas, realiza la validación manual y modifica su estatus (Autorizada / Rechazada / Observaciones), registrando observaciones.</w:t>
            </w:r>
          </w:p>
        </w:tc>
      </w:tr>
    </w:tbl>
    <w:p>
      <w:pPr>
        <w:pStyle w:val="Heading2"/>
        <w:spacing w:after="90" w:before="220"/>
      </w:pPr>
      <w:r>
        <w:rPr>
          <w:rFonts w:ascii="Calibri" w:cs="Calibri" w:eastAsia="Calibri" w:hAnsi="Calibri"/>
          <w:b/>
          <w:bCs/>
          <w:color w:val="1F3864"/>
          <w:sz w:val="25"/>
          <w:szCs w:val="25"/>
        </w:rPr>
        <w:t xml:space="preserve">2.4 Restricciones</w:t>
      </w:r>
    </w:p>
    <w:p>
      <w:pPr>
        <w:pStyle w:val="ListParagraph"/>
        <w:numPr>
          <w:ilvl w:val="0"/>
          <w:numId w:val="1"/>
        </w:numPr>
        <w:spacing w:after="50" w:line="264"/>
      </w:pPr>
      <w:r>
        <w:rPr>
          <w:rFonts w:ascii="Calibri" w:cs="Calibri" w:eastAsia="Calibri" w:hAnsi="Calibri"/>
          <w:sz w:val="22"/>
          <w:szCs w:val="22"/>
        </w:rPr>
        <w:t xml:space="preserve">El control de duplicados de facturas nacionales se realiza por el número de folio contenido en el XML (RN-HU13-01); el de facturas internacionales, por el nombre de archivo (RF-14).</w:t>
      </w:r>
    </w:p>
    <w:p>
      <w:pPr>
        <w:pStyle w:val="ListParagraph"/>
        <w:numPr>
          <w:ilvl w:val="0"/>
          <w:numId w:val="1"/>
        </w:numPr>
        <w:spacing w:after="50" w:line="264"/>
      </w:pPr>
      <w:r>
        <w:rPr>
          <w:rFonts w:ascii="Calibri" w:cs="Calibri" w:eastAsia="Calibri" w:hAnsi="Calibri"/>
          <w:sz w:val="22"/>
          <w:szCs w:val="22"/>
        </w:rPr>
        <w:t xml:space="preserve">Las credenciales del proveedor, incluida la contraseña temporal, deben gestionarse en el proveedor de identidad (Keycloak); el sistema de proveedores no almacena contraseñas ni sus hashes (RN-HU03-01).</w:t>
      </w:r>
    </w:p>
    <w:p>
      <w:pPr>
        <w:pStyle w:val="ListParagraph"/>
        <w:numPr>
          <w:ilvl w:val="0"/>
          <w:numId w:val="1"/>
        </w:numPr>
        <w:spacing w:after="50" w:line="264"/>
      </w:pPr>
      <w:r>
        <w:rPr>
          <w:rFonts w:ascii="Calibri" w:cs="Calibri" w:eastAsia="Calibri" w:hAnsi="Calibri"/>
          <w:sz w:val="22"/>
          <w:szCs w:val="22"/>
        </w:rPr>
        <w:t xml:space="preserve">La política de contraseñas exige mínimo 8 caracteres con al menos una letra, un número y un carácter especial (RF-06).</w:t>
      </w:r>
    </w:p>
    <w:p>
      <w:pPr>
        <w:pStyle w:val="ListParagraph"/>
        <w:numPr>
          <w:ilvl w:val="0"/>
          <w:numId w:val="1"/>
        </w:numPr>
        <w:spacing w:after="50" w:line="264"/>
      </w:pPr>
      <w:r>
        <w:rPr>
          <w:rFonts w:ascii="Calibri" w:cs="Calibri" w:eastAsia="Calibri" w:hAnsi="Calibri"/>
          <w:sz w:val="22"/>
          <w:szCs w:val="22"/>
        </w:rPr>
        <w:t xml:space="preserve">Las notificaciones se realizan mediante plantillas de correo configurables (RF-05), con destinatarios configurables desde parámetros (RF-13).</w:t>
      </w:r>
    </w:p>
    <w:p>
      <w:pPr>
        <w:pStyle w:val="Heading2"/>
        <w:spacing w:after="90" w:before="220"/>
      </w:pPr>
      <w:r>
        <w:rPr>
          <w:rFonts w:ascii="Calibri" w:cs="Calibri" w:eastAsia="Calibri" w:hAnsi="Calibri"/>
          <w:b/>
          <w:bCs/>
          <w:color w:val="1F3864"/>
          <w:sz w:val="25"/>
          <w:szCs w:val="25"/>
        </w:rPr>
        <w:t xml:space="preserve">2.5 Suposiciones y dependencias</w:t>
      </w:r>
    </w:p>
    <w:p>
      <w:pPr>
        <w:pStyle w:val="ListParagraph"/>
        <w:numPr>
          <w:ilvl w:val="0"/>
          <w:numId w:val="1"/>
        </w:numPr>
        <w:spacing w:after="50" w:line="264"/>
      </w:pPr>
      <w:r>
        <w:rPr>
          <w:rFonts w:ascii="Calibri" w:cs="Calibri" w:eastAsia="Calibri" w:hAnsi="Calibri"/>
          <w:sz w:val="22"/>
          <w:szCs w:val="22"/>
        </w:rPr>
        <w:t xml:space="preserve">El catálogo de proveedores (RF-01) y las Reglas de Validación (RF-11) se configuran antes de operar el flujo de facturas.</w:t>
      </w:r>
    </w:p>
    <w:p>
      <w:pPr>
        <w:pStyle w:val="ListParagraph"/>
        <w:numPr>
          <w:ilvl w:val="0"/>
          <w:numId w:val="1"/>
        </w:numPr>
        <w:spacing w:after="50" w:line="264"/>
      </w:pPr>
      <w:r>
        <w:rPr>
          <w:rFonts w:ascii="Calibri" w:cs="Calibri" w:eastAsia="Calibri" w:hAnsi="Calibri"/>
          <w:sz w:val="22"/>
          <w:szCs w:val="22"/>
        </w:rPr>
        <w:t xml:space="preserve">Se asume la disponibilidad del proveedor de identidad (Keycloak) para la autenticación de los usuarios y la gestión de sus credenciales.</w:t>
      </w:r>
    </w:p>
    <w:p>
      <w:pPr>
        <w:pStyle w:val="ListParagraph"/>
        <w:numPr>
          <w:ilvl w:val="0"/>
          <w:numId w:val="1"/>
        </w:numPr>
        <w:spacing w:after="50" w:line="264"/>
      </w:pPr>
      <w:r>
        <w:rPr>
          <w:rFonts w:ascii="Calibri" w:cs="Calibri" w:eastAsia="Calibri" w:hAnsi="Calibri"/>
          <w:sz w:val="22"/>
          <w:szCs w:val="22"/>
        </w:rPr>
        <w:t xml:space="preserve">La validación extranjera (RF-15) se especifica como “en la medida de lo posible”; su detalle se refinará con los ejemplos de invoices extranjeros acordados en la minuta.</w:t>
      </w:r>
    </w:p>
    <w:p>
      <w:pPr>
        <w:pStyle w:val="ListParagraph"/>
        <w:numPr>
          <w:ilvl w:val="0"/>
          <w:numId w:val="1"/>
        </w:numPr>
        <w:spacing w:after="50" w:line="264"/>
      </w:pPr>
      <w:r>
        <w:rPr>
          <w:rFonts w:ascii="Calibri" w:cs="Calibri" w:eastAsia="Calibri" w:hAnsi="Calibri"/>
          <w:sz w:val="22"/>
          <w:szCs w:val="22"/>
        </w:rPr>
        <w:t xml:space="preserve">Las dependencias entre requisitos se documentan en el campo “Dependencias” de cada RF (sección 3.2).</w:t>
      </w:r>
    </w:p>
    <w:p>
      <w:r>
        <w:br w:type="page"/>
      </w:r>
    </w:p>
    <w:p>
      <w:pPr>
        <w:pStyle w:val="Heading1"/>
        <w:pBdr>
          <w:bottom w:val="single" w:color="2E5496" w:sz="6" w:space="4"/>
        </w:pBdr>
        <w:spacing w:after="140" w:before="320"/>
      </w:pPr>
      <w:r>
        <w:rPr>
          <w:rFonts w:ascii="Calibri" w:cs="Calibri" w:eastAsia="Calibri" w:hAnsi="Calibri"/>
          <w:b/>
          <w:bCs/>
          <w:color w:val="1F3864"/>
          <w:sz w:val="30"/>
          <w:szCs w:val="30"/>
        </w:rPr>
        <w:t xml:space="preserve">3. Requisitos específicos</w:t>
      </w:r>
    </w:p>
    <w:p>
      <w:pPr>
        <w:pStyle w:val="Heading2"/>
        <w:spacing w:after="90" w:before="220"/>
      </w:pPr>
      <w:r>
        <w:rPr>
          <w:rFonts w:ascii="Calibri" w:cs="Calibri" w:eastAsia="Calibri" w:hAnsi="Calibri"/>
          <w:b/>
          <w:bCs/>
          <w:color w:val="1F3864"/>
          <w:sz w:val="25"/>
          <w:szCs w:val="25"/>
        </w:rPr>
        <w:t xml:space="preserve">3.1 Historias de Usuario</w:t>
      </w:r>
    </w:p>
    <w:p>
      <w:pPr>
        <w:spacing w:after="120" w:before="0" w:line="276"/>
      </w:pPr>
      <w:r>
        <w:rPr>
          <w:rFonts w:ascii="Calibri" w:cs="Calibri" w:eastAsia="Calibri" w:hAnsi="Calibri"/>
          <w:i/>
          <w:iCs/>
          <w:color w:val="595959"/>
          <w:sz w:val="20"/>
          <w:szCs w:val="20"/>
        </w:rPr>
        <w:t xml:space="preserve">Historias de Usuario que conforman el alcance del MVP. Las provenientes del documento de HUs se transcriben de forma literal; las restantes se redactan en el mismo formato a partir del Alcance del MVP de la minuta.</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1000"/>
        <w:gridCol w:w="1500"/>
        <w:gridCol w:w="5260"/>
        <w:gridCol w:w="1600"/>
      </w:tblGrid>
      <w:tr>
        <w:trPr>
          <w:tblHeader/>
        </w:trPr>
        <w:tc>
          <w:tcPr>
            <w:tcW w:type="dxa" w:w="10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ID HU</w:t>
            </w:r>
          </w:p>
        </w:tc>
        <w:tc>
          <w:tcPr>
            <w:tcW w:type="dxa" w:w="15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Rol</w:t>
            </w:r>
          </w:p>
        </w:tc>
        <w:tc>
          <w:tcPr>
            <w:tcW w:type="dxa" w:w="52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Historia de Usuario</w:t>
            </w:r>
          </w:p>
        </w:tc>
        <w:tc>
          <w:tcPr>
            <w:tcW w:type="dxa" w:w="16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Origen</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HU-01</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requiero una opción para cargar de forma masiva los registros de los proveedores a través de un formato de Excel predefinido para tener cargado en el sistema el catálogo de los proveedores.</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HU-02</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requiere una opción para actualizar el estatus del proveedor a “Autorizado” de forma masiva para que el proveedor esté listo para operar.</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HU-03</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requiero que se mande al correo del Proveedor que haya sido “Autorizado” , tanto el usuario y password temporal, para que el proveedor pueda logearse por primera vez al portal de proveedores de forma segura.</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HU-04</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requiero definir los archivos mínimos que debe subir el proveedor cuando se trate un proveedor “Nacional” o “internacional” para poder enviar su factura.</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HU-05</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requiero definir en la sección de configuración del sistema, los diferentes tipos de plantillas que se enviaran a los usuarios en los diferentes tipos de cambios de estatus de la factura “Autorizada”,”Rechazada”,”Observaciones” y “Cancelada”</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HU-06</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requiero configurar las Reglas de Validación, definiendo los datos de ULTRASIST (RFC, Razón Social, Dirección y Código Postal) contra los que se comparan las facturas, para que el sistema valide automáticamente la información de las facturas que envían los proveedores.</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HU-07</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requiero administrar y cargar los catálogos que utiliza el portal para mantener actualizada la información de referencia de la operación.</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HU-08</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administrador requiero configurar los correos y destinatarios de las notificaciones, como el buzón de “Recepción de Facturas”, para que cada aviso del sistema llegue a la persona o área correcta.</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HU-10</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proveedor requiero logearme por primera vez y que el sistema me solicite cambiar mi correo de forma automática y que dicho password sea de al menos 8 caracteres y al menos una letra, un número y un carácter especial.</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HU-12</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proveedor requiero registra cada una de mis facturas y cargar los archivos mínimos necesarios que fueron definidos desde la configuración del sistema para que pueda ser validada.</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HU-13</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Proveedor Nacional</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proveedor “Nacional” requiero que una vez cargue mi factura junto con los archivos mínimos necesarios, yo pueda enviar mi factura al área de validación (PMO), previo la validación de los datos del formato XML coincidan con los datos que están definidos en la sección de “Reglas de Validación”.</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HU-14</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proveedor requiero poder cancelar mi factura y en este caso el sistema de deberá obligar a cargar como archivo adicional el “Acuse de Cancelación” y deberá enviar por correo a “Recepción de Facturas” un correo en donde se indique el “número de factura” y “nombre del proveedor” ha sido cancelado que por favor acepte la “Cancelación” antes de la fecha siguiente=Fecha Actual + 72 horas (3 dias).</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HU-15</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Proveedor Internacional</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proveedor “Internacional” requiero registrar mi factura cargando el Invoice en PDF y los documentos soporte definidos en la configuración del sistema, y que el sistema evite duplicados por nombre de archivo, para que mi factura pueda ser validada.</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HU-16</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Proveedor Internacional</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proveedor “Internacional” requiero enviar mi Invoice al área de validación (PMO), previa validación —en la medida de lo posible— de mis datos, de los datos de ULTRASIST y de la dirección, para que mi factura sea revisada.</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HU-17</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proveedor requiero consultar el estatus de cada una de mis facturas y, en su caso, las observaciones o el motivo de rechazo, para dar seguimiento a su proceso de validación y pago.</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HU-18</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PMO requiero consultar el listado de las facturas registradas por los proveedores, con su estatus y datos principales, para identificar y seleccionar las que debo revisar.</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tcMar>
              <w:top w:type="dxa" w:w="50"/>
              <w:left w:type="dxa" w:w="90"/>
              <w:bottom w:type="dxa" w:w="50"/>
              <w:right w:type="dxa" w:w="90"/>
            </w:tcMar>
          </w:tcPr>
          <w:p>
            <w:pPr>
              <w:spacing w:after="30" w:line="260"/>
            </w:pPr>
            <w:r>
              <w:rPr>
                <w:rFonts w:ascii="Calibri" w:cs="Calibri" w:eastAsia="Calibri" w:hAnsi="Calibri"/>
                <w:sz w:val="20"/>
                <w:szCs w:val="20"/>
              </w:rPr>
              <w:t xml:space="preserve">HU-19</w:t>
            </w:r>
          </w:p>
        </w:tc>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5260"/>
            <w:tcMar>
              <w:top w:type="dxa" w:w="50"/>
              <w:left w:type="dxa" w:w="90"/>
              <w:bottom w:type="dxa" w:w="50"/>
              <w:right w:type="dxa" w:w="90"/>
            </w:tcMar>
          </w:tcPr>
          <w:p>
            <w:pPr>
              <w:spacing w:after="30" w:line="260"/>
            </w:pPr>
            <w:r>
              <w:rPr>
                <w:rFonts w:ascii="Calibri" w:cs="Calibri" w:eastAsia="Calibri" w:hAnsi="Calibri"/>
                <w:sz w:val="20"/>
                <w:szCs w:val="20"/>
              </w:rPr>
              <w:t xml:space="preserve">Yo como PMO requiero visualizar el contenido de la factura y sus documentos soporte, junto con el resultado de las validaciones automáticas, para realizar la validación manual antes de cambiar su estatus.</w:t>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Redactada en esta ERS (Alcance del MVP)</w:t>
            </w:r>
          </w:p>
        </w:tc>
      </w:tr>
      <w:tr>
        <w:tc>
          <w:tcPr>
            <w:tcW w:type="dxa" w:w="10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HU-20</w:t>
            </w:r>
          </w:p>
        </w:tc>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5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Yo como PMO requiero poder cambiar a través de 3 botones cambiar el estatus de la factura a “Autorizada”, “Rechazada” y “Observaciones”.</w:t>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Documento de HUs (literal)</w:t>
            </w:r>
          </w:p>
        </w:tc>
      </w:tr>
    </w:tbl>
    <w:p>
      <w:pPr>
        <w:pStyle w:val="Heading2"/>
        <w:spacing w:after="90" w:before="220"/>
      </w:pPr>
      <w:r>
        <w:rPr>
          <w:rFonts w:ascii="Calibri" w:cs="Calibri" w:eastAsia="Calibri" w:hAnsi="Calibri"/>
          <w:b/>
          <w:bCs/>
          <w:color w:val="1F3864"/>
          <w:sz w:val="25"/>
          <w:szCs w:val="25"/>
        </w:rPr>
        <w:t xml:space="preserve">3.2 Requisitos funcionales</w:t>
      </w:r>
    </w:p>
    <w:p>
      <w:pPr>
        <w:spacing w:after="120" w:before="0" w:line="276"/>
      </w:pPr>
      <w:r>
        <w:rPr>
          <w:rFonts w:ascii="Calibri" w:cs="Calibri" w:eastAsia="Calibri" w:hAnsi="Calibri"/>
          <w:i/>
          <w:iCs/>
          <w:color w:val="595959"/>
          <w:sz w:val="20"/>
          <w:szCs w:val="20"/>
        </w:rPr>
        <w:t xml:space="preserve">Cada requisito funcional se deriva de una HU. Los requisitos RF-11 a RF-18 corresponden a elementos del Alcance del MVP que el backlog original de HUs no incluía; para cerrar la cobertura, en esta ERS se definen como nuevas HU (HU-06 a HU-08 y HU-15 a HU-19), marcadas “(nueva)”. La prioridad de todos los requisitos es Alta, por corresponder al alcance comprometido del MVP. Cada requisito documenta sus dependencias con otros.</w:t>
      </w:r>
    </w:p>
    <w:p>
      <w:pPr>
        <w:pStyle w:val="Heading3"/>
        <w:spacing w:after="60" w:before="160"/>
      </w:pPr>
      <w:r>
        <w:rPr>
          <w:rFonts w:ascii="Calibri" w:cs="Calibri" w:eastAsia="Calibri" w:hAnsi="Calibri"/>
          <w:b/>
          <w:bCs/>
          <w:color w:val="2E5496"/>
          <w:sz w:val="23"/>
          <w:szCs w:val="23"/>
        </w:rPr>
        <w:t xml:space="preserve">A. Módulo de Administración y Configuración (Rol Administrador)</w:t>
      </w:r>
    </w:p>
    <w:p>
      <w:pPr>
        <w:spacing w:after="30" w:before="140"/>
      </w:pPr>
      <w:r>
        <w:rPr>
          <w:rFonts w:ascii="Calibri" w:cs="Calibri" w:eastAsia="Calibri" w:hAnsi="Calibri"/>
          <w:b/>
          <w:bCs/>
          <w:color w:val="1F3864"/>
          <w:sz w:val="23"/>
          <w:szCs w:val="23"/>
        </w:rPr>
        <w:t xml:space="preserve">RF-01  ·  Carga masiva de proveedores</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HU-01</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RN-HU01-01</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Administrador cargar de forma masiva los registros de los proveedores mediante un formato de Excel predefinido, con el fin de poblar el catálogo de proveedores del sistema.</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sistema deberá aceptar un archivo de Excel con un formato/plantilla predefinido.</w:t>
      </w:r>
    </w:p>
    <w:p>
      <w:pPr>
        <w:pStyle w:val="ListParagraph"/>
        <w:numPr>
          <w:ilvl w:val="0"/>
          <w:numId w:val="1"/>
        </w:numPr>
        <w:spacing w:after="50" w:line="264"/>
      </w:pPr>
      <w:r>
        <w:rPr>
          <w:rFonts w:ascii="Calibri" w:cs="Calibri" w:eastAsia="Calibri" w:hAnsi="Calibri"/>
          <w:sz w:val="21"/>
          <w:szCs w:val="21"/>
        </w:rPr>
        <w:t xml:space="preserve">El sistema deberá mapear los datos requeridos del archivo hacia los campos del catálogo de proveedores (RN-HU01-01).</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Requisito base. Habilita RF-02 (autorización) y RF-03 (envío de credenciales).</w:t>
      </w:r>
    </w:p>
    <w:p>
      <w:pPr>
        <w:spacing w:after="30" w:before="140"/>
      </w:pPr>
      <w:r>
        <w:rPr>
          <w:rFonts w:ascii="Calibri" w:cs="Calibri" w:eastAsia="Calibri" w:hAnsi="Calibri"/>
          <w:b/>
          <w:bCs/>
          <w:color w:val="1F3864"/>
          <w:sz w:val="23"/>
          <w:szCs w:val="23"/>
        </w:rPr>
        <w:t xml:space="preserve">RF-02  ·  Actualización masiva del estatus del proveedor a “Autorizado”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HU-02</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Administrador actualizar de forma masiva el estatus del proveedor a “Autorizado”, dejándolo listo para operar en el portal.</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sistema deberá permitir seleccionar múltiples proveedores y cambiar su estatus en una sola operación.</w:t>
      </w:r>
    </w:p>
    <w:p>
      <w:pPr>
        <w:pStyle w:val="ListParagraph"/>
        <w:numPr>
          <w:ilvl w:val="0"/>
          <w:numId w:val="1"/>
        </w:numPr>
        <w:spacing w:after="50" w:line="264"/>
      </w:pPr>
      <w:r>
        <w:rPr>
          <w:rFonts w:ascii="Calibri" w:cs="Calibri" w:eastAsia="Calibri" w:hAnsi="Calibri"/>
          <w:sz w:val="21"/>
          <w:szCs w:val="21"/>
        </w:rPr>
        <w:t xml:space="preserve">Al quedar “Autorizado”, el proveedor queda habilitado para acceder al portal y se dispara el envío de sus credenciales (RF-03).</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RF-01 (catálogo cargado). Habilita RF-03.</w:t>
      </w:r>
    </w:p>
    <w:p>
      <w:pPr>
        <w:spacing w:after="30" w:before="140"/>
      </w:pPr>
      <w:r>
        <w:rPr>
          <w:rFonts w:ascii="Calibri" w:cs="Calibri" w:eastAsia="Calibri" w:hAnsi="Calibri"/>
          <w:b/>
          <w:bCs/>
          <w:color w:val="1F3864"/>
          <w:sz w:val="23"/>
          <w:szCs w:val="23"/>
        </w:rPr>
        <w:t xml:space="preserve">RF-03  ·  Envío de usuario y contraseña temporal al proveedor autorizado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 / Sistema</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HU-03</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RN-HU03-01</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Al autorizar a un proveedor, el sistema deberá enviar automáticamente a su correo el usuario y una contraseña temporal, para que pueda iniciar sesión por primera vez de forma segura.</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envío del correo con usuario y contraseña temporal deberá dispararse automáticamente al quedar el proveedor “Autorizado”.</w:t>
      </w:r>
    </w:p>
    <w:p>
      <w:pPr>
        <w:pStyle w:val="ListParagraph"/>
        <w:numPr>
          <w:ilvl w:val="0"/>
          <w:numId w:val="1"/>
        </w:numPr>
        <w:spacing w:after="50" w:line="264"/>
      </w:pPr>
      <w:r>
        <w:rPr>
          <w:rFonts w:ascii="Calibri" w:cs="Calibri" w:eastAsia="Calibri" w:hAnsi="Calibri"/>
          <w:sz w:val="21"/>
          <w:szCs w:val="21"/>
        </w:rPr>
        <w:t xml:space="preserve">La contraseña temporal deberá gestionarse en el proveedor de identidad (Keycloak) y no almacenarse, ni en claro ni como hash, dentro del sistema de proveedores (RN-HU03-01).</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RF-02 (proveedor autorizado). Precede a RF-06 (cambio de contraseña en primer acceso). Usa RF-13 (destinatarios/plantillas).</w:t>
      </w:r>
    </w:p>
    <w:p>
      <w:pPr>
        <w:spacing w:after="30" w:before="140"/>
      </w:pPr>
      <w:r>
        <w:rPr>
          <w:rFonts w:ascii="Calibri" w:cs="Calibri" w:eastAsia="Calibri" w:hAnsi="Calibri"/>
          <w:b/>
          <w:bCs/>
          <w:color w:val="1F3864"/>
          <w:sz w:val="23"/>
          <w:szCs w:val="23"/>
        </w:rPr>
        <w:t xml:space="preserve">RF-04  ·  Definición de archivos mínimos por tipo de proveedor</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HU-04</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Administrador definir los archivos mínimos que debe subir el proveedor según su tipo (“Nacional” o “Internacional”) para poder enviar su factura.</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La configuración deberá diferenciar el conjunto de archivos mínimos para proveedores “Nacional” y para proveedores “Internacional”.</w:t>
      </w:r>
    </w:p>
    <w:p>
      <w:pPr>
        <w:pStyle w:val="ListParagraph"/>
        <w:numPr>
          <w:ilvl w:val="0"/>
          <w:numId w:val="1"/>
        </w:numPr>
        <w:spacing w:after="50" w:line="264"/>
      </w:pPr>
      <w:r>
        <w:rPr>
          <w:rFonts w:ascii="Calibri" w:cs="Calibri" w:eastAsia="Calibri" w:hAnsi="Calibri"/>
          <w:sz w:val="21"/>
          <w:szCs w:val="21"/>
        </w:rPr>
        <w:t xml:space="preserve">Los archivos mínimos definidos aquí condicionan el registro/envío de la factura (véase RF-07 y RF-14).</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Requisito base de configuración. Consumido por RF-07 (nacional) y RF-14 (internacional).</w:t>
      </w:r>
    </w:p>
    <w:p>
      <w:pPr>
        <w:spacing w:after="30" w:before="140"/>
      </w:pPr>
      <w:r>
        <w:rPr>
          <w:rFonts w:ascii="Calibri" w:cs="Calibri" w:eastAsia="Calibri" w:hAnsi="Calibri"/>
          <w:b/>
          <w:bCs/>
          <w:color w:val="1F3864"/>
          <w:sz w:val="23"/>
          <w:szCs w:val="23"/>
        </w:rPr>
        <w:t xml:space="preserve">RF-05  ·  Configuración de plantillas de correo por cambio de estatus</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HU-05</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Administrador definir, en la sección de configuración, las plantillas de correo que se enviarán a los usuarios ante los cambios de estatus de la factura: “Autorizada”, “Rechazada”, “Observaciones” y “Cancelada”.</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Deberá existir una plantilla configurable por cada tipo de cambio de estatus indicado.</w:t>
      </w:r>
    </w:p>
    <w:p>
      <w:pPr>
        <w:pStyle w:val="ListParagraph"/>
        <w:numPr>
          <w:ilvl w:val="0"/>
          <w:numId w:val="1"/>
        </w:numPr>
        <w:spacing w:after="50" w:line="264"/>
      </w:pPr>
      <w:r>
        <w:rPr>
          <w:rFonts w:ascii="Calibri" w:cs="Calibri" w:eastAsia="Calibri" w:hAnsi="Calibri"/>
          <w:sz w:val="21"/>
          <w:szCs w:val="21"/>
        </w:rPr>
        <w:t xml:space="preserve">Las plantillas alimentan las notificaciones automáticas descritas en RF-09, RF-10 y RF-16.</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Se complementa con RF-13 (destinatarios). Consumida por RF-09, RF-10 y RF-16 (notificaciones).</w:t>
      </w:r>
    </w:p>
    <w:p>
      <w:pPr>
        <w:spacing w:after="30" w:before="140"/>
      </w:pPr>
      <w:r>
        <w:rPr>
          <w:rFonts w:ascii="Calibri" w:cs="Calibri" w:eastAsia="Calibri" w:hAnsi="Calibri"/>
          <w:b/>
          <w:bCs/>
          <w:color w:val="1F3864"/>
          <w:sz w:val="23"/>
          <w:szCs w:val="23"/>
        </w:rPr>
        <w:t xml:space="preserve">RF-11  ·  Configuración de las Reglas de Validación</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HU-06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“Configurar parámetros y reglas de validación.” El sistema deberá permitir al Administrador configurar las “Reglas de Validación” aplicables a las facturas, definiendo los campos a comparar contra los datos registrados de ULTRASIST: RFC, Razón Social, Dirección y Código Postal.</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Administrador deberá poder dar de alta, modificar y baja los campos y los valores de referencia de ULTRASIST usados en la validación.</w:t>
      </w:r>
    </w:p>
    <w:p>
      <w:pPr>
        <w:pStyle w:val="ListParagraph"/>
        <w:numPr>
          <w:ilvl w:val="0"/>
          <w:numId w:val="1"/>
        </w:numPr>
        <w:spacing w:after="50" w:line="264"/>
      </w:pPr>
      <w:r>
        <w:rPr>
          <w:rFonts w:ascii="Calibri" w:cs="Calibri" w:eastAsia="Calibri" w:hAnsi="Calibri"/>
          <w:sz w:val="21"/>
          <w:szCs w:val="21"/>
        </w:rPr>
        <w:t xml:space="preserve">Las reglas configuradas deberán ser las que consume la validación de facturas nacionales (RF-08) y, en la medida de lo posible, la validación de facturas extranjeras (RF-15).</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Requisito base de configuración. Habilita RF-08 (validación nacional) y RF-15 (validación extranjera). Relacionado con RF-04.</w:t>
      </w:r>
    </w:p>
    <w:p>
      <w:pPr>
        <w:spacing w:after="30" w:before="140"/>
      </w:pPr>
      <w:r>
        <w:rPr>
          <w:rFonts w:ascii="Calibri" w:cs="Calibri" w:eastAsia="Calibri" w:hAnsi="Calibri"/>
          <w:b/>
          <w:bCs/>
          <w:color w:val="1F3864"/>
          <w:sz w:val="23"/>
          <w:szCs w:val="23"/>
        </w:rPr>
        <w:t xml:space="preserve">RF-12  ·  Administración y carga de catálogos</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HU-07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“Administrar y cargar catálogos.” El sistema deberá permitir al Administrador administrar y cargar los catálogos requeridos por la operación del portal, adicionales al catálogo de proveedores.</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sistema deberá permitir crear, consultar, actualizar y cargar los catálogos definidos para la operación.</w:t>
      </w:r>
    </w:p>
    <w:p>
      <w:pPr>
        <w:pStyle w:val="ListParagraph"/>
        <w:numPr>
          <w:ilvl w:val="0"/>
          <w:numId w:val="1"/>
        </w:numPr>
        <w:spacing w:after="50" w:line="264"/>
      </w:pPr>
      <w:r>
        <w:rPr>
          <w:rFonts w:ascii="Calibri" w:cs="Calibri" w:eastAsia="Calibri" w:hAnsi="Calibri"/>
          <w:sz w:val="21"/>
          <w:szCs w:val="21"/>
        </w:rPr>
        <w:t xml:space="preserve">El catálogo de proveedores se gestiona en RF-01; este requisito cubre los demás catálogos.</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Requisito base de configuración. Puede proveer valores de referencia a RF-04 y RF-11.</w:t>
      </w:r>
    </w:p>
    <w:p>
      <w:pPr>
        <w:spacing w:after="30" w:before="140"/>
      </w:pPr>
      <w:r>
        <w:rPr>
          <w:rFonts w:ascii="Calibri" w:cs="Calibri" w:eastAsia="Calibri" w:hAnsi="Calibri"/>
          <w:b/>
          <w:bCs/>
          <w:color w:val="1F3864"/>
          <w:sz w:val="23"/>
          <w:szCs w:val="23"/>
        </w:rPr>
        <w:t xml:space="preserve">RF-13  ·  Configuración de correos y destinatarios de notificaciones</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Administrador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HU-08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“Configurar correos y destinatarios de notificaciones.” El sistema deberá permitir al Administrador configurar los correos y destinatarios de las notificaciones (p. ej. el buzón “Recepción de Facturas”, recepcionfacturas@ultrasist.com.mx), complementando las plantillas de RF-05.</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Administrador deberá poder definir el/los destinatario(s) de cada notificación desde la sección de parámetros.</w:t>
      </w:r>
    </w:p>
    <w:p>
      <w:pPr>
        <w:pStyle w:val="ListParagraph"/>
        <w:numPr>
          <w:ilvl w:val="0"/>
          <w:numId w:val="1"/>
        </w:numPr>
        <w:spacing w:after="50" w:line="264"/>
      </w:pPr>
      <w:r>
        <w:rPr>
          <w:rFonts w:ascii="Calibri" w:cs="Calibri" w:eastAsia="Calibri" w:hAnsi="Calibri"/>
          <w:sz w:val="21"/>
          <w:szCs w:val="21"/>
        </w:rPr>
        <w:t xml:space="preserve">El destinatario “Recepción de Facturas” usado en RF-09 y RF-10 deberá tomarse de esta configuración.</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Complementa RF-05 (plantillas). Consumida por RF-09, RF-10 y RF-16 (notificaciones).</w:t>
      </w:r>
    </w:p>
    <w:p>
      <w:pPr>
        <w:pStyle w:val="Heading3"/>
        <w:spacing w:after="60" w:before="160"/>
      </w:pPr>
      <w:r>
        <w:rPr>
          <w:rFonts w:ascii="Calibri" w:cs="Calibri" w:eastAsia="Calibri" w:hAnsi="Calibri"/>
          <w:b/>
          <w:bCs/>
          <w:color w:val="2E5496"/>
          <w:sz w:val="23"/>
          <w:szCs w:val="23"/>
        </w:rPr>
        <w:t xml:space="preserve">B. Módulo de Acceso y Seguridad</w:t>
      </w:r>
    </w:p>
    <w:p>
      <w:pPr>
        <w:spacing w:after="30" w:before="140"/>
      </w:pPr>
      <w:r>
        <w:rPr>
          <w:rFonts w:ascii="Calibri" w:cs="Calibri" w:eastAsia="Calibri" w:hAnsi="Calibri"/>
          <w:b/>
          <w:bCs/>
          <w:color w:val="1F3864"/>
          <w:sz w:val="23"/>
          <w:szCs w:val="23"/>
        </w:rPr>
        <w:t xml:space="preserve">RF-06  ·  Cambio de contraseña en el primer inicio de sesión</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Proveedor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HU-10</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En el primer inicio de sesión, el sistema deberá solicitar al proveedor cambiar su contraseña antes de permitirle continuar.</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La nueva contraseña deberá tener al menos 8 caracteres e incluir al menos una letra, un número y un carácter especial.</w:t>
      </w:r>
    </w:p>
    <w:p>
      <w:pPr>
        <w:pStyle w:val="ListParagraph"/>
        <w:numPr>
          <w:ilvl w:val="0"/>
          <w:numId w:val="1"/>
        </w:numPr>
        <w:spacing w:after="50" w:line="264"/>
      </w:pPr>
      <w:r>
        <w:rPr>
          <w:rFonts w:ascii="Calibri" w:cs="Calibri" w:eastAsia="Calibri" w:hAnsi="Calibri"/>
          <w:sz w:val="21"/>
          <w:szCs w:val="21"/>
        </w:rPr>
        <w:t xml:space="preserve">El sistema no deberá permitir continuar la operación hasta que la contraseña haya sido cambiada.</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RF-03 (credenciales temporales enviadas).</w:t>
      </w:r>
    </w:p>
    <w:p>
      <w:pPr>
        <w:pStyle w:val="Heading3"/>
        <w:spacing w:after="60" w:before="160"/>
      </w:pPr>
      <w:r>
        <w:rPr>
          <w:rFonts w:ascii="Calibri" w:cs="Calibri" w:eastAsia="Calibri" w:hAnsi="Calibri"/>
          <w:b/>
          <w:bCs/>
          <w:color w:val="2E5496"/>
          <w:sz w:val="23"/>
          <w:szCs w:val="23"/>
        </w:rPr>
        <w:t xml:space="preserve">C. Módulo de Gestión de Facturas (Rol Proveedor)</w:t>
      </w:r>
    </w:p>
    <w:p>
      <w:pPr>
        <w:spacing w:after="30" w:before="140"/>
      </w:pPr>
      <w:r>
        <w:rPr>
          <w:rFonts w:ascii="Calibri" w:cs="Calibri" w:eastAsia="Calibri" w:hAnsi="Calibri"/>
          <w:b/>
          <w:bCs/>
          <w:color w:val="1F3864"/>
          <w:sz w:val="23"/>
          <w:szCs w:val="23"/>
        </w:rPr>
        <w:t xml:space="preserve">RF-07  ·  Registro de factura y carga de archivos mínimos — Proveedor Nacional</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Proveedor Nacional</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HU-12</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RN-HU12-01</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proveedor registrar cada una de sus facturas y cargar los archivos mínimos necesarios (definidos en RF-04) para que la factura pueda ser validada. Para el proveedor Nacional incluye la carga de PDF y XML.</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sistema deberá exigir los archivos mínimos configurados según el tipo de proveedor.</w:t>
      </w:r>
    </w:p>
    <w:p>
      <w:pPr>
        <w:pStyle w:val="ListParagraph"/>
        <w:numPr>
          <w:ilvl w:val="0"/>
          <w:numId w:val="1"/>
        </w:numPr>
        <w:spacing w:after="50" w:line="264"/>
      </w:pPr>
      <w:r>
        <w:rPr>
          <w:rFonts w:ascii="Calibri" w:cs="Calibri" w:eastAsia="Calibri" w:hAnsi="Calibri"/>
          <w:sz w:val="21"/>
          <w:szCs w:val="21"/>
        </w:rPr>
        <w:t xml:space="preserve">Al quedar cargada, la factura deberá tomar el estatus “Cargada” (RN-HU12-01).</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RF-04 (archivos mínimos). Precede a RF-08.</w:t>
      </w:r>
    </w:p>
    <w:p>
      <w:pPr>
        <w:spacing w:after="30" w:before="140"/>
      </w:pPr>
      <w:r>
        <w:rPr>
          <w:rFonts w:ascii="Calibri" w:cs="Calibri" w:eastAsia="Calibri" w:hAnsi="Calibri"/>
          <w:b/>
          <w:bCs/>
          <w:color w:val="1F3864"/>
          <w:sz w:val="23"/>
          <w:szCs w:val="23"/>
        </w:rPr>
        <w:t xml:space="preserve">RF-08  ·  Envío a validación (PMO) con verificación del XML — Proveedor Nacional</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Proveedor Nacional</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HU-13</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RN-HU13-01 y RN-HU13-02</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proveedor “Nacional”, una vez cargada su factura junto con los archivos mínimos, enviarla al área de validación (PMO), previa validación de que los datos del XML coincidan con los definidos en la sección de “Reglas de Validación”.</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Antes de permitir el envío, el sistema deberá validar que los datos del XML coincidan con los parámetros de la sección “Reglas de Validación” (RF-11).</w:t>
      </w:r>
    </w:p>
    <w:p>
      <w:pPr>
        <w:pStyle w:val="ListParagraph"/>
        <w:numPr>
          <w:ilvl w:val="0"/>
          <w:numId w:val="1"/>
        </w:numPr>
        <w:spacing w:after="50" w:line="264"/>
      </w:pPr>
      <w:r>
        <w:rPr>
          <w:rFonts w:ascii="Calibri" w:cs="Calibri" w:eastAsia="Calibri" w:hAnsi="Calibri"/>
          <w:sz w:val="21"/>
          <w:szCs w:val="21"/>
        </w:rPr>
        <w:t xml:space="preserve">El sistema deberá validar que la factura no haya sido cargada previamente, buscando por el número de folio contenido en el XML (RN-HU13-01).</w:t>
      </w:r>
    </w:p>
    <w:p>
      <w:pPr>
        <w:pStyle w:val="ListParagraph"/>
        <w:numPr>
          <w:ilvl w:val="0"/>
          <w:numId w:val="1"/>
        </w:numPr>
        <w:spacing w:after="50" w:line="264"/>
      </w:pPr>
      <w:r>
        <w:rPr>
          <w:rFonts w:ascii="Calibri" w:cs="Calibri" w:eastAsia="Calibri" w:hAnsi="Calibri"/>
          <w:sz w:val="21"/>
          <w:szCs w:val="21"/>
        </w:rPr>
        <w:t xml:space="preserve">Una vez superadas las validaciones, el sistema deberá cambiar el estatus de la factura a “Enviada” (RN-HU13-02).</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RF-07 (factura cargada) y RF-11 (Reglas de Validación). Alimenta RF-17/RF-18; precede a RF-10.</w:t>
      </w:r>
    </w:p>
    <w:p>
      <w:pPr>
        <w:spacing w:after="30" w:before="140"/>
      </w:pPr>
      <w:r>
        <w:rPr>
          <w:rFonts w:ascii="Calibri" w:cs="Calibri" w:eastAsia="Calibri" w:hAnsi="Calibri"/>
          <w:b/>
          <w:bCs/>
          <w:color w:val="1F3864"/>
          <w:sz w:val="23"/>
          <w:szCs w:val="23"/>
        </w:rPr>
        <w:t xml:space="preserve">RF-14  ·  Registro y carga de Invoice — Proveedor Internacional</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Proveedor Internacional</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HU-15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“Proveedores extranjeros: carga de Invoice en PDF y documentos soporte; evitar duplicados inicialmente por nombre de archivo.” El sistema deberá permitir al proveedor “Internacional” registrar su factura cargando el Invoice en PDF y los documentos soporte (archivos mínimos de RF-04), evitando duplicados por nombre de archivo.</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sistema deberá exigir los archivos mínimos configurados para el proveedor “Internacional”.</w:t>
      </w:r>
    </w:p>
    <w:p>
      <w:pPr>
        <w:pStyle w:val="ListParagraph"/>
        <w:numPr>
          <w:ilvl w:val="0"/>
          <w:numId w:val="1"/>
        </w:numPr>
        <w:spacing w:after="50" w:line="264"/>
      </w:pPr>
      <w:r>
        <w:rPr>
          <w:rFonts w:ascii="Calibri" w:cs="Calibri" w:eastAsia="Calibri" w:hAnsi="Calibri"/>
          <w:sz w:val="21"/>
          <w:szCs w:val="21"/>
        </w:rPr>
        <w:t xml:space="preserve">El sistema deberá impedir la carga de un Invoice duplicado, detectándolo por el nombre de archivo.</w:t>
      </w:r>
    </w:p>
    <w:p>
      <w:pPr>
        <w:pStyle w:val="ListParagraph"/>
        <w:numPr>
          <w:ilvl w:val="0"/>
          <w:numId w:val="1"/>
        </w:numPr>
        <w:spacing w:after="50" w:line="264"/>
      </w:pPr>
      <w:r>
        <w:rPr>
          <w:rFonts w:ascii="Calibri" w:cs="Calibri" w:eastAsia="Calibri" w:hAnsi="Calibri"/>
          <w:sz w:val="21"/>
          <w:szCs w:val="21"/>
        </w:rPr>
        <w:t xml:space="preserve">Al quedar cargada, la factura deberá tomar el estatus “Cargada” (consistente con RF-07).</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RF-04 (archivos mínimos internacional) y RF-01 (catálogo). Precede a RF-15.</w:t>
      </w:r>
    </w:p>
    <w:p>
      <w:pPr>
        <w:spacing w:after="30" w:before="140"/>
      </w:pPr>
      <w:r>
        <w:rPr>
          <w:rFonts w:ascii="Calibri" w:cs="Calibri" w:eastAsia="Calibri" w:hAnsi="Calibri"/>
          <w:b/>
          <w:bCs/>
          <w:color w:val="1F3864"/>
          <w:sz w:val="23"/>
          <w:szCs w:val="23"/>
        </w:rPr>
        <w:t xml:space="preserve">RF-15  ·  Envío a validación (PMO) — Proveedor Internacional</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Proveedor Internacional</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HU-16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“Validación extranjera: validar, en la medida de lo posible, la información del Invoice, incluyendo datos del proveedor, datos de ULTRASIST y dirección.” El sistema deberá permitir al proveedor “Internacional” enviar su Invoice al área de validación (PMO), validando —en la medida de lo posible— la información del Invoice.</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Antes del envío, el sistema deberá validar, en la medida de lo posible, los datos del Invoice (datos del proveedor, datos de ULTRASIST y dirección) contra las Reglas de Validación aplicables (RF-11).</w:t>
      </w:r>
    </w:p>
    <w:p>
      <w:pPr>
        <w:pStyle w:val="ListParagraph"/>
        <w:numPr>
          <w:ilvl w:val="0"/>
          <w:numId w:val="1"/>
        </w:numPr>
        <w:spacing w:after="50" w:line="264"/>
      </w:pPr>
      <w:r>
        <w:rPr>
          <w:rFonts w:ascii="Calibri" w:cs="Calibri" w:eastAsia="Calibri" w:hAnsi="Calibri"/>
          <w:sz w:val="21"/>
          <w:szCs w:val="21"/>
        </w:rPr>
        <w:t xml:space="preserve">Una vez enviada, la factura deberá tomar el estatus “Enviada” (consistente con RF-08).</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RF-14 (Invoice cargado) y RF-11 (Reglas de Validación). Precede a RF-17/RF-18 y RF-10.</w:t>
      </w:r>
    </w:p>
    <w:p>
      <w:pPr>
        <w:spacing w:after="30" w:before="140"/>
      </w:pPr>
      <w:r>
        <w:rPr>
          <w:rFonts w:ascii="Calibri" w:cs="Calibri" w:eastAsia="Calibri" w:hAnsi="Calibri"/>
          <w:b/>
          <w:bCs/>
          <w:color w:val="1F3864"/>
          <w:sz w:val="23"/>
          <w:szCs w:val="23"/>
        </w:rPr>
        <w:t xml:space="preserve">RF-09  ·  Cancelación de factura con acuse y notificación</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Proveedor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HU-14</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proveedor solicitar la cancelación de su factura, obligando a cargar el “Acuse de Cancelación” y notificando al área de Recepción de Facturas para su aceptación.</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Al solicitar la cancelación, el sistema deberá obligar a cargar como archivo adicional el “Acuse de Cancelación”.</w:t>
      </w:r>
    </w:p>
    <w:p>
      <w:pPr>
        <w:pStyle w:val="ListParagraph"/>
        <w:numPr>
          <w:ilvl w:val="0"/>
          <w:numId w:val="1"/>
        </w:numPr>
        <w:spacing w:after="50" w:line="264"/>
      </w:pPr>
      <w:r>
        <w:rPr>
          <w:rFonts w:ascii="Calibri" w:cs="Calibri" w:eastAsia="Calibri" w:hAnsi="Calibri"/>
          <w:sz w:val="21"/>
          <w:szCs w:val="21"/>
        </w:rPr>
        <w:t xml:space="preserve">El sistema deberá enviar un correo a “Recepción de Facturas” indicando el “número de factura” y el “nombre del proveedor”.</w:t>
      </w:r>
    </w:p>
    <w:p>
      <w:pPr>
        <w:pStyle w:val="ListParagraph"/>
        <w:numPr>
          <w:ilvl w:val="0"/>
          <w:numId w:val="1"/>
        </w:numPr>
        <w:spacing w:after="50" w:line="264"/>
      </w:pPr>
      <w:r>
        <w:rPr>
          <w:rFonts w:ascii="Calibri" w:cs="Calibri" w:eastAsia="Calibri" w:hAnsi="Calibri"/>
          <w:sz w:val="21"/>
          <w:szCs w:val="21"/>
        </w:rPr>
        <w:t xml:space="preserve">El correo deberá solicitar aceptar la “Cancelación” antes de la fecha: Fecha Actual + 72 horas (3 días).</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la existencia de la factura (RF-07/RF-08/RF-14/RF-15) y de RF-13 (destinatario “Recepción de Facturas”). Usa RF-05 (plantilla “Cancelada”).</w:t>
      </w:r>
    </w:p>
    <w:p>
      <w:pPr>
        <w:spacing w:after="30" w:before="140"/>
      </w:pPr>
      <w:r>
        <w:rPr>
          <w:rFonts w:ascii="Calibri" w:cs="Calibri" w:eastAsia="Calibri" w:hAnsi="Calibri"/>
          <w:b/>
          <w:bCs/>
          <w:color w:val="1F3864"/>
          <w:sz w:val="23"/>
          <w:szCs w:val="23"/>
        </w:rPr>
        <w:t xml:space="preserve">RF-16  ·  Seguimiento del estatus de las facturas (Proveedor)</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Proveedor</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HU-17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“El portal permitirá registrar, validar y dar seguimiento a las facturas cargadas por los proveedores.” El sistema deberá permitir al proveedor consultar y dar seguimiento al estatus de sus facturas.</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proveedor deberá poder listar sus facturas y ver el estatus actual de cada una (Cargada, Enviada, Autorizada, Rechazada, Observaciones, Cancelada).</w:t>
      </w:r>
    </w:p>
    <w:p>
      <w:pPr>
        <w:pStyle w:val="ListParagraph"/>
        <w:numPr>
          <w:ilvl w:val="0"/>
          <w:numId w:val="1"/>
        </w:numPr>
        <w:spacing w:after="50" w:line="264"/>
      </w:pPr>
      <w:r>
        <w:rPr>
          <w:rFonts w:ascii="Calibri" w:cs="Calibri" w:eastAsia="Calibri" w:hAnsi="Calibri"/>
          <w:sz w:val="21"/>
          <w:szCs w:val="21"/>
        </w:rPr>
        <w:t xml:space="preserve">El proveedor deberá poder consultar el motivo/observaciones cuando la factura esté “Rechazada” o con “Observaciones”.</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la existencia de facturas (RF-07/RF-08/RF-14/RF-15) y de los cambios de estatus (RF-10).</w:t>
      </w:r>
    </w:p>
    <w:p>
      <w:pPr>
        <w:pStyle w:val="Heading3"/>
        <w:spacing w:after="60" w:before="160"/>
      </w:pPr>
      <w:r>
        <w:rPr>
          <w:rFonts w:ascii="Calibri" w:cs="Calibri" w:eastAsia="Calibri" w:hAnsi="Calibri"/>
          <w:b/>
          <w:bCs/>
          <w:color w:val="2E5496"/>
          <w:sz w:val="23"/>
          <w:szCs w:val="23"/>
        </w:rPr>
        <w:t xml:space="preserve">D. Módulo de Validación (Rol PMO)</w:t>
      </w:r>
    </w:p>
    <w:p>
      <w:pPr>
        <w:spacing w:after="30" w:before="140"/>
      </w:pPr>
      <w:r>
        <w:rPr>
          <w:rFonts w:ascii="Calibri" w:cs="Calibri" w:eastAsia="Calibri" w:hAnsi="Calibri"/>
          <w:b/>
          <w:bCs/>
          <w:color w:val="1F3864"/>
          <w:sz w:val="23"/>
          <w:szCs w:val="23"/>
        </w:rPr>
        <w:t xml:space="preserve">RF-17  ·  Consulta / listado de facturas registradas (PMO)</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PMO</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HU-18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“Consultar las facturas registradas por los proveedores.” El sistema deberá permitir al PMO consultar y listar las facturas registradas por los proveedores, para su revisión y gestión.</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PMO deberá poder listar las facturas con su estatus y datos principales (proveedor, folio/identificador, monto, tipo Nacional/Internacional).</w:t>
      </w:r>
    </w:p>
    <w:p>
      <w:pPr>
        <w:pStyle w:val="ListParagraph"/>
        <w:numPr>
          <w:ilvl w:val="0"/>
          <w:numId w:val="1"/>
        </w:numPr>
        <w:spacing w:after="50" w:line="264"/>
      </w:pPr>
      <w:r>
        <w:rPr>
          <w:rFonts w:ascii="Calibri" w:cs="Calibri" w:eastAsia="Calibri" w:hAnsi="Calibri"/>
          <w:sz w:val="21"/>
          <w:szCs w:val="21"/>
        </w:rPr>
        <w:t xml:space="preserve">El listado deberá permitir seleccionar una factura para su revisión (RF-18).</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facturas registradas (RF-07/RF-08/RF-14/RF-15). Precede a RF-18.</w:t>
      </w:r>
    </w:p>
    <w:p>
      <w:pPr>
        <w:spacing w:after="30" w:before="140"/>
      </w:pPr>
      <w:r>
        <w:rPr>
          <w:rFonts w:ascii="Calibri" w:cs="Calibri" w:eastAsia="Calibri" w:hAnsi="Calibri"/>
          <w:b/>
          <w:bCs/>
          <w:color w:val="1F3864"/>
          <w:sz w:val="23"/>
          <w:szCs w:val="23"/>
        </w:rPr>
        <w:t xml:space="preserve">RF-18  ·  Validación manual / revisión del contenido de la factura (PMO)</w:t>
      </w:r>
      <w:r>
        <w:rPr>
          <w:rFonts w:ascii="Calibri" w:cs="Calibri" w:eastAsia="Calibri" w:hAnsi="Calibri"/>
          <w:b/>
          <w:bCs/>
          <w:color w:val="2E5496"/>
          <w:sz w:val="18"/>
          <w:szCs w:val="18"/>
        </w:rPr>
        <w:t xml:space="preserve">   [nuevo]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PMO</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HU-19 (nueva)</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Origen (Alcance del MVP): “Realizar la validación manual de las facturas cargadas.” El sistema deberá proporcionar al PMO una pantalla para realizar la validación manual, visualizando el contenido de la factura y sus archivos soporte antes de decidir el cambio de estatus.</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El PMO deberá poder visualizar la factura (PDF/XML/Invoice) y los documentos soporte cargados.</w:t>
      </w:r>
    </w:p>
    <w:p>
      <w:pPr>
        <w:pStyle w:val="ListParagraph"/>
        <w:numPr>
          <w:ilvl w:val="0"/>
          <w:numId w:val="1"/>
        </w:numPr>
        <w:spacing w:after="50" w:line="264"/>
      </w:pPr>
      <w:r>
        <w:rPr>
          <w:rFonts w:ascii="Calibri" w:cs="Calibri" w:eastAsia="Calibri" w:hAnsi="Calibri"/>
          <w:sz w:val="21"/>
          <w:szCs w:val="21"/>
        </w:rPr>
        <w:t xml:space="preserve">El PMO deberá poder revisar los datos y el resultado de las validaciones automáticas previas.</w:t>
      </w:r>
    </w:p>
    <w:p>
      <w:pPr>
        <w:pStyle w:val="ListParagraph"/>
        <w:numPr>
          <w:ilvl w:val="0"/>
          <w:numId w:val="1"/>
        </w:numPr>
        <w:spacing w:after="50" w:line="264"/>
      </w:pPr>
      <w:r>
        <w:rPr>
          <w:rFonts w:ascii="Calibri" w:cs="Calibri" w:eastAsia="Calibri" w:hAnsi="Calibri"/>
          <w:sz w:val="21"/>
          <w:szCs w:val="21"/>
        </w:rPr>
        <w:t xml:space="preserve">Desde esta pantalla, el PMO ejecuta el cambio de estatus (RF-10).</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RF-17 (selección desde el listado). Precede a RF-10 (decisión de estatus).</w:t>
      </w:r>
    </w:p>
    <w:p>
      <w:pPr>
        <w:spacing w:after="30" w:before="140"/>
      </w:pPr>
      <w:r>
        <w:rPr>
          <w:rFonts w:ascii="Calibri" w:cs="Calibri" w:eastAsia="Calibri" w:hAnsi="Calibri"/>
          <w:b/>
          <w:bCs/>
          <w:color w:val="1F3864"/>
          <w:sz w:val="23"/>
          <w:szCs w:val="23"/>
        </w:rPr>
        <w:t xml:space="preserve">RF-10  ·  Cambio de estatus de la factura por PMO</w:t>
      </w:r>
    </w:p>
    <w:p>
      <w:pPr>
        <w:spacing w:after="50" w:before="0" w:line="276"/>
      </w:pPr>
      <w:r>
        <w:rPr>
          <w:rFonts w:ascii="Calibri" w:cs="Calibri" w:eastAsia="Calibri" w:hAnsi="Calibri"/>
          <w:b/>
          <w:bCs/>
          <w:color w:val="595959"/>
          <w:sz w:val="19"/>
          <w:szCs w:val="19"/>
        </w:rPr>
        <w:t xml:space="preserve">Rol: </w:t>
      </w:r>
      <w:r>
        <w:rPr>
          <w:rFonts w:ascii="Calibri" w:cs="Calibri" w:eastAsia="Calibri" w:hAnsi="Calibri"/>
          <w:color w:val="595959"/>
          <w:sz w:val="19"/>
          <w:szCs w:val="19"/>
        </w:rPr>
        <w:t xml:space="preserve">PMO</w:t>
      </w:r>
      <w:r>
        <w:rPr>
          <w:rFonts w:ascii="Calibri" w:cs="Calibri" w:eastAsia="Calibri" w:hAnsi="Calibri"/>
          <w:b/>
          <w:bCs/>
          <w:color w:val="595959"/>
          <w:sz w:val="19"/>
          <w:szCs w:val="19"/>
        </w:rPr>
        <w:t xml:space="preserve">     HU origen: </w:t>
      </w:r>
      <w:r>
        <w:rPr>
          <w:rFonts w:ascii="Calibri" w:cs="Calibri" w:eastAsia="Calibri" w:hAnsi="Calibri"/>
          <w:color w:val="595959"/>
          <w:sz w:val="19"/>
          <w:szCs w:val="19"/>
        </w:rPr>
        <w:t xml:space="preserve">HU-20</w:t>
      </w:r>
      <w:r>
        <w:rPr>
          <w:rFonts w:ascii="Calibri" w:cs="Calibri" w:eastAsia="Calibri" w:hAnsi="Calibri"/>
          <w:b/>
          <w:bCs/>
          <w:color w:val="595959"/>
          <w:sz w:val="19"/>
          <w:szCs w:val="19"/>
        </w:rPr>
        <w:t xml:space="preserve">     RN: </w:t>
      </w:r>
      <w:r>
        <w:rPr>
          <w:rFonts w:ascii="Calibri" w:cs="Calibri" w:eastAsia="Calibri" w:hAnsi="Calibri"/>
          <w:color w:val="595959"/>
          <w:sz w:val="19"/>
          <w:szCs w:val="19"/>
        </w:rPr>
        <w:t xml:space="preserve">RN-HU20-01, RN-HU20-02 y RN-HU20-03</w:t>
      </w:r>
      <w:r>
        <w:rPr>
          <w:rFonts w:ascii="Calibri" w:cs="Calibri" w:eastAsia="Calibri" w:hAnsi="Calibri"/>
          <w:b/>
          <w:bCs/>
          <w:color w:val="595959"/>
          <w:sz w:val="19"/>
          <w:szCs w:val="19"/>
        </w:rPr>
        <w:t xml:space="preserve">     Prioridad: </w:t>
      </w:r>
      <w:r>
        <w:rPr>
          <w:rFonts w:ascii="Calibri" w:cs="Calibri" w:eastAsia="Calibri" w:hAnsi="Calibri"/>
          <w:color w:val="595959"/>
          <w:sz w:val="19"/>
          <w:szCs w:val="19"/>
        </w:rPr>
        <w:t xml:space="preserve">Alta</w:t>
      </w:r>
    </w:p>
    <w:p>
      <w:pPr>
        <w:spacing w:after="40" w:before="0" w:line="276"/>
      </w:pPr>
      <w:r>
        <w:rPr>
          <w:rFonts w:ascii="Calibri" w:cs="Calibri" w:eastAsia="Calibri" w:hAnsi="Calibri"/>
          <w:sz w:val="21"/>
          <w:szCs w:val="21"/>
        </w:rPr>
        <w:t xml:space="preserve">El sistema deberá permitir al PMO cambiar el estatus de la factura mediante tres botones: “Autorizada”, “Rechazada” y “Observaciones”, gestionando las notificaciones asociadas a cada cambio.</w:t>
      </w:r>
    </w:p>
    <w:p>
      <w:pPr>
        <w:spacing w:after="30" w:before="0" w:line="276"/>
      </w:pPr>
      <w:r>
        <w:rPr>
          <w:rFonts w:ascii="Calibri" w:cs="Calibri" w:eastAsia="Calibri" w:hAnsi="Calibri"/>
          <w:b/>
          <w:bCs/>
          <w:sz w:val="20"/>
          <w:szCs w:val="20"/>
        </w:rPr>
        <w:t xml:space="preserve">Criterios de aceptación:</w:t>
      </w:r>
    </w:p>
    <w:p>
      <w:pPr>
        <w:pStyle w:val="ListParagraph"/>
        <w:numPr>
          <w:ilvl w:val="0"/>
          <w:numId w:val="1"/>
        </w:numPr>
        <w:spacing w:after="50" w:line="264"/>
      </w:pPr>
      <w:r>
        <w:rPr>
          <w:rFonts w:ascii="Calibri" w:cs="Calibri" w:eastAsia="Calibri" w:hAnsi="Calibri"/>
          <w:sz w:val="21"/>
          <w:szCs w:val="21"/>
        </w:rPr>
        <w:t xml:space="preserve">Al “Rechazar” o marcar “Observaciones”, el sistema deberá desplegar un campo “Observaciones” para que el PMO registre las notas correspondientes (RN-HU20-01).</w:t>
      </w:r>
    </w:p>
    <w:p>
      <w:pPr>
        <w:pStyle w:val="ListParagraph"/>
        <w:numPr>
          <w:ilvl w:val="0"/>
          <w:numId w:val="1"/>
        </w:numPr>
        <w:spacing w:after="50" w:line="264"/>
      </w:pPr>
      <w:r>
        <w:rPr>
          <w:rFonts w:ascii="Calibri" w:cs="Calibri" w:eastAsia="Calibri" w:hAnsi="Calibri"/>
          <w:sz w:val="21"/>
          <w:szCs w:val="21"/>
        </w:rPr>
        <w:t xml:space="preserve">Al cambiar a “Autorizada”, el sistema deberá enviar un correo a “Recepción de Facturas” indicando que la factura número X del proveedor Y por el monto Z ha sido autorizada para su pago; el destinatario se toma de la configuración de RF-13 (RN-HU20-02).</w:t>
      </w:r>
    </w:p>
    <w:p>
      <w:pPr>
        <w:pStyle w:val="ListParagraph"/>
        <w:numPr>
          <w:ilvl w:val="0"/>
          <w:numId w:val="1"/>
        </w:numPr>
        <w:spacing w:after="50" w:line="264"/>
      </w:pPr>
      <w:r>
        <w:rPr>
          <w:rFonts w:ascii="Calibri" w:cs="Calibri" w:eastAsia="Calibri" w:hAnsi="Calibri"/>
          <w:sz w:val="21"/>
          <w:szCs w:val="21"/>
        </w:rPr>
        <w:t xml:space="preserve">Al cambiar a “Rechazada” u “Observaciones”, el sistema deberá enviar un correo al proveedor (campo “correo” de la entidad proveedores) indicando la causa capturada en “Observaciones” (RN-HU20-03).</w:t>
      </w:r>
    </w:p>
    <w:p>
      <w:pPr>
        <w:spacing w:after="60" w:before="30" w:line="276"/>
      </w:pPr>
      <w:r>
        <w:rPr>
          <w:rFonts w:ascii="Calibri" w:cs="Calibri" w:eastAsia="Calibri" w:hAnsi="Calibri"/>
          <w:b/>
          <w:bCs/>
          <w:color w:val="2E5496"/>
          <w:sz w:val="20"/>
          <w:szCs w:val="20"/>
        </w:rPr>
        <w:t xml:space="preserve">Dependencias: </w:t>
      </w:r>
      <w:r>
        <w:rPr>
          <w:rFonts w:ascii="Calibri" w:cs="Calibri" w:eastAsia="Calibri" w:hAnsi="Calibri"/>
          <w:i/>
          <w:iCs/>
          <w:sz w:val="20"/>
          <w:szCs w:val="20"/>
        </w:rPr>
        <w:t xml:space="preserve">Depende de RF-18 (revisión manual) y de facturas enviadas (RF-08/RF-15). Usa RF-05 y RF-13 (plantillas y destinatarios).</w:t>
      </w:r>
    </w:p>
    <w:p>
      <w:pPr>
        <w:pStyle w:val="Heading2"/>
        <w:spacing w:after="90" w:before="220"/>
      </w:pPr>
      <w:r>
        <w:rPr>
          <w:rFonts w:ascii="Calibri" w:cs="Calibri" w:eastAsia="Calibri" w:hAnsi="Calibri"/>
          <w:b/>
          <w:bCs/>
          <w:color w:val="1F3864"/>
          <w:sz w:val="25"/>
          <w:szCs w:val="25"/>
        </w:rPr>
        <w:t xml:space="preserve">3.3 Requisitos de interfaces externas</w:t>
      </w:r>
    </w:p>
    <w:p>
      <w:pPr>
        <w:pStyle w:val="ListParagraph"/>
        <w:numPr>
          <w:ilvl w:val="0"/>
          <w:numId w:val="1"/>
        </w:numPr>
        <w:spacing w:after="50" w:line="264"/>
      </w:pPr>
      <w:r>
        <w:rPr>
          <w:rFonts w:ascii="Calibri" w:cs="Calibri" w:eastAsia="Calibri" w:hAnsi="Calibri"/>
          <w:sz w:val="22"/>
          <w:szCs w:val="22"/>
        </w:rPr>
        <w:t xml:space="preserve">Servicio de correo electrónico: envío de notificaciones automáticas al proveedor y a Recepción de Facturas (recepcionfacturas@ultrasist.com.mx), y de credenciales temporales.</w:t>
      </w:r>
    </w:p>
    <w:p>
      <w:pPr>
        <w:pStyle w:val="ListParagraph"/>
        <w:numPr>
          <w:ilvl w:val="0"/>
          <w:numId w:val="1"/>
        </w:numPr>
        <w:spacing w:after="50" w:line="264"/>
      </w:pPr>
      <w:r>
        <w:rPr>
          <w:rFonts w:ascii="Calibri" w:cs="Calibri" w:eastAsia="Calibri" w:hAnsi="Calibri"/>
          <w:sz w:val="22"/>
          <w:szCs w:val="22"/>
        </w:rPr>
        <w:t xml:space="preserve">Proveedor de identidad (Keycloak): autenticación OIDC de los usuarios del portal y gestión de sus credenciales, incluida la contraseña temporal del proveedor.</w:t>
      </w:r>
    </w:p>
    <w:p>
      <w:pPr>
        <w:pStyle w:val="ListParagraph"/>
        <w:numPr>
          <w:ilvl w:val="0"/>
          <w:numId w:val="1"/>
        </w:numPr>
        <w:spacing w:after="50" w:line="264"/>
      </w:pPr>
      <w:r>
        <w:rPr>
          <w:rFonts w:ascii="Calibri" w:cs="Calibri" w:eastAsia="Calibri" w:hAnsi="Calibri"/>
          <w:sz w:val="22"/>
          <w:szCs w:val="22"/>
        </w:rPr>
        <w:t xml:space="preserve">Carga de archivos: formato Excel predefinido para el alta masiva de proveedores; archivos PDF/XML e Invoice, y documentos soporte para las facturas.</w:t>
      </w:r>
    </w:p>
    <w:p>
      <w:pPr>
        <w:pStyle w:val="ListParagraph"/>
        <w:numPr>
          <w:ilvl w:val="0"/>
          <w:numId w:val="1"/>
        </w:numPr>
        <w:spacing w:after="50" w:line="264"/>
      </w:pPr>
      <w:r>
        <w:rPr>
          <w:rFonts w:ascii="Calibri" w:cs="Calibri" w:eastAsia="Calibri" w:hAnsi="Calibri"/>
          <w:sz w:val="22"/>
          <w:szCs w:val="22"/>
        </w:rPr>
        <w:t xml:space="preserve">Lectura de XML: extracción del número de folio y de los datos a comparar contra las “Reglas de Validación” para facturas nacionales.</w:t>
      </w:r>
    </w:p>
    <w:p>
      <w:pPr>
        <w:pStyle w:val="Heading2"/>
        <w:spacing w:after="90" w:before="220"/>
      </w:pPr>
      <w:r>
        <w:rPr>
          <w:rFonts w:ascii="Calibri" w:cs="Calibri" w:eastAsia="Calibri" w:hAnsi="Calibri"/>
          <w:b/>
          <w:bCs/>
          <w:color w:val="1F3864"/>
          <w:sz w:val="25"/>
          <w:szCs w:val="25"/>
        </w:rPr>
        <w:t xml:space="preserve">3.4 Requisitos no funcionales</w:t>
      </w:r>
    </w:p>
    <w:p>
      <w:pPr>
        <w:spacing w:after="120" w:before="0" w:line="276"/>
      </w:pPr>
      <w:r>
        <w:rPr>
          <w:rFonts w:ascii="Calibri" w:cs="Calibri" w:eastAsia="Calibri" w:hAnsi="Calibri"/>
          <w:i/>
          <w:iCs/>
          <w:color w:val="595959"/>
          <w:sz w:val="20"/>
          <w:szCs w:val="20"/>
        </w:rPr>
        <w:t xml:space="preserve">Los valores marcados “(propuesto)” son una línea base sugerida, a confirmar con el negocio.</w:t>
      </w:r>
    </w:p>
    <w:p>
      <w:pPr>
        <w:pStyle w:val="ListParagraph"/>
        <w:numPr>
          <w:ilvl w:val="0"/>
          <w:numId w:val="1"/>
        </w:numPr>
        <w:spacing w:after="50" w:line="264"/>
      </w:pPr>
      <w:r>
        <w:rPr>
          <w:rFonts w:ascii="Calibri" w:cs="Calibri" w:eastAsia="Calibri" w:hAnsi="Calibri"/>
          <w:b/>
          <w:bCs/>
          <w:sz w:val="22"/>
          <w:szCs w:val="22"/>
        </w:rPr>
        <w:t xml:space="preserve">Seguridad: </w:t>
      </w:r>
      <w:r>
        <w:rPr>
          <w:rFonts w:ascii="Calibri" w:cs="Calibri" w:eastAsia="Calibri" w:hAnsi="Calibri"/>
          <w:sz w:val="22"/>
          <w:szCs w:val="22"/>
        </w:rPr>
        <w:t xml:space="preserve">cambio obligatorio de contraseña en el primer acceso; política de complejidad (≥8 caracteres, letra, número y carácter especial); gestión de credenciales, incluidas las contraseñas temporales, en el proveedor de identidad (Keycloak), sin persistirlas ni guardar sus hashes en el sistema.</w:t>
      </w:r>
    </w:p>
    <w:p>
      <w:pPr>
        <w:pStyle w:val="ListParagraph"/>
        <w:numPr>
          <w:ilvl w:val="0"/>
          <w:numId w:val="1"/>
        </w:numPr>
        <w:spacing w:after="50" w:line="264"/>
      </w:pPr>
      <w:r>
        <w:rPr>
          <w:rFonts w:ascii="Calibri" w:cs="Calibri" w:eastAsia="Calibri" w:hAnsi="Calibri"/>
          <w:b/>
          <w:bCs/>
          <w:sz w:val="22"/>
          <w:szCs w:val="22"/>
        </w:rPr>
        <w:t xml:space="preserve">Notificaciones: </w:t>
      </w:r>
      <w:r>
        <w:rPr>
          <w:rFonts w:ascii="Calibri" w:cs="Calibri" w:eastAsia="Calibri" w:hAnsi="Calibri"/>
          <w:sz w:val="22"/>
          <w:szCs w:val="22"/>
        </w:rPr>
        <w:t xml:space="preserve">los correos se generan a partir de plantillas configurables (RF-05) y los destinatarios se definen en parámetros (RF-13).</w:t>
      </w:r>
    </w:p>
    <w:p>
      <w:pPr>
        <w:pStyle w:val="ListParagraph"/>
        <w:numPr>
          <w:ilvl w:val="0"/>
          <w:numId w:val="1"/>
        </w:numPr>
        <w:spacing w:after="50" w:line="264"/>
      </w:pPr>
      <w:r>
        <w:rPr>
          <w:rFonts w:ascii="Calibri" w:cs="Calibri" w:eastAsia="Calibri" w:hAnsi="Calibri"/>
          <w:b/>
          <w:bCs/>
          <w:sz w:val="22"/>
          <w:szCs w:val="22"/>
        </w:rPr>
        <w:t xml:space="preserve">Trazabilidad y auditoría: </w:t>
      </w:r>
      <w:r>
        <w:rPr>
          <w:rFonts w:ascii="Calibri" w:cs="Calibri" w:eastAsia="Calibri" w:hAnsi="Calibri"/>
          <w:sz w:val="22"/>
          <w:szCs w:val="22"/>
        </w:rPr>
        <w:t xml:space="preserve">cada cambio de estatus de una factura debe registrarse con usuario, fecha/hora y motivo/observaciones (propuesto).</w:t>
      </w:r>
    </w:p>
    <w:p>
      <w:pPr>
        <w:pStyle w:val="ListParagraph"/>
        <w:numPr>
          <w:ilvl w:val="0"/>
          <w:numId w:val="1"/>
        </w:numPr>
        <w:spacing w:after="50" w:line="264"/>
      </w:pPr>
      <w:r>
        <w:rPr>
          <w:rFonts w:ascii="Calibri" w:cs="Calibri" w:eastAsia="Calibri" w:hAnsi="Calibri"/>
          <w:b/>
          <w:bCs/>
          <w:sz w:val="22"/>
          <w:szCs w:val="22"/>
        </w:rPr>
        <w:t xml:space="preserve">Rendimiento: </w:t>
      </w:r>
      <w:r>
        <w:rPr>
          <w:rFonts w:ascii="Calibri" w:cs="Calibri" w:eastAsia="Calibri" w:hAnsi="Calibri"/>
          <w:sz w:val="22"/>
          <w:szCs w:val="22"/>
        </w:rPr>
        <w:t xml:space="preserve">las pantallas de consulta y listado deben responder en ≤ 3 segundos bajo carga nominal (propuesto).</w:t>
      </w:r>
    </w:p>
    <w:p>
      <w:pPr>
        <w:pStyle w:val="ListParagraph"/>
        <w:numPr>
          <w:ilvl w:val="0"/>
          <w:numId w:val="1"/>
        </w:numPr>
        <w:spacing w:after="50" w:line="264"/>
      </w:pPr>
      <w:r>
        <w:rPr>
          <w:rFonts w:ascii="Calibri" w:cs="Calibri" w:eastAsia="Calibri" w:hAnsi="Calibri"/>
          <w:b/>
          <w:bCs/>
          <w:sz w:val="22"/>
          <w:szCs w:val="22"/>
        </w:rPr>
        <w:t xml:space="preserve">Disponibilidad: </w:t>
      </w:r>
      <w:r>
        <w:rPr>
          <w:rFonts w:ascii="Calibri" w:cs="Calibri" w:eastAsia="Calibri" w:hAnsi="Calibri"/>
          <w:sz w:val="22"/>
          <w:szCs w:val="22"/>
        </w:rPr>
        <w:t xml:space="preserve">99.5% en horario laboral (propuesto).</w:t>
      </w:r>
    </w:p>
    <w:p>
      <w:pPr>
        <w:pStyle w:val="ListParagraph"/>
        <w:numPr>
          <w:ilvl w:val="0"/>
          <w:numId w:val="1"/>
        </w:numPr>
        <w:spacing w:after="50" w:line="264"/>
      </w:pPr>
      <w:r>
        <w:rPr>
          <w:rFonts w:ascii="Calibri" w:cs="Calibri" w:eastAsia="Calibri" w:hAnsi="Calibri"/>
          <w:b/>
          <w:bCs/>
          <w:sz w:val="22"/>
          <w:szCs w:val="22"/>
        </w:rPr>
        <w:t xml:space="preserve">Compatibilidad: </w:t>
      </w:r>
      <w:r>
        <w:rPr>
          <w:rFonts w:ascii="Calibri" w:cs="Calibri" w:eastAsia="Calibri" w:hAnsi="Calibri"/>
          <w:sz w:val="22"/>
          <w:szCs w:val="22"/>
        </w:rPr>
        <w:t xml:space="preserve">navegadores “evergreen” (Chrome, Edge, Firefox), últimas dos versiones (propuesto).</w:t>
      </w:r>
    </w:p>
    <w:p>
      <w:pPr>
        <w:pStyle w:val="ListParagraph"/>
        <w:numPr>
          <w:ilvl w:val="0"/>
          <w:numId w:val="1"/>
        </w:numPr>
        <w:spacing w:after="50" w:line="264"/>
      </w:pPr>
      <w:r>
        <w:rPr>
          <w:rFonts w:ascii="Calibri" w:cs="Calibri" w:eastAsia="Calibri" w:hAnsi="Calibri"/>
          <w:b/>
          <w:bCs/>
          <w:sz w:val="22"/>
          <w:szCs w:val="22"/>
        </w:rPr>
        <w:t xml:space="preserve">Usabilidad e idioma: </w:t>
      </w:r>
      <w:r>
        <w:rPr>
          <w:rFonts w:ascii="Calibri" w:cs="Calibri" w:eastAsia="Calibri" w:hAnsi="Calibri"/>
          <w:sz w:val="22"/>
          <w:szCs w:val="22"/>
        </w:rPr>
        <w:t xml:space="preserve">interfaz en español (México); la acción del PMO se realiza mediante 3 botones de estatus claramente identificables.</w:t>
      </w:r>
    </w:p>
    <w:p>
      <w:pPr>
        <w:pStyle w:val="Heading2"/>
        <w:spacing w:after="90" w:before="220"/>
      </w:pPr>
      <w:r>
        <w:rPr>
          <w:rFonts w:ascii="Calibri" w:cs="Calibri" w:eastAsia="Calibri" w:hAnsi="Calibri"/>
          <w:b/>
          <w:bCs/>
          <w:color w:val="1F3864"/>
          <w:sz w:val="25"/>
          <w:szCs w:val="25"/>
        </w:rPr>
        <w:t xml:space="preserve">3.5 Reglas de negocio (RN)</w:t>
      </w:r>
    </w:p>
    <w:p>
      <w:pPr>
        <w:spacing w:after="120" w:before="0" w:line="276"/>
      </w:pPr>
      <w:r>
        <w:rPr>
          <w:rFonts w:ascii="Calibri" w:cs="Calibri" w:eastAsia="Calibri" w:hAnsi="Calibri"/>
          <w:i/>
          <w:iCs/>
          <w:color w:val="595959"/>
          <w:sz w:val="20"/>
          <w:szCs w:val="20"/>
        </w:rPr>
        <w:t xml:space="preserve">Se listan las RN definidas en el documento de HUs. Los IDs siguen el formato RN-HUxx-nn (HU de origen y consecutivo). Los requisitos nuevos (RF-11 a RF-18) se derivan directamente del Alcance del MVP y no incorporan RN adicionales.</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1700"/>
        <w:gridCol w:w="5560"/>
        <w:gridCol w:w="2100"/>
      </w:tblGrid>
      <w:tr>
        <w:trPr>
          <w:tblHeader/>
        </w:trPr>
        <w:tc>
          <w:tcPr>
            <w:tcW w:type="dxa" w:w="17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ID RN</w:t>
            </w:r>
          </w:p>
        </w:tc>
        <w:tc>
          <w:tcPr>
            <w:tcW w:type="dxa" w:w="55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Descripción</w:t>
            </w:r>
          </w:p>
        </w:tc>
        <w:tc>
          <w:tcPr>
            <w:tcW w:type="dxa" w:w="21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HU / RF</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RN-HU01-01</w:t>
            </w:r>
          </w:p>
        </w:tc>
        <w:tc>
          <w:tcPr>
            <w:tcW w:type="dxa" w:w="5560"/>
            <w:tcMar>
              <w:top w:type="dxa" w:w="50"/>
              <w:left w:type="dxa" w:w="90"/>
              <w:bottom w:type="dxa" w:w="50"/>
              <w:right w:type="dxa" w:w="90"/>
            </w:tcMar>
          </w:tcPr>
          <w:p>
            <w:pPr>
              <w:spacing w:after="30" w:line="260"/>
            </w:pPr>
            <w:r>
              <w:rPr>
                <w:rFonts w:ascii="Calibri" w:cs="Calibri" w:eastAsia="Calibri" w:hAnsi="Calibri"/>
                <w:sz w:val="20"/>
                <w:szCs w:val="20"/>
              </w:rPr>
              <w:t xml:space="preserve">Se debe mapear los datos requeridos dentro del catálogo de proveedores.</w:t>
            </w:r>
          </w:p>
        </w:tc>
        <w:tc>
          <w:tcPr>
            <w:tcW w:type="dxa" w:w="2100"/>
            <w:tcMar>
              <w:top w:type="dxa" w:w="50"/>
              <w:left w:type="dxa" w:w="90"/>
              <w:bottom w:type="dxa" w:w="50"/>
              <w:right w:type="dxa" w:w="90"/>
            </w:tcMar>
          </w:tcPr>
          <w:p>
            <w:pPr>
              <w:spacing w:after="30" w:line="260"/>
            </w:pPr>
            <w:r>
              <w:rPr>
                <w:rFonts w:ascii="Calibri" w:cs="Calibri" w:eastAsia="Calibri" w:hAnsi="Calibri"/>
                <w:sz w:val="20"/>
                <w:szCs w:val="20"/>
              </w:rPr>
              <w:t xml:space="preserve">HU-01 / RF-01</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RN-HU03-01</w:t>
            </w:r>
          </w:p>
        </w:tc>
        <w:tc>
          <w:tcPr>
            <w:tcW w:type="dxa" w:w="5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Las credenciales del proveedor, incluida la contraseña temporal, se gestionan exclusivamente en el proveedor de identidad (Keycloak); el sistema de proveedores no almacena contraseñas ni sus hashes.</w:t>
            </w:r>
          </w:p>
        </w:tc>
        <w:tc>
          <w:tcPr>
            <w:tcW w:type="dxa" w:w="2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HU-03 / RF-03</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RN-HU12-01</w:t>
            </w:r>
          </w:p>
        </w:tc>
        <w:tc>
          <w:tcPr>
            <w:tcW w:type="dxa" w:w="5560"/>
            <w:tcMar>
              <w:top w:type="dxa" w:w="50"/>
              <w:left w:type="dxa" w:w="90"/>
              <w:bottom w:type="dxa" w:w="50"/>
              <w:right w:type="dxa" w:w="90"/>
            </w:tcMar>
          </w:tcPr>
          <w:p>
            <w:pPr>
              <w:spacing w:after="30" w:line="260"/>
            </w:pPr>
            <w:r>
              <w:rPr>
                <w:rFonts w:ascii="Calibri" w:cs="Calibri" w:eastAsia="Calibri" w:hAnsi="Calibri"/>
                <w:sz w:val="20"/>
                <w:szCs w:val="20"/>
              </w:rPr>
              <w:t xml:space="preserve">Una vez cargada, la factura debe tomar el estatus “Cargada”.</w:t>
            </w:r>
          </w:p>
        </w:tc>
        <w:tc>
          <w:tcPr>
            <w:tcW w:type="dxa" w:w="2100"/>
            <w:tcMar>
              <w:top w:type="dxa" w:w="50"/>
              <w:left w:type="dxa" w:w="90"/>
              <w:bottom w:type="dxa" w:w="50"/>
              <w:right w:type="dxa" w:w="90"/>
            </w:tcMar>
          </w:tcPr>
          <w:p>
            <w:pPr>
              <w:spacing w:after="30" w:line="260"/>
            </w:pPr>
            <w:r>
              <w:rPr>
                <w:rFonts w:ascii="Calibri" w:cs="Calibri" w:eastAsia="Calibri" w:hAnsi="Calibri"/>
                <w:sz w:val="20"/>
                <w:szCs w:val="20"/>
              </w:rPr>
              <w:t xml:space="preserve">HU-12 / RF-07</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RN-HU13-01</w:t>
            </w:r>
          </w:p>
        </w:tc>
        <w:tc>
          <w:tcPr>
            <w:tcW w:type="dxa" w:w="5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Se debe validar que no se haya cargado previamente una factura igual, buscando por el número de folio del XML.</w:t>
            </w:r>
          </w:p>
        </w:tc>
        <w:tc>
          <w:tcPr>
            <w:tcW w:type="dxa" w:w="2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HU-13 / RF-08</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RN-HU13-02</w:t>
            </w:r>
          </w:p>
        </w:tc>
        <w:tc>
          <w:tcPr>
            <w:tcW w:type="dxa" w:w="5560"/>
            <w:tcMar>
              <w:top w:type="dxa" w:w="50"/>
              <w:left w:type="dxa" w:w="90"/>
              <w:bottom w:type="dxa" w:w="50"/>
              <w:right w:type="dxa" w:w="90"/>
            </w:tcMar>
          </w:tcPr>
          <w:p>
            <w:pPr>
              <w:spacing w:after="30" w:line="260"/>
            </w:pPr>
            <w:r>
              <w:rPr>
                <w:rFonts w:ascii="Calibri" w:cs="Calibri" w:eastAsia="Calibri" w:hAnsi="Calibri"/>
                <w:sz w:val="20"/>
                <w:szCs w:val="20"/>
              </w:rPr>
              <w:t xml:space="preserve">Una vez que pasa las validaciones, la factura debe cambiar su estatus a “Enviada”.</w:t>
            </w:r>
          </w:p>
        </w:tc>
        <w:tc>
          <w:tcPr>
            <w:tcW w:type="dxa" w:w="2100"/>
            <w:tcMar>
              <w:top w:type="dxa" w:w="50"/>
              <w:left w:type="dxa" w:w="90"/>
              <w:bottom w:type="dxa" w:w="50"/>
              <w:right w:type="dxa" w:w="90"/>
            </w:tcMar>
          </w:tcPr>
          <w:p>
            <w:pPr>
              <w:spacing w:after="30" w:line="260"/>
            </w:pPr>
            <w:r>
              <w:rPr>
                <w:rFonts w:ascii="Calibri" w:cs="Calibri" w:eastAsia="Calibri" w:hAnsi="Calibri"/>
                <w:sz w:val="20"/>
                <w:szCs w:val="20"/>
              </w:rPr>
              <w:t xml:space="preserve">HU-13 / RF-08</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RN-HU20-01</w:t>
            </w:r>
          </w:p>
        </w:tc>
        <w:tc>
          <w:tcPr>
            <w:tcW w:type="dxa" w:w="5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Al Rechazar o marcar Observaciones, el sistema despliega un campo “Observaciones” para las notas del PMO.</w:t>
            </w:r>
          </w:p>
        </w:tc>
        <w:tc>
          <w:tcPr>
            <w:tcW w:type="dxa" w:w="2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HU-20 / RF-10</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RN-HU20-02</w:t>
            </w:r>
          </w:p>
        </w:tc>
        <w:tc>
          <w:tcPr>
            <w:tcW w:type="dxa" w:w="5560"/>
            <w:tcMar>
              <w:top w:type="dxa" w:w="50"/>
              <w:left w:type="dxa" w:w="90"/>
              <w:bottom w:type="dxa" w:w="50"/>
              <w:right w:type="dxa" w:w="90"/>
            </w:tcMar>
          </w:tcPr>
          <w:p>
            <w:pPr>
              <w:spacing w:after="30" w:line="260"/>
            </w:pPr>
            <w:r>
              <w:rPr>
                <w:rFonts w:ascii="Calibri" w:cs="Calibri" w:eastAsia="Calibri" w:hAnsi="Calibri"/>
                <w:sz w:val="20"/>
                <w:szCs w:val="20"/>
              </w:rPr>
              <w:t xml:space="preserve">Al Autorizar, se envía correo a “Recepción de Facturas” (factura X, proveedor Y, monto Z); el destinatario se toma de la configuración (RF-13).</w:t>
            </w:r>
          </w:p>
        </w:tc>
        <w:tc>
          <w:tcPr>
            <w:tcW w:type="dxa" w:w="2100"/>
            <w:tcMar>
              <w:top w:type="dxa" w:w="50"/>
              <w:left w:type="dxa" w:w="90"/>
              <w:bottom w:type="dxa" w:w="50"/>
              <w:right w:type="dxa" w:w="90"/>
            </w:tcMar>
          </w:tcPr>
          <w:p>
            <w:pPr>
              <w:spacing w:after="30" w:line="260"/>
            </w:pPr>
            <w:r>
              <w:rPr>
                <w:rFonts w:ascii="Calibri" w:cs="Calibri" w:eastAsia="Calibri" w:hAnsi="Calibri"/>
                <w:sz w:val="20"/>
                <w:szCs w:val="20"/>
              </w:rPr>
              <w:t xml:space="preserve">HU-20 / RF-10</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RN-HU20-03</w:t>
            </w:r>
          </w:p>
        </w:tc>
        <w:tc>
          <w:tcPr>
            <w:tcW w:type="dxa" w:w="5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Al Rechazar u Observaciones, se envía correo al proveedor con la causa capturada en “Observaciones”.</w:t>
            </w:r>
          </w:p>
        </w:tc>
        <w:tc>
          <w:tcPr>
            <w:tcW w:type="dxa" w:w="2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HU-20 / RF-10</w:t>
            </w:r>
          </w:p>
        </w:tc>
      </w:tr>
    </w:tbl>
    <w:p>
      <w:pPr>
        <w:pStyle w:val="Heading2"/>
        <w:spacing w:after="90" w:before="220"/>
      </w:pPr>
      <w:r>
        <w:rPr>
          <w:rFonts w:ascii="Calibri" w:cs="Calibri" w:eastAsia="Calibri" w:hAnsi="Calibri"/>
          <w:b/>
          <w:bCs/>
          <w:color w:val="1F3864"/>
          <w:sz w:val="25"/>
          <w:szCs w:val="25"/>
        </w:rPr>
        <w:t xml:space="preserve">3.6 Modelo de estados de la factura</w:t>
      </w:r>
    </w:p>
    <w:p>
      <w:pPr>
        <w:spacing w:after="60" w:before="0" w:line="276"/>
      </w:pPr>
      <w:r>
        <w:rPr>
          <w:rFonts w:ascii="Calibri" w:cs="Calibri" w:eastAsia="Calibri" w:hAnsi="Calibri"/>
          <w:sz w:val="22"/>
          <w:szCs w:val="22"/>
        </w:rPr>
        <w:t xml:space="preserve">Estados aplicables a facturas nacionales e internacionales:</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2100"/>
        <w:gridCol w:w="4560"/>
        <w:gridCol w:w="2700"/>
      </w:tblGrid>
      <w:tr>
        <w:trPr>
          <w:tblHeader/>
        </w:trPr>
        <w:tc>
          <w:tcPr>
            <w:tcW w:type="dxa" w:w="21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Estatus</w:t>
            </w:r>
          </w:p>
        </w:tc>
        <w:tc>
          <w:tcPr>
            <w:tcW w:type="dxa" w:w="45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Descripción / evento</w:t>
            </w:r>
          </w:p>
        </w:tc>
        <w:tc>
          <w:tcPr>
            <w:tcW w:type="dxa" w:w="27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Origen</w:t>
            </w:r>
          </w:p>
        </w:tc>
      </w:tr>
      <w:tr>
        <w:tc>
          <w:tcPr>
            <w:tcW w:type="dxa" w:w="2100"/>
            <w:tcMar>
              <w:top w:type="dxa" w:w="50"/>
              <w:left w:type="dxa" w:w="90"/>
              <w:bottom w:type="dxa" w:w="50"/>
              <w:right w:type="dxa" w:w="90"/>
            </w:tcMar>
          </w:tcPr>
          <w:p>
            <w:pPr>
              <w:spacing w:after="30" w:line="260"/>
            </w:pPr>
            <w:r>
              <w:rPr>
                <w:rFonts w:ascii="Calibri" w:cs="Calibri" w:eastAsia="Calibri" w:hAnsi="Calibri"/>
                <w:sz w:val="20"/>
                <w:szCs w:val="20"/>
              </w:rPr>
              <w:t xml:space="preserve">Cargada</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La factura se registró y se cargaron los archivos mínimos.</w:t>
            </w:r>
          </w:p>
        </w:tc>
        <w:tc>
          <w:tcPr>
            <w:tcW w:type="dxa" w:w="2700"/>
            <w:tcMar>
              <w:top w:type="dxa" w:w="50"/>
              <w:left w:type="dxa" w:w="90"/>
              <w:bottom w:type="dxa" w:w="50"/>
              <w:right w:type="dxa" w:w="90"/>
            </w:tcMar>
          </w:tcPr>
          <w:p>
            <w:pPr>
              <w:spacing w:after="30" w:line="260"/>
            </w:pPr>
            <w:r>
              <w:rPr>
                <w:rFonts w:ascii="Calibri" w:cs="Calibri" w:eastAsia="Calibri" w:hAnsi="Calibri"/>
                <w:sz w:val="20"/>
                <w:szCs w:val="20"/>
              </w:rPr>
              <w:t xml:space="preserve">RF-07 / RF-14</w:t>
            </w:r>
          </w:p>
        </w:tc>
      </w:tr>
      <w:tr>
        <w:tc>
          <w:tcPr>
            <w:tcW w:type="dxa" w:w="2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Enviada</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La factura superó las validaciones y se envió al PMO.</w:t>
            </w:r>
          </w:p>
        </w:tc>
        <w:tc>
          <w:tcPr>
            <w:tcW w:type="dxa" w:w="2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RF-08 / RF-15</w:t>
            </w:r>
          </w:p>
        </w:tc>
      </w:tr>
      <w:tr>
        <w:tc>
          <w:tcPr>
            <w:tcW w:type="dxa" w:w="2100"/>
            <w:tcMar>
              <w:top w:type="dxa" w:w="50"/>
              <w:left w:type="dxa" w:w="90"/>
              <w:bottom w:type="dxa" w:w="50"/>
              <w:right w:type="dxa" w:w="90"/>
            </w:tcMar>
          </w:tcPr>
          <w:p>
            <w:pPr>
              <w:spacing w:after="30" w:line="260"/>
            </w:pPr>
            <w:r>
              <w:rPr>
                <w:rFonts w:ascii="Calibri" w:cs="Calibri" w:eastAsia="Calibri" w:hAnsi="Calibri"/>
                <w:sz w:val="20"/>
                <w:szCs w:val="20"/>
              </w:rPr>
              <w:t xml:space="preserve">Autorizada</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El PMO autorizó la factura para su pago.</w:t>
            </w:r>
          </w:p>
        </w:tc>
        <w:tc>
          <w:tcPr>
            <w:tcW w:type="dxa" w:w="2700"/>
            <w:tcMar>
              <w:top w:type="dxa" w:w="50"/>
              <w:left w:type="dxa" w:w="90"/>
              <w:bottom w:type="dxa" w:w="50"/>
              <w:right w:type="dxa" w:w="90"/>
            </w:tcMar>
          </w:tcPr>
          <w:p>
            <w:pPr>
              <w:spacing w:after="30" w:line="260"/>
            </w:pPr>
            <w:r>
              <w:rPr>
                <w:rFonts w:ascii="Calibri" w:cs="Calibri" w:eastAsia="Calibri" w:hAnsi="Calibri"/>
                <w:sz w:val="20"/>
                <w:szCs w:val="20"/>
              </w:rPr>
              <w:t xml:space="preserve">RF-10 / RN-HU20-02</w:t>
            </w:r>
          </w:p>
        </w:tc>
      </w:tr>
      <w:tr>
        <w:tc>
          <w:tcPr>
            <w:tcW w:type="dxa" w:w="2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Rechazada</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El PMO rechazó la factura (con causa en Observaciones).</w:t>
            </w:r>
          </w:p>
        </w:tc>
        <w:tc>
          <w:tcPr>
            <w:tcW w:type="dxa" w:w="2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RF-10 / RN-HU20-01, RN-HU20-03</w:t>
            </w:r>
          </w:p>
        </w:tc>
      </w:tr>
      <w:tr>
        <w:tc>
          <w:tcPr>
            <w:tcW w:type="dxa" w:w="2100"/>
            <w:tcMar>
              <w:top w:type="dxa" w:w="50"/>
              <w:left w:type="dxa" w:w="90"/>
              <w:bottom w:type="dxa" w:w="50"/>
              <w:right w:type="dxa" w:w="90"/>
            </w:tcMar>
          </w:tcPr>
          <w:p>
            <w:pPr>
              <w:spacing w:after="30" w:line="260"/>
            </w:pPr>
            <w:r>
              <w:rPr>
                <w:rFonts w:ascii="Calibri" w:cs="Calibri" w:eastAsia="Calibri" w:hAnsi="Calibri"/>
                <w:sz w:val="20"/>
                <w:szCs w:val="20"/>
              </w:rPr>
              <w:t xml:space="preserve">Observaciones</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El PMO marcó observaciones (con causa registrada).</w:t>
            </w:r>
          </w:p>
        </w:tc>
        <w:tc>
          <w:tcPr>
            <w:tcW w:type="dxa" w:w="2700"/>
            <w:tcMar>
              <w:top w:type="dxa" w:w="50"/>
              <w:left w:type="dxa" w:w="90"/>
              <w:bottom w:type="dxa" w:w="50"/>
              <w:right w:type="dxa" w:w="90"/>
            </w:tcMar>
          </w:tcPr>
          <w:p>
            <w:pPr>
              <w:spacing w:after="30" w:line="260"/>
            </w:pPr>
            <w:r>
              <w:rPr>
                <w:rFonts w:ascii="Calibri" w:cs="Calibri" w:eastAsia="Calibri" w:hAnsi="Calibri"/>
                <w:sz w:val="20"/>
                <w:szCs w:val="20"/>
              </w:rPr>
              <w:t xml:space="preserve">RF-10 / RN-HU20-01, RN-HU20-03</w:t>
            </w:r>
          </w:p>
        </w:tc>
      </w:tr>
      <w:tr>
        <w:tc>
          <w:tcPr>
            <w:tcW w:type="dxa" w:w="2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Cancelada</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El proveedor solicitó la cancelación (con acuse) y se notificó para su aceptación.</w:t>
            </w:r>
          </w:p>
        </w:tc>
        <w:tc>
          <w:tcPr>
            <w:tcW w:type="dxa" w:w="2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RF-09</w:t>
            </w:r>
          </w:p>
        </w:tc>
      </w:tr>
    </w:tbl>
    <w:p>
      <w:r>
        <w:br w:type="page"/>
      </w:r>
    </w:p>
    <w:p>
      <w:pPr>
        <w:pStyle w:val="Heading1"/>
        <w:pBdr>
          <w:bottom w:val="single" w:color="2E5496" w:sz="6" w:space="4"/>
        </w:pBdr>
        <w:spacing w:after="140" w:before="320"/>
      </w:pPr>
      <w:r>
        <w:rPr>
          <w:rFonts w:ascii="Calibri" w:cs="Calibri" w:eastAsia="Calibri" w:hAnsi="Calibri"/>
          <w:b/>
          <w:bCs/>
          <w:color w:val="1F3864"/>
          <w:sz w:val="30"/>
          <w:szCs w:val="30"/>
        </w:rPr>
        <w:t xml:space="preserve">4. Trazabilidad y cobertura</w:t>
      </w:r>
    </w:p>
    <w:p>
      <w:pPr>
        <w:pStyle w:val="Heading2"/>
        <w:spacing w:after="90" w:before="220"/>
      </w:pPr>
      <w:r>
        <w:rPr>
          <w:rFonts w:ascii="Calibri" w:cs="Calibri" w:eastAsia="Calibri" w:hAnsi="Calibri"/>
          <w:b/>
          <w:bCs/>
          <w:color w:val="1F3864"/>
          <w:sz w:val="25"/>
          <w:szCs w:val="25"/>
        </w:rPr>
        <w:t xml:space="preserve">4.1 Matriz de trazabilidad (HU ↔ RF ↔ RN)</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1500"/>
        <w:gridCol w:w="3560"/>
        <w:gridCol w:w="1200"/>
        <w:gridCol w:w="3100"/>
      </w:tblGrid>
      <w:tr>
        <w:trPr>
          <w:tblHeader/>
        </w:trPr>
        <w:tc>
          <w:tcPr>
            <w:tcW w:type="dxa" w:w="15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ID HU</w:t>
            </w:r>
          </w:p>
        </w:tc>
        <w:tc>
          <w:tcPr>
            <w:tcW w:type="dxa" w:w="35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Título HU</w:t>
            </w:r>
          </w:p>
        </w:tc>
        <w:tc>
          <w:tcPr>
            <w:tcW w:type="dxa" w:w="12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RF</w:t>
            </w:r>
          </w:p>
        </w:tc>
        <w:tc>
          <w:tcPr>
            <w:tcW w:type="dxa" w:w="31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HU-01</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Carga masiva de proveedores</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RF-01</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RN-HU01-01</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HU-02</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Actualización masiva de estatus a “Autorizado”</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RF-02</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HU-03</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Envío de usuario y contraseña temporal</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RF-03</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RN-HU03-01</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HU-04</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Definición de archivos mínimos por tipo de proveedor</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RF-04</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HU-05</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Configuración de plantillas de correo por estatus</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RF-05</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HU-06 (nueva)</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Configuración de las Reglas de Validación</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RF-11</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HU-07 (nueva)</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Administración y carga de catálogos</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RF-12</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HU-08 (nueva)</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Configuración de correos y destinatarios</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RF-13</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HU-10</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Cambio de contraseña en el primer inicio de sesión</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RF-06</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HU-12</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Registro de factura y archivos mínimos (Nacional)</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RF-07</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RN-HU12-01</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HU-13</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Envío a validación (PMO) — Nacional</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RF-08</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RN-HU13-01, RN-HU13-02</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HU-15 (nueva)</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Registro y carga de Invoice — Internacional</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RF-14</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HU-16 (nueva)</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Envío a validación (PMO) — Internacional</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RF-15</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HU-17 (nueva)</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Seguimiento del estatus de las facturas (Proveedor)</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RF-16</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HU-14</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Cancelación de factura con acuse y notificación</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RF-09</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HU-18 (nueva)</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Consulta / listado de facturas registradas (PMO)</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RF-17</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tcMar>
              <w:top w:type="dxa" w:w="50"/>
              <w:left w:type="dxa" w:w="90"/>
              <w:bottom w:type="dxa" w:w="50"/>
              <w:right w:type="dxa" w:w="90"/>
            </w:tcMar>
          </w:tcPr>
          <w:p>
            <w:pPr>
              <w:spacing w:after="30" w:line="260"/>
            </w:pPr>
            <w:r>
              <w:rPr>
                <w:rFonts w:ascii="Calibri" w:cs="Calibri" w:eastAsia="Calibri" w:hAnsi="Calibri"/>
                <w:sz w:val="20"/>
                <w:szCs w:val="20"/>
              </w:rPr>
              <w:t xml:space="preserve">HU-19 (nueva)</w:t>
            </w:r>
          </w:p>
        </w:tc>
        <w:tc>
          <w:tcPr>
            <w:tcW w:type="dxa" w:w="3560"/>
            <w:tcMar>
              <w:top w:type="dxa" w:w="50"/>
              <w:left w:type="dxa" w:w="90"/>
              <w:bottom w:type="dxa" w:w="50"/>
              <w:right w:type="dxa" w:w="90"/>
            </w:tcMar>
          </w:tcPr>
          <w:p>
            <w:pPr>
              <w:spacing w:after="30" w:line="260"/>
            </w:pPr>
            <w:r>
              <w:rPr>
                <w:rFonts w:ascii="Calibri" w:cs="Calibri" w:eastAsia="Calibri" w:hAnsi="Calibri"/>
                <w:sz w:val="20"/>
                <w:szCs w:val="20"/>
              </w:rPr>
              <w:t xml:space="preserve">Validación manual / revisión del contenido (PMO)</w:t>
            </w:r>
          </w:p>
        </w:tc>
        <w:tc>
          <w:tcPr>
            <w:tcW w:type="dxa" w:w="1200"/>
            <w:tcMar>
              <w:top w:type="dxa" w:w="50"/>
              <w:left w:type="dxa" w:w="90"/>
              <w:bottom w:type="dxa" w:w="50"/>
              <w:right w:type="dxa" w:w="90"/>
            </w:tcMar>
          </w:tcPr>
          <w:p>
            <w:pPr>
              <w:spacing w:after="30" w:line="260"/>
            </w:pPr>
            <w:r>
              <w:rPr>
                <w:rFonts w:ascii="Calibri" w:cs="Calibri" w:eastAsia="Calibri" w:hAnsi="Calibri"/>
                <w:sz w:val="20"/>
                <w:szCs w:val="20"/>
              </w:rPr>
              <w:t xml:space="preserve">RF-18</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Sin RN</w:t>
            </w:r>
          </w:p>
        </w:tc>
      </w:tr>
      <w:tr>
        <w:tc>
          <w:tcPr>
            <w:tcW w:type="dxa" w:w="15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HU-20</w:t>
            </w:r>
          </w:p>
        </w:tc>
        <w:tc>
          <w:tcPr>
            <w:tcW w:type="dxa" w:w="3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Cambio de estatus de la factura (PMO)</w:t>
            </w:r>
          </w:p>
        </w:tc>
        <w:tc>
          <w:tcPr>
            <w:tcW w:type="dxa" w:w="12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RF-10</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RN-HU20-01, RN-HU20-02, RN-HU20-03</w:t>
            </w:r>
          </w:p>
        </w:tc>
      </w:tr>
    </w:tbl>
    <w:p>
      <w:pPr>
        <w:spacing w:after="120" w:before="60" w:line="276"/>
      </w:pPr>
      <w:r>
        <w:rPr>
          <w:rFonts w:ascii="Calibri" w:cs="Calibri" w:eastAsia="Calibri" w:hAnsi="Calibri"/>
          <w:i/>
          <w:iCs/>
          <w:color w:val="595959"/>
          <w:sz w:val="20"/>
          <w:szCs w:val="20"/>
        </w:rPr>
        <w:t xml:space="preserve">Las HU-06 a HU-08 y HU-15 a HU-19 se definen en esta ERS para cerrar la cobertura del Alcance del MVP; no provenían del backlog original de HUs.</w:t>
      </w:r>
    </w:p>
    <w:p>
      <w:pPr>
        <w:pStyle w:val="Heading2"/>
        <w:spacing w:after="90" w:before="220"/>
      </w:pPr>
      <w:r>
        <w:rPr>
          <w:rFonts w:ascii="Calibri" w:cs="Calibri" w:eastAsia="Calibri" w:hAnsi="Calibri"/>
          <w:b/>
          <w:bCs/>
          <w:color w:val="1F3864"/>
          <w:sz w:val="25"/>
          <w:szCs w:val="25"/>
        </w:rPr>
        <w:t xml:space="preserve">4.2 Verificación de cobertura del Alcance del MVP</w:t>
      </w:r>
    </w:p>
    <w:p>
      <w:pPr>
        <w:spacing w:after="120" w:before="0" w:line="276"/>
      </w:pPr>
      <w:r>
        <w:rPr>
          <w:rFonts w:ascii="Calibri" w:cs="Calibri" w:eastAsia="Calibri" w:hAnsi="Calibri"/>
          <w:i/>
          <w:iCs/>
          <w:color w:val="595959"/>
          <w:sz w:val="20"/>
          <w:szCs w:val="20"/>
        </w:rPr>
        <w:t xml:space="preserve">Comprobación en sentido inverso: cada elemento de la sección “Alcance del MVP” de la minuta queda cubierto por al menos un requisito funcional. No quedan elementos sin cobertura.</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1700"/>
        <w:gridCol w:w="4560"/>
        <w:gridCol w:w="3100"/>
      </w:tblGrid>
      <w:tr>
        <w:trPr>
          <w:tblHeader/>
        </w:trPr>
        <w:tc>
          <w:tcPr>
            <w:tcW w:type="dxa" w:w="17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Sección</w:t>
            </w:r>
          </w:p>
        </w:tc>
        <w:tc>
          <w:tcPr>
            <w:tcW w:type="dxa" w:w="45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Elemento del Alcance del MVP</w:t>
            </w:r>
          </w:p>
        </w:tc>
        <w:tc>
          <w:tcPr>
            <w:tcW w:type="dxa" w:w="31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RF que lo cubre</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Registrar, validar y dar seguimiento a las facturas</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RF-07, RF-08, RF-14, RF-15, RF-16</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Nacionales: carga de PDF y XML, documentos soporte, control de duplicados por XML</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RF-07, RF-08</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Validación nacional (RFC, Razón Social, Dirección, Código Postal)</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RF-08, RF-11</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Extranjeros: carga de Invoice en PDF y soporte; duplicados por nombre de archivo</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RF-14</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Validación extranjera (datos del proveedor, de ULTRASIST y dirección)</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RF-15, RF-11</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Proveedor</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Cancelación con notificación a Recepción de Facturas</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RF-09</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Consultar las facturas registradas</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RF-17</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Realizar la validación manual</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RF-18</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Modificar el estatus (Autorizada/Rechazada/Observaciones)</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RF-10</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PMO</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Registrar observaciones asociadas a la revisión</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RF-10 (RN-HU20-01)</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Administrar y cargar catálogos</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RF-01, RF-12</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Configurar parámetros y reglas de validación</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RF-04, RF-11</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Configurar correos y destinatarios de notificaciones</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RF-05, RF-13</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Administrador</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Administrar proveedores y accesos al portal</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RF-01, RF-02, RF-03</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Notificaciones</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Aviso automático a Recepción de Facturas al autorizar la factura</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RF-10 (RN-HU20-02), RF-13</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Acceso</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Habilitar el acceso cuando el proveedor quede “Autorizado”</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RF-02</w:t>
            </w:r>
          </w:p>
        </w:tc>
      </w:tr>
      <w:tr>
        <w:tc>
          <w:tcPr>
            <w:tcW w:type="dxa" w:w="1700"/>
            <w:tcMar>
              <w:top w:type="dxa" w:w="50"/>
              <w:left w:type="dxa" w:w="90"/>
              <w:bottom w:type="dxa" w:w="50"/>
              <w:right w:type="dxa" w:w="90"/>
            </w:tcMar>
          </w:tcPr>
          <w:p>
            <w:pPr>
              <w:spacing w:after="30" w:line="260"/>
            </w:pPr>
            <w:r>
              <w:rPr>
                <w:rFonts w:ascii="Calibri" w:cs="Calibri" w:eastAsia="Calibri" w:hAnsi="Calibri"/>
                <w:sz w:val="20"/>
                <w:szCs w:val="20"/>
              </w:rPr>
              <w:t xml:space="preserve">Acceso</w:t>
            </w:r>
          </w:p>
        </w:tc>
        <w:tc>
          <w:tcPr>
            <w:tcW w:type="dxa" w:w="4560"/>
            <w:tcMar>
              <w:top w:type="dxa" w:w="50"/>
              <w:left w:type="dxa" w:w="90"/>
              <w:bottom w:type="dxa" w:w="50"/>
              <w:right w:type="dxa" w:w="90"/>
            </w:tcMar>
          </w:tcPr>
          <w:p>
            <w:pPr>
              <w:spacing w:after="30" w:line="260"/>
            </w:pPr>
            <w:r>
              <w:rPr>
                <w:rFonts w:ascii="Calibri" w:cs="Calibri" w:eastAsia="Calibri" w:hAnsi="Calibri"/>
                <w:sz w:val="20"/>
                <w:szCs w:val="20"/>
              </w:rPr>
              <w:t xml:space="preserve">Correo automático con usuario y contraseña temporal</w:t>
            </w:r>
          </w:p>
        </w:tc>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RF-03</w:t>
            </w:r>
          </w:p>
        </w:tc>
      </w:tr>
      <w:tr>
        <w:tc>
          <w:tcPr>
            <w:tcW w:type="dxa" w:w="17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Acceso</w:t>
            </w:r>
          </w:p>
        </w:tc>
        <w:tc>
          <w:tcPr>
            <w:tcW w:type="dxa" w:w="45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Cambio de contraseña en el primer inicio de sesión</w:t>
            </w:r>
          </w:p>
        </w:tc>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RF-06</w:t>
            </w:r>
          </w:p>
        </w:tc>
      </w:tr>
    </w:tbl>
    <w:p>
      <w:pPr>
        <w:pStyle w:val="Heading1"/>
        <w:pBdr>
          <w:bottom w:val="single" w:color="2E5496" w:sz="6" w:space="4"/>
        </w:pBdr>
        <w:spacing w:after="140" w:before="320"/>
      </w:pPr>
      <w:r>
        <w:rPr>
          <w:rFonts w:ascii="Calibri" w:cs="Calibri" w:eastAsia="Calibri" w:hAnsi="Calibri"/>
          <w:b/>
          <w:bCs/>
          <w:color w:val="1F3864"/>
          <w:sz w:val="30"/>
          <w:szCs w:val="30"/>
        </w:rPr>
        <w:t xml:space="preserve">5. Aprobaciones</w:t>
      </w:r>
    </w:p>
    <w:p>
      <w:pPr>
        <w:spacing w:after="80" w:before="0" w:line="276"/>
      </w:pPr>
      <w:r>
        <w:rPr>
          <w:rFonts w:ascii="Calibri" w:cs="Calibri" w:eastAsia="Calibri" w:hAnsi="Calibri"/>
          <w:sz w:val="22"/>
          <w:szCs w:val="22"/>
        </w:rPr>
        <w:t xml:space="preserve">El presente documento requiere la revisión y aprobación de:</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3100"/>
        <w:gridCol w:w="3260"/>
        <w:gridCol w:w="1600"/>
        <w:gridCol w:w="1400"/>
      </w:tblGrid>
      <w:tr>
        <w:trPr>
          <w:tblHeader/>
        </w:trPr>
        <w:tc>
          <w:tcPr>
            <w:tcW w:type="dxa" w:w="31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Rol</w:t>
            </w:r>
          </w:p>
        </w:tc>
        <w:tc>
          <w:tcPr>
            <w:tcW w:type="dxa" w:w="326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Nombre</w:t>
            </w:r>
          </w:p>
        </w:tc>
        <w:tc>
          <w:tcPr>
            <w:tcW w:type="dxa" w:w="16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Firma</w:t>
            </w:r>
          </w:p>
        </w:tc>
        <w:tc>
          <w:tcPr>
            <w:tcW w:type="dxa" w:w="1400"/>
            <w:shd w:fill="1F3864" w:color="auto" w:val="clear"/>
            <w:tcMar>
              <w:top w:type="dxa" w:w="50"/>
              <w:left w:type="dxa" w:w="90"/>
              <w:bottom w:type="dxa" w:w="50"/>
              <w:right w:type="dxa" w:w="90"/>
            </w:tcMar>
          </w:tcPr>
          <w:p>
            <w:pPr>
              <w:spacing w:after="30" w:line="260"/>
            </w:pPr>
            <w:r>
              <w:rPr>
                <w:rFonts w:ascii="Calibri" w:cs="Calibri" w:eastAsia="Calibri" w:hAnsi="Calibri"/>
                <w:b/>
                <w:bCs/>
                <w:color w:val="FFFFFF"/>
                <w:sz w:val="20"/>
                <w:szCs w:val="20"/>
              </w:rPr>
              <w:t xml:space="preserve">Fecha</w:t>
            </w:r>
          </w:p>
        </w:tc>
      </w:tr>
      <w:tr>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Patrocinador / ULTRASIST</w:t>
            </w:r>
          </w:p>
        </w:tc>
        <w:tc>
          <w:tcPr>
            <w:tcW w:type="dxa" w:w="3260"/>
            <w:tcMar>
              <w:top w:type="dxa" w:w="50"/>
              <w:left w:type="dxa" w:w="90"/>
              <w:bottom w:type="dxa" w:w="50"/>
              <w:right w:type="dxa" w:w="90"/>
            </w:tcMar>
          </w:tcPr>
          <w:p>
            <w:pPr>
              <w:spacing w:after="30" w:line="260"/>
            </w:pPr>
            <w:r>
              <w:rPr>
                <w:rFonts w:ascii="Calibri" w:cs="Calibri" w:eastAsia="Calibri" w:hAnsi="Calibri"/>
                <w:sz w:val="20"/>
                <w:szCs w:val="20"/>
              </w:rPr>
              <w:t xml:space="preserve"/>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
            </w:r>
          </w:p>
        </w:tc>
        <w:tc>
          <w:tcPr>
            <w:tcW w:type="dxa" w:w="1400"/>
            <w:tcMar>
              <w:top w:type="dxa" w:w="50"/>
              <w:left w:type="dxa" w:w="90"/>
              <w:bottom w:type="dxa" w:w="50"/>
              <w:right w:type="dxa" w:w="90"/>
            </w:tcMar>
          </w:tcPr>
          <w:p>
            <w:pPr>
              <w:spacing w:after="30" w:line="260"/>
            </w:pPr>
            <w:r>
              <w:rPr>
                <w:rFonts w:ascii="Calibri" w:cs="Calibri" w:eastAsia="Calibri" w:hAnsi="Calibri"/>
                <w:sz w:val="20"/>
                <w:szCs w:val="20"/>
              </w:rPr>
              <w:t xml:space="preserve"/>
            </w:r>
          </w:p>
        </w:tc>
      </w:tr>
      <w:tr>
        <w:tc>
          <w:tcPr>
            <w:tcW w:type="dxa" w:w="31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PMO (validación de facturas)</w:t>
            </w:r>
          </w:p>
        </w:tc>
        <w:tc>
          <w:tcPr>
            <w:tcW w:type="dxa" w:w="326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
            </w:r>
          </w:p>
        </w:tc>
        <w:tc>
          <w:tcPr>
            <w:tcW w:type="dxa" w:w="16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
            </w:r>
          </w:p>
        </w:tc>
        <w:tc>
          <w:tcPr>
            <w:tcW w:type="dxa" w:w="1400"/>
            <w:shd w:fill="F2F5FB" w:color="auto" w:val="clear"/>
            <w:tcMar>
              <w:top w:type="dxa" w:w="50"/>
              <w:left w:type="dxa" w:w="90"/>
              <w:bottom w:type="dxa" w:w="50"/>
              <w:right w:type="dxa" w:w="90"/>
            </w:tcMar>
          </w:tcPr>
          <w:p>
            <w:pPr>
              <w:spacing w:after="30" w:line="260"/>
            </w:pPr>
            <w:r>
              <w:rPr>
                <w:rFonts w:ascii="Calibri" w:cs="Calibri" w:eastAsia="Calibri" w:hAnsi="Calibri"/>
                <w:sz w:val="20"/>
                <w:szCs w:val="20"/>
              </w:rPr>
              <w:t xml:space="preserve"/>
            </w:r>
          </w:p>
        </w:tc>
      </w:tr>
      <w:tr>
        <w:tc>
          <w:tcPr>
            <w:tcW w:type="dxa" w:w="3100"/>
            <w:tcMar>
              <w:top w:type="dxa" w:w="50"/>
              <w:left w:type="dxa" w:w="90"/>
              <w:bottom w:type="dxa" w:w="50"/>
              <w:right w:type="dxa" w:w="90"/>
            </w:tcMar>
          </w:tcPr>
          <w:p>
            <w:pPr>
              <w:spacing w:after="30" w:line="260"/>
            </w:pPr>
            <w:r>
              <w:rPr>
                <w:rFonts w:ascii="Calibri" w:cs="Calibri" w:eastAsia="Calibri" w:hAnsi="Calibri"/>
                <w:sz w:val="20"/>
                <w:szCs w:val="20"/>
              </w:rPr>
              <w:t xml:space="preserve">Líder Técnico</w:t>
            </w:r>
          </w:p>
        </w:tc>
        <w:tc>
          <w:tcPr>
            <w:tcW w:type="dxa" w:w="3260"/>
            <w:tcMar>
              <w:top w:type="dxa" w:w="50"/>
              <w:left w:type="dxa" w:w="90"/>
              <w:bottom w:type="dxa" w:w="50"/>
              <w:right w:type="dxa" w:w="90"/>
            </w:tcMar>
          </w:tcPr>
          <w:p>
            <w:pPr>
              <w:spacing w:after="30" w:line="260"/>
            </w:pPr>
            <w:r>
              <w:rPr>
                <w:rFonts w:ascii="Calibri" w:cs="Calibri" w:eastAsia="Calibri" w:hAnsi="Calibri"/>
                <w:sz w:val="20"/>
                <w:szCs w:val="20"/>
              </w:rPr>
              <w:t xml:space="preserve"/>
            </w:r>
          </w:p>
        </w:tc>
        <w:tc>
          <w:tcPr>
            <w:tcW w:type="dxa" w:w="1600"/>
            <w:tcMar>
              <w:top w:type="dxa" w:w="50"/>
              <w:left w:type="dxa" w:w="90"/>
              <w:bottom w:type="dxa" w:w="50"/>
              <w:right w:type="dxa" w:w="90"/>
            </w:tcMar>
          </w:tcPr>
          <w:p>
            <w:pPr>
              <w:spacing w:after="30" w:line="260"/>
            </w:pPr>
            <w:r>
              <w:rPr>
                <w:rFonts w:ascii="Calibri" w:cs="Calibri" w:eastAsia="Calibri" w:hAnsi="Calibri"/>
                <w:sz w:val="20"/>
                <w:szCs w:val="20"/>
              </w:rPr>
              <w:t xml:space="preserve"/>
            </w:r>
          </w:p>
        </w:tc>
        <w:tc>
          <w:tcPr>
            <w:tcW w:type="dxa" w:w="1400"/>
            <w:tcMar>
              <w:top w:type="dxa" w:w="50"/>
              <w:left w:type="dxa" w:w="90"/>
              <w:bottom w:type="dxa" w:w="50"/>
              <w:right w:type="dxa" w:w="90"/>
            </w:tcMar>
          </w:tcPr>
          <w:p>
            <w:pPr>
              <w:spacing w:after="30" w:line="260"/>
            </w:pPr>
            <w:r>
              <w:rPr>
                <w:rFonts w:ascii="Calibri" w:cs="Calibri" w:eastAsia="Calibri" w:hAnsi="Calibri"/>
                <w:sz w:val="20"/>
                <w:szCs w:val="20"/>
              </w:rPr>
              <w:t xml:space="preserve"/>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space="6"/>
      </w:pBdr>
      <w:jc w:val="center"/>
    </w:pPr>
    <w:r>
      <w:rPr>
        <w:rFonts w:ascii="Calibri" w:cs="Calibri" w:eastAsia="Calibri" w:hAnsi="Calibri"/>
        <w:color w:val="595959"/>
        <w:sz w:val="16"/>
        <w:szCs w:val="16"/>
      </w:rPr>
      <w:t xml:space="preserve">ERS — Portal de Proveedores ULTRASIST (MVP) · v1.4 · 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Portal de Proveedores ULTRASIST (MVP)</dc:title>
  <dc:creator>ERS - Portal de Proveedores ULTRASIST</dc:creator>
  <cp:lastModifiedBy>Un-named</cp:lastModifiedBy>
  <cp:revision>1</cp:revision>
  <dcterms:created xsi:type="dcterms:W3CDTF">2026-09-23T20:48:54.269Z</dcterms:created>
  <dcterms:modified xsi:type="dcterms:W3CDTF">2026-09-23T20:48:54.269Z</dcterms:modified>
</cp:coreProperties>
</file>

<file path=docProps/custom.xml><?xml version="1.0" encoding="utf-8"?>
<Properties xmlns="http://schemas.openxmlformats.org/officeDocument/2006/custom-properties" xmlns:vt="http://schemas.openxmlformats.org/officeDocument/2006/docPropsVTypes"/>
</file>