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6"/>
          <w:szCs w:val="36"/>
        </w:rPr>
        <w:t xml:space="preserve">Validación de Historias de Usuario contra el Alcance del MVP</w:t>
      </w:r>
    </w:p>
    <w:p>
      <w:pPr>
        <w:spacing w:after="200"/>
      </w:pPr>
      <w:r>
        <w:rPr>
          <w:rFonts w:ascii="Calibri" w:cs="Calibri" w:eastAsia="Calibri" w:hAnsi="Calibri"/>
          <w:b/>
          <w:bCs/>
          <w:color w:val="595959"/>
          <w:sz w:val="28"/>
          <w:szCs w:val="28"/>
        </w:rPr>
        <w:t xml:space="preserve">Portal de Proveedores ULTRASIST</w:t>
      </w:r>
    </w:p>
    <w:p>
      <w:pPr>
        <w:spacing w:after="60" w:before="0" w:line="276"/>
      </w:pPr>
      <w:r>
        <w:rPr>
          <w:rFonts w:ascii="Calibri" w:cs="Calibri" w:eastAsia="Calibri" w:hAnsi="Calibri"/>
          <w:b/>
          <w:bCs/>
          <w:color w:val="595959"/>
          <w:sz w:val="20"/>
          <w:szCs w:val="20"/>
        </w:rPr>
        <w:t xml:space="preserve">Fuentes: </w:t>
      </w:r>
      <w:r>
        <w:rPr>
          <w:rFonts w:ascii="Calibri" w:cs="Calibri" w:eastAsia="Calibri" w:hAnsi="Calibri"/>
          <w:color w:val="595959"/>
          <w:sz w:val="20"/>
          <w:szCs w:val="20"/>
        </w:rPr>
        <w:t xml:space="preserve">Minuta_Portal_Proveedores_ULTRASIST_21Sep2026.docx (sección “Alcance del MVP”, fuente de verdad) y HUs Portal Proveedores ULTRASIST_v2.docx.</w:t>
      </w:r>
    </w:p>
    <w:p>
      <w:pPr>
        <w:spacing w:after="60" w:before="0" w:line="276"/>
      </w:pPr>
      <w:r>
        <w:rPr>
          <w:rFonts w:ascii="Calibri" w:cs="Calibri" w:eastAsia="Calibri" w:hAnsi="Calibri"/>
          <w:b/>
          <w:bCs/>
          <w:color w:val="595959"/>
          <w:sz w:val="20"/>
          <w:szCs w:val="20"/>
        </w:rPr>
        <w:t xml:space="preserve">Fecha de elaboración: </w:t>
      </w:r>
      <w:r>
        <w:rPr>
          <w:rFonts w:ascii="Calibri" w:cs="Calibri" w:eastAsia="Calibri" w:hAnsi="Calibri"/>
          <w:color w:val="595959"/>
          <w:sz w:val="20"/>
          <w:szCs w:val="20"/>
        </w:rPr>
        <w:t xml:space="preserve">23 de septiembre de 2026.</w:t>
      </w:r>
    </w:p>
    <w:p>
      <w:pPr>
        <w:spacing w:after="200" w:before="0" w:line="276"/>
      </w:pPr>
      <w:r>
        <w:rPr>
          <w:rFonts w:ascii="Calibri" w:cs="Calibri" w:eastAsia="Calibri" w:hAnsi="Calibri"/>
          <w:b/>
          <w:bCs/>
          <w:color w:val="595959"/>
          <w:sz w:val="20"/>
          <w:szCs w:val="20"/>
        </w:rPr>
        <w:t xml:space="preserve">Nota metodológica: </w:t>
      </w:r>
      <w:r>
        <w:rPr>
          <w:rFonts w:ascii="Calibri" w:cs="Calibri" w:eastAsia="Calibri" w:hAnsi="Calibri"/>
          <w:i/>
          <w:iCs/>
          <w:color w:val="595959"/>
          <w:sz w:val="20"/>
          <w:szCs w:val="20"/>
        </w:rPr>
        <w:t xml:space="preserve">la clasificación se basa exclusivamente en el texto de la minuta; no se infiere alcance no declarado. Los títulos de las HUs son editoriales (el documento origen no define títulos); las descripciones se transcriben de forma literal, conservando su redacción y sus IDs originales.</w:t>
      </w:r>
    </w:p>
    <w:p>
      <w:pPr>
        <w:pStyle w:val="Heading1"/>
        <w:spacing w:after="160" w:before="320"/>
      </w:pPr>
      <w:r>
        <w:rPr>
          <w:rFonts w:ascii="Calibri" w:cs="Calibri" w:eastAsia="Calibri" w:hAnsi="Calibri"/>
          <w:b/>
          <w:bCs/>
          <w:color w:val="1F3864"/>
          <w:sz w:val="30"/>
          <w:szCs w:val="30"/>
        </w:rPr>
        <w:t xml:space="preserve">1. Resumen</w:t>
      </w:r>
    </w:p>
    <w:p>
      <w:pPr>
        <w:spacing w:after="120" w:before="0" w:line="276"/>
      </w:pPr>
      <w:r>
        <w:rPr>
          <w:rFonts w:ascii="Calibri" w:cs="Calibri" w:eastAsia="Calibri" w:hAnsi="Calibri"/>
          <w:b/>
          <w:bCs/>
          <w:sz w:val="22"/>
          <w:szCs w:val="22"/>
        </w:rPr>
        <w:t xml:space="preserve">Total de ítems revisados: </w:t>
      </w:r>
      <w:r>
        <w:rPr>
          <w:rFonts w:ascii="Calibri" w:cs="Calibri" w:eastAsia="Calibri" w:hAnsi="Calibri"/>
          <w:sz w:val="22"/>
          <w:szCs w:val="22"/>
        </w:rPr>
        <w:t xml:space="preserve">12 </w:t>
      </w:r>
      <w:r>
        <w:rPr>
          <w:rFonts w:ascii="Calibri" w:cs="Calibri" w:eastAsia="Calibri" w:hAnsi="Calibri"/>
          <w:sz w:val="22"/>
          <w:szCs w:val="22"/>
        </w:rPr>
        <w:t xml:space="preserve">(11 Historias de Usuario con ID formal + 1 “Requerimiento General” sin ID de HU).</w:t>
      </w:r>
    </w:p>
    <w:p>
      <w:pPr>
        <w:spacing w:after="60" w:before="0" w:line="276"/>
      </w:pPr>
      <w:r>
        <w:rPr>
          <w:rFonts w:ascii="Calibri" w:cs="Calibri" w:eastAsia="Calibri" w:hAnsi="Calibri"/>
          <w:b/>
          <w:bCs/>
          <w:sz w:val="22"/>
          <w:szCs w:val="22"/>
        </w:rPr>
        <w:t xml:space="preserve">Conteo por categoría:</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4680"/>
        <w:gridCol w:w="2340"/>
        <w:gridCol w:w="2340"/>
      </w:tblGrid>
      <w:tr>
        <w:trPr>
          <w:tblHeader/>
        </w:trPr>
        <w:tc>
          <w:tcPr>
            <w:tcW w:type="dxa" w:w="468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Categoría</w:t>
            </w:r>
          </w:p>
        </w:tc>
        <w:tc>
          <w:tcPr>
            <w:tcW w:type="dxa" w:w="234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Cantidad</w:t>
            </w:r>
          </w:p>
        </w:tc>
        <w:tc>
          <w:tcPr>
            <w:tcW w:type="dxa" w:w="234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IDs / elementos</w:t>
            </w:r>
          </w:p>
        </w:tc>
      </w:tr>
      <w:tr>
        <w:tc>
          <w:tcPr>
            <w:tcW w:type="dxa" w:w="4680"/>
            <w:tcMar>
              <w:top w:type="dxa" w:w="60"/>
              <w:left w:type="dxa" w:w="100"/>
              <w:bottom w:type="dxa" w:w="60"/>
              <w:right w:type="dxa" w:w="100"/>
            </w:tcMar>
          </w:tcPr>
          <w:p>
            <w:pPr>
              <w:spacing w:after="40" w:line="264"/>
            </w:pPr>
            <w:r>
              <w:rPr>
                <w:rFonts w:ascii="Calibri" w:cs="Calibri" w:eastAsia="Calibri" w:hAnsi="Calibri"/>
                <w:sz w:val="20"/>
                <w:szCs w:val="20"/>
              </w:rPr>
              <w:t xml:space="preserve">Dentro del MVP</w:t>
            </w:r>
          </w:p>
        </w:tc>
        <w:tc>
          <w:tcPr>
            <w:tcW w:type="dxa" w:w="2340"/>
            <w:tcMar>
              <w:top w:type="dxa" w:w="60"/>
              <w:left w:type="dxa" w:w="100"/>
              <w:bottom w:type="dxa" w:w="60"/>
              <w:right w:type="dxa" w:w="100"/>
            </w:tcMar>
          </w:tcPr>
          <w:p>
            <w:pPr>
              <w:spacing w:after="40" w:line="264"/>
            </w:pPr>
            <w:r>
              <w:rPr>
                <w:rFonts w:ascii="Calibri" w:cs="Calibri" w:eastAsia="Calibri" w:hAnsi="Calibri"/>
                <w:sz w:val="20"/>
                <w:szCs w:val="20"/>
              </w:rPr>
              <w:t xml:space="preserve">10</w:t>
            </w:r>
          </w:p>
        </w:tc>
        <w:tc>
          <w:tcPr>
            <w:tcW w:type="dxa" w:w="2340"/>
            <w:tcMar>
              <w:top w:type="dxa" w:w="60"/>
              <w:left w:type="dxa" w:w="100"/>
              <w:bottom w:type="dxa" w:w="60"/>
              <w:right w:type="dxa" w:w="100"/>
            </w:tcMar>
          </w:tcPr>
          <w:p>
            <w:pPr>
              <w:spacing w:after="40" w:line="264"/>
            </w:pPr>
            <w:r>
              <w:rPr>
                <w:rFonts w:ascii="Calibri" w:cs="Calibri" w:eastAsia="Calibri" w:hAnsi="Calibri"/>
                <w:sz w:val="20"/>
                <w:szCs w:val="20"/>
              </w:rPr>
              <w:t xml:space="preserve">HU-01, HU-02, HU-03, HU-04, HU-05, HU-10, HU-12, HU-13, HU-14, HU1</w:t>
            </w:r>
          </w:p>
        </w:tc>
      </w:tr>
      <w:tr>
        <w:tc>
          <w:tcPr>
            <w:tcW w:type="dxa" w:w="468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Parcialmente dentro</w:t>
            </w:r>
          </w:p>
        </w:tc>
        <w:tc>
          <w:tcPr>
            <w:tcW w:type="dxa" w:w="234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0</w:t>
            </w:r>
          </w:p>
        </w:tc>
        <w:tc>
          <w:tcPr>
            <w:tcW w:type="dxa" w:w="234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w:t>
            </w:r>
          </w:p>
        </w:tc>
      </w:tr>
      <w:tr>
        <w:tc>
          <w:tcPr>
            <w:tcW w:type="dxa" w:w="4680"/>
            <w:tcMar>
              <w:top w:type="dxa" w:w="60"/>
              <w:left w:type="dxa" w:w="100"/>
              <w:bottom w:type="dxa" w:w="60"/>
              <w:right w:type="dxa" w:w="100"/>
            </w:tcMar>
          </w:tcPr>
          <w:p>
            <w:pPr>
              <w:spacing w:after="40" w:line="264"/>
            </w:pPr>
            <w:r>
              <w:rPr>
                <w:rFonts w:ascii="Calibri" w:cs="Calibri" w:eastAsia="Calibri" w:hAnsi="Calibri"/>
                <w:sz w:val="20"/>
                <w:szCs w:val="20"/>
              </w:rPr>
              <w:t xml:space="preserve">Fuera del MVP</w:t>
            </w:r>
          </w:p>
        </w:tc>
        <w:tc>
          <w:tcPr>
            <w:tcW w:type="dxa" w:w="2340"/>
            <w:tcMar>
              <w:top w:type="dxa" w:w="60"/>
              <w:left w:type="dxa" w:w="100"/>
              <w:bottom w:type="dxa" w:w="60"/>
              <w:right w:type="dxa" w:w="100"/>
            </w:tcMar>
          </w:tcPr>
          <w:p>
            <w:pPr>
              <w:spacing w:after="40" w:line="264"/>
            </w:pPr>
            <w:r>
              <w:rPr>
                <w:rFonts w:ascii="Calibri" w:cs="Calibri" w:eastAsia="Calibri" w:hAnsi="Calibri"/>
                <w:sz w:val="20"/>
                <w:szCs w:val="20"/>
              </w:rPr>
              <w:t xml:space="preserve">2</w:t>
            </w:r>
          </w:p>
        </w:tc>
        <w:tc>
          <w:tcPr>
            <w:tcW w:type="dxa" w:w="2340"/>
            <w:tcMar>
              <w:top w:type="dxa" w:w="60"/>
              <w:left w:type="dxa" w:w="100"/>
              <w:bottom w:type="dxa" w:w="60"/>
              <w:right w:type="dxa" w:w="100"/>
            </w:tcMar>
          </w:tcPr>
          <w:p>
            <w:pPr>
              <w:spacing w:after="40" w:line="264"/>
            </w:pPr>
            <w:r>
              <w:rPr>
                <w:rFonts w:ascii="Calibri" w:cs="Calibri" w:eastAsia="Calibri" w:hAnsi="Calibri"/>
                <w:sz w:val="20"/>
                <w:szCs w:val="20"/>
              </w:rPr>
              <w:t xml:space="preserve">HU-11; Requerimiento General (sin ID)</w:t>
            </w:r>
          </w:p>
        </w:tc>
      </w:tr>
      <w:tr>
        <w:tc>
          <w:tcPr>
            <w:tcW w:type="dxa" w:w="468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Ambigua</w:t>
            </w:r>
          </w:p>
        </w:tc>
        <w:tc>
          <w:tcPr>
            <w:tcW w:type="dxa" w:w="234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0</w:t>
            </w:r>
          </w:p>
        </w:tc>
        <w:tc>
          <w:tcPr>
            <w:tcW w:type="dxa" w:w="234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w:t>
            </w:r>
          </w:p>
        </w:tc>
      </w:tr>
      <w:tr>
        <w:tc>
          <w:tcPr>
            <w:tcW w:type="dxa" w:w="4680"/>
            <w:tcMar>
              <w:top w:type="dxa" w:w="60"/>
              <w:left w:type="dxa" w:w="100"/>
              <w:bottom w:type="dxa" w:w="60"/>
              <w:right w:type="dxa" w:w="100"/>
            </w:tcMar>
          </w:tcPr>
          <w:p>
            <w:pPr>
              <w:spacing w:after="40" w:line="264"/>
            </w:pPr>
            <w:r>
              <w:rPr>
                <w:rFonts w:ascii="Calibri" w:cs="Calibri" w:eastAsia="Calibri" w:hAnsi="Calibri"/>
                <w:sz w:val="20"/>
                <w:szCs w:val="20"/>
              </w:rPr>
              <w:t xml:space="preserve">Dentro del MVP pero no incluidas</w:t>
            </w:r>
          </w:p>
        </w:tc>
        <w:tc>
          <w:tcPr>
            <w:tcW w:type="dxa" w:w="2340"/>
            <w:tcMar>
              <w:top w:type="dxa" w:w="60"/>
              <w:left w:type="dxa" w:w="100"/>
              <w:bottom w:type="dxa" w:w="60"/>
              <w:right w:type="dxa" w:w="100"/>
            </w:tcMar>
          </w:tcPr>
          <w:p>
            <w:pPr>
              <w:spacing w:after="40" w:line="264"/>
            </w:pPr>
            <w:r>
              <w:rPr>
                <w:rFonts w:ascii="Calibri" w:cs="Calibri" w:eastAsia="Calibri" w:hAnsi="Calibri"/>
                <w:sz w:val="20"/>
                <w:szCs w:val="20"/>
              </w:rPr>
              <w:t xml:space="preserve">8</w:t>
            </w:r>
          </w:p>
        </w:tc>
        <w:tc>
          <w:tcPr>
            <w:tcW w:type="dxa" w:w="2340"/>
            <w:tcMar>
              <w:top w:type="dxa" w:w="60"/>
              <w:left w:type="dxa" w:w="100"/>
              <w:bottom w:type="dxa" w:w="60"/>
              <w:right w:type="dxa" w:w="100"/>
            </w:tcMar>
          </w:tcPr>
          <w:p>
            <w:pPr>
              <w:spacing w:after="40" w:line="264"/>
            </w:pPr>
            <w:r>
              <w:rPr>
                <w:rFonts w:ascii="Calibri" w:cs="Calibri" w:eastAsia="Calibri" w:hAnsi="Calibri"/>
                <w:sz w:val="20"/>
                <w:szCs w:val="20"/>
              </w:rPr>
              <w:t xml:space="preserve">Elementos del “Alcance del MVP” definidos en la minuta que ninguna HU menciona (sin ID de HU): proveedores extranjeros (carga/duplicados por nombre de archivo); validación extranjera; consulta de facturas por PMO; configuración de reglas de validación; seguimiento del proveedor; validación manual/pantalla de revisión (PMO); catálogos distintos al de proveedores; destinatarios/parámetros de correos. Detalle en la sección 4.</w:t>
            </w:r>
          </w:p>
        </w:tc>
      </w:tr>
    </w:tbl>
    <w:p>
      <w:pPr>
        <w:spacing w:after="20" w:before="0" w:line="276"/>
      </w:pPr>
      <w:r>
        <w:rPr>
          <w:rFonts w:ascii="Calibri" w:cs="Calibri" w:eastAsia="Calibri" w:hAnsi="Calibri"/>
          <w:sz w:val="22"/>
          <w:szCs w:val="22"/>
        </w:rPr>
        <w:t xml:space="preserve"/>
      </w:r>
    </w:p>
    <w:p>
      <w:pPr>
        <w:spacing w:after="80" w:before="0" w:line="276"/>
      </w:pPr>
      <w:r>
        <w:rPr>
          <w:rFonts w:ascii="Calibri" w:cs="Calibri" w:eastAsia="Calibri" w:hAnsi="Calibri"/>
          <w:b/>
          <w:bCs/>
          <w:color w:val="595959"/>
          <w:sz w:val="20"/>
          <w:szCs w:val="20"/>
        </w:rPr>
        <w:t xml:space="preserve">Nota: </w:t>
      </w:r>
      <w:r>
        <w:rPr>
          <w:rFonts w:ascii="Calibri" w:cs="Calibri" w:eastAsia="Calibri" w:hAnsi="Calibri"/>
          <w:i/>
          <w:iCs/>
          <w:color w:val="595959"/>
          <w:sz w:val="20"/>
          <w:szCs w:val="20"/>
        </w:rPr>
        <w:t xml:space="preserve">la categoría “Dentro del MVP pero no incluidas” cuenta elementos del alcance de la minuta que ninguna HU cubre (no son HUs del documento de HUs); por eso no se suman a los 12 ítems revisados. De los 8, cuatro no tienen ninguna cobertura y cuatro tienen cobertura parcial / a confirmar (véase la sección 4).</w:t>
      </w:r>
    </w:p>
    <w:p>
      <w:pPr>
        <w:spacing w:after="120" w:before="0" w:line="276"/>
      </w:pPr>
      <w:r>
        <w:rPr>
          <w:rFonts w:ascii="Calibri" w:cs="Calibri" w:eastAsia="Calibri" w:hAnsi="Calibri"/>
          <w:b/>
          <w:bCs/>
          <w:sz w:val="22"/>
          <w:szCs w:val="22"/>
        </w:rPr>
        <w:t xml:space="preserve">Inconsistencias de IDs/terminología detectadas: </w:t>
      </w:r>
      <w:r>
        <w:rPr>
          <w:rFonts w:ascii="Calibri" w:cs="Calibri" w:eastAsia="Calibri" w:hAnsi="Calibri"/>
          <w:sz w:val="22"/>
          <w:szCs w:val="22"/>
        </w:rPr>
        <w:t xml:space="preserve">8. Véase la sección 6.</w:t>
      </w:r>
    </w:p>
    <w:p>
      <w:pPr>
        <w:pStyle w:val="Heading1"/>
        <w:spacing w:after="160" w:before="320"/>
      </w:pPr>
      <w:r>
        <w:rPr>
          <w:rFonts w:ascii="Calibri" w:cs="Calibri" w:eastAsia="Calibri" w:hAnsi="Calibri"/>
          <w:b/>
          <w:bCs/>
          <w:color w:val="1F3864"/>
          <w:sz w:val="30"/>
          <w:szCs w:val="30"/>
        </w:rPr>
        <w:t xml:space="preserve">2. HUs validadas (Dentro del MVP)</w:t>
      </w:r>
    </w:p>
    <w:p>
      <w:pPr>
        <w:spacing w:after="120" w:before="0" w:line="276"/>
      </w:pPr>
      <w:r>
        <w:rPr>
          <w:rFonts w:ascii="Calibri" w:cs="Calibri" w:eastAsia="Calibri" w:hAnsi="Calibri"/>
          <w:i/>
          <w:iCs/>
          <w:color w:val="595959"/>
          <w:sz w:val="20"/>
          <w:szCs w:val="20"/>
        </w:rPr>
        <w:t xml:space="preserve">Cada HU se lista con su ID, un título (editorial) y su descripción completa transcrita literalmente del documento origen. La cita del alcance que justifica su inclusión aparece al final de cada ficha.</w:t>
      </w:r>
    </w:p>
    <w:p>
      <w:pPr>
        <w:spacing w:after="40" w:before="200"/>
      </w:pPr>
      <w:r>
        <w:rPr>
          <w:rFonts w:ascii="Calibri" w:cs="Calibri" w:eastAsia="Calibri" w:hAnsi="Calibri"/>
          <w:b/>
          <w:bCs/>
          <w:color w:val="1F3864"/>
          <w:sz w:val="24"/>
          <w:szCs w:val="24"/>
        </w:rPr>
        <w:t xml:space="preserve">HU-01</w:t>
      </w:r>
      <w:r>
        <w:rPr>
          <w:rFonts w:ascii="Calibri" w:cs="Calibri" w:eastAsia="Calibri" w:hAnsi="Calibri"/>
          <w:b/>
          <w:bCs/>
          <w:color w:val="000000"/>
          <w:sz w:val="24"/>
          <w:szCs w:val="24"/>
        </w:rPr>
        <w:t xml:space="preserve">  ·  Carga masiva de proveedores (catálogo vía Excel)</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Administrador</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administrador requiero una opción para cargar de forma masiva los registros de los proveedores a través de un formato de Excel predefinido para tener cargado en el sistema el catálogo de los proveedores.</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Rol Administrador: “Administrar y cargar catálogos.” y “Administrar proveedores y accesos al portal.” (La carga masiva vía Excel es el mecanismo; la función —cargar el catálogo de proveedores— está explícita en el alcance.)</w:t>
      </w:r>
    </w:p>
    <w:p>
      <w:pPr>
        <w:spacing w:after="40" w:before="200"/>
      </w:pPr>
      <w:r>
        <w:rPr>
          <w:rFonts w:ascii="Calibri" w:cs="Calibri" w:eastAsia="Calibri" w:hAnsi="Calibri"/>
          <w:b/>
          <w:bCs/>
          <w:color w:val="1F3864"/>
          <w:sz w:val="24"/>
          <w:szCs w:val="24"/>
        </w:rPr>
        <w:t xml:space="preserve">HU-02</w:t>
      </w:r>
      <w:r>
        <w:rPr>
          <w:rFonts w:ascii="Calibri" w:cs="Calibri" w:eastAsia="Calibri" w:hAnsi="Calibri"/>
          <w:b/>
          <w:bCs/>
          <w:color w:val="000000"/>
          <w:sz w:val="24"/>
          <w:szCs w:val="24"/>
        </w:rPr>
        <w:t xml:space="preserve">  ·  Actualización masiva del estatus del proveedor a “Autorizado”</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Administrador</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administrador requiere una opción para actualizar el estatus del proveedor a “Autorizado” de forma masiva para que el proveedor esté listo para operar.</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Rol Administrador: “Administrar proveedores y accesos al portal.” + ACCESO DE PROVEEDORES: “El acceso al portal se habilitará cuando el proveedor se encuentre registrado y su estatus cambie a ‘Aprobado’.” (Nota: la minuta usa “Aprobado”; la HU usa “Autorizado”.)</w:t>
      </w:r>
    </w:p>
    <w:p>
      <w:pPr>
        <w:spacing w:after="40" w:before="200"/>
      </w:pPr>
      <w:r>
        <w:rPr>
          <w:rFonts w:ascii="Calibri" w:cs="Calibri" w:eastAsia="Calibri" w:hAnsi="Calibri"/>
          <w:b/>
          <w:bCs/>
          <w:color w:val="1F3864"/>
          <w:sz w:val="24"/>
          <w:szCs w:val="24"/>
        </w:rPr>
        <w:t xml:space="preserve">HU-03</w:t>
      </w:r>
      <w:r>
        <w:rPr>
          <w:rFonts w:ascii="Calibri" w:cs="Calibri" w:eastAsia="Calibri" w:hAnsi="Calibri"/>
          <w:b/>
          <w:bCs/>
          <w:color w:val="000000"/>
          <w:sz w:val="24"/>
          <w:szCs w:val="24"/>
        </w:rPr>
        <w:t xml:space="preserve">  ·  Envío de usuario y contraseña temporal al proveedor autorizado</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Administrador</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administrador requiero que se mande al correo del Proveedor que haya sido “Autorizado” , tanto el usuario y password temporal, para que el proveedor pueda logearse por primera vez al portal de proveedores de forma segura.</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ACCESO DE PROVEEDORES: “…el sistema enviará automáticamente un correo con usuario y contraseña temporal. En el primer inicio de sesión, el proveedor deberá cambiar la contraseña antes de continuar.”</w:t>
      </w:r>
    </w:p>
    <w:p>
      <w:pPr>
        <w:spacing w:after="40" w:before="200"/>
      </w:pPr>
      <w:r>
        <w:rPr>
          <w:rFonts w:ascii="Calibri" w:cs="Calibri" w:eastAsia="Calibri" w:hAnsi="Calibri"/>
          <w:b/>
          <w:bCs/>
          <w:color w:val="1F3864"/>
          <w:sz w:val="24"/>
          <w:szCs w:val="24"/>
        </w:rPr>
        <w:t xml:space="preserve">HU-04</w:t>
      </w:r>
      <w:r>
        <w:rPr>
          <w:rFonts w:ascii="Calibri" w:cs="Calibri" w:eastAsia="Calibri" w:hAnsi="Calibri"/>
          <w:b/>
          <w:bCs/>
          <w:color w:val="000000"/>
          <w:sz w:val="24"/>
          <w:szCs w:val="24"/>
        </w:rPr>
        <w:t xml:space="preserve">  ·  Definición de archivos mínimos por tipo de proveedor (Nacional/Internacional)</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Administrador</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administrador requiero definir los archivos mínimos que debe subir el proveedor cuando se trate un proveedor “Nacional” o “internacional” para poder enviar su factura.</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Rol Administrador: “Configurar parámetros y reglas de validación.” + Rol Proveedor: “…documentos soporte” (nacionales y extranjeros). Definir los archivos mínimos es configurar parámetros del sistema.</w:t>
      </w:r>
    </w:p>
    <w:p>
      <w:pPr>
        <w:spacing w:after="40" w:before="200"/>
      </w:pPr>
      <w:r>
        <w:rPr>
          <w:rFonts w:ascii="Calibri" w:cs="Calibri" w:eastAsia="Calibri" w:hAnsi="Calibri"/>
          <w:b/>
          <w:bCs/>
          <w:color w:val="1F3864"/>
          <w:sz w:val="24"/>
          <w:szCs w:val="24"/>
        </w:rPr>
        <w:t xml:space="preserve">HU-05</w:t>
      </w:r>
      <w:r>
        <w:rPr>
          <w:rFonts w:ascii="Calibri" w:cs="Calibri" w:eastAsia="Calibri" w:hAnsi="Calibri"/>
          <w:b/>
          <w:bCs/>
          <w:color w:val="000000"/>
          <w:sz w:val="24"/>
          <w:szCs w:val="24"/>
        </w:rPr>
        <w:t xml:space="preserve">  ·  Configuración de plantillas de correo por cambio de estatus</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Administrador</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administrador requiero definir en la sección de configuración del sistema, los diferentes tipos de plantillas que se enviaran a los usuarios en los diferentes tipos de cambios de estatus de la factura “Autorizada”,”Rechazada”,”Observaciones” y “Cancelada”</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Rol Administrador: “Configurar correos y destinatarios de notificaciones.” + NOTA de la minuta sobre notificaciones automáticas. (La gestión de plantillas de correo se enmarca en la configuración de correos/notificaciones.)</w:t>
      </w:r>
    </w:p>
    <w:p>
      <w:pPr>
        <w:spacing w:after="40" w:before="200"/>
      </w:pPr>
      <w:r>
        <w:rPr>
          <w:rFonts w:ascii="Calibri" w:cs="Calibri" w:eastAsia="Calibri" w:hAnsi="Calibri"/>
          <w:b/>
          <w:bCs/>
          <w:color w:val="1F3864"/>
          <w:sz w:val="24"/>
          <w:szCs w:val="24"/>
        </w:rPr>
        <w:t xml:space="preserve">HU-10</w:t>
      </w:r>
      <w:r>
        <w:rPr>
          <w:rFonts w:ascii="Calibri" w:cs="Calibri" w:eastAsia="Calibri" w:hAnsi="Calibri"/>
          <w:b/>
          <w:bCs/>
          <w:color w:val="000000"/>
          <w:sz w:val="24"/>
          <w:szCs w:val="24"/>
        </w:rPr>
        <w:t xml:space="preserve">  ·  Cambio de contraseña en el primer inicio de sesión</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Proveedor</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proveedor requiero logearme por primera vez y que el sistema me solicite cambiar mi correo de forma automática y que dicho password sea de al menos 8 caracteres y al menos una letra, un número y un carácter especial.</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ACCESO DE PROVEEDORES: “En el primer inicio de sesión, el proveedor deberá cambiar la contraseña antes de continuar.” (La política de complejidad de 8 caracteres es un detalle no especificado en la minuta, pero la función —forzar el cambio en el primer acceso— es explícita.)</w:t>
      </w:r>
    </w:p>
    <w:p>
      <w:pPr>
        <w:spacing w:after="40" w:before="200"/>
      </w:pPr>
      <w:r>
        <w:rPr>
          <w:rFonts w:ascii="Calibri" w:cs="Calibri" w:eastAsia="Calibri" w:hAnsi="Calibri"/>
          <w:b/>
          <w:bCs/>
          <w:color w:val="1F3864"/>
          <w:sz w:val="24"/>
          <w:szCs w:val="24"/>
        </w:rPr>
        <w:t xml:space="preserve">HU-12</w:t>
      </w:r>
      <w:r>
        <w:rPr>
          <w:rFonts w:ascii="Calibri" w:cs="Calibri" w:eastAsia="Calibri" w:hAnsi="Calibri"/>
          <w:b/>
          <w:bCs/>
          <w:color w:val="000000"/>
          <w:sz w:val="24"/>
          <w:szCs w:val="24"/>
        </w:rPr>
        <w:t xml:space="preserve">  ·  Registro de factura y carga de archivos mínimos</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Proveedor</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proveedor requiero registra cada una de mis facturas y cargar los archivos mínimos necesarios que fueron definidos desde la configuración del sistema para que pueda ser validada.</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Rol Proveedor: “El portal permitirá registrar, validar y dar seguimiento a las facturas cargadas por los proveedores.” + “carga de PDF y XML; documentos soporte.”</w:t>
      </w:r>
    </w:p>
    <w:p>
      <w:pPr>
        <w:spacing w:after="40" w:before="200"/>
      </w:pPr>
      <w:r>
        <w:rPr>
          <w:rFonts w:ascii="Calibri" w:cs="Calibri" w:eastAsia="Calibri" w:hAnsi="Calibri"/>
          <w:b/>
          <w:bCs/>
          <w:color w:val="1F3864"/>
          <w:sz w:val="24"/>
          <w:szCs w:val="24"/>
        </w:rPr>
        <w:t xml:space="preserve">HU-13</w:t>
      </w:r>
      <w:r>
        <w:rPr>
          <w:rFonts w:ascii="Calibri" w:cs="Calibri" w:eastAsia="Calibri" w:hAnsi="Calibri"/>
          <w:b/>
          <w:bCs/>
          <w:color w:val="000000"/>
          <w:sz w:val="24"/>
          <w:szCs w:val="24"/>
        </w:rPr>
        <w:t xml:space="preserve">  ·  Envío de factura a validación (PMO) con validación del XML — Proveedor Nacional</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Proveedor</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proveedor “Nacional” requiero que una vez cargue mi factura junto con los archivos mínimos necesarios, yo pueda enviar mi factura al área de validación (PMO), previo la validación de los datos del formato XML coincidan con los datos que están definidos en la sección de “Reglas de Validación”.</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Rol Proveedor (nacionales): “…control de duplicados mediante el identificador contenido en el XML.” + “Validación nacional: comparar RFC, Razón Social, Dirección y Código Postal contra los datos registrados de ULTRASIST.”</w:t>
      </w:r>
    </w:p>
    <w:p>
      <w:pPr>
        <w:spacing w:after="40" w:before="200"/>
      </w:pPr>
      <w:r>
        <w:rPr>
          <w:rFonts w:ascii="Calibri" w:cs="Calibri" w:eastAsia="Calibri" w:hAnsi="Calibri"/>
          <w:b/>
          <w:bCs/>
          <w:color w:val="1F3864"/>
          <w:sz w:val="24"/>
          <w:szCs w:val="24"/>
        </w:rPr>
        <w:t xml:space="preserve">HU-14</w:t>
      </w:r>
      <w:r>
        <w:rPr>
          <w:rFonts w:ascii="Calibri" w:cs="Calibri" w:eastAsia="Calibri" w:hAnsi="Calibri"/>
          <w:b/>
          <w:bCs/>
          <w:color w:val="000000"/>
          <w:sz w:val="24"/>
          <w:szCs w:val="24"/>
        </w:rPr>
        <w:t xml:space="preserve">  ·  Cancelación de factura con acuse y notificación</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Proveedor</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proveedor requiero poder cancelar mi factura y en este caso el sistema de deberá obligar a cargar como archivo adicional el “Acuse de Cancelación” y deberá enviar por correo a “Recepción de Facturas” un correo en donde se indique el “número de factura” y “nombre del proveedor” ha sido cancelado que por favor acepte la “Cancelación” antes de la fecha siguiente=Fecha Actual + 72 horas (3 dias).</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Rol Proveedor: “Cancelación: permitir solicitar la cancelación y enviar una notificación automática al área de Facturas Electrónicas para revisión y autorización.” (El “Acuse de Cancelación” obligatorio y el plazo de +72 h son detalles de la HU no especificados en la minuta; no la contradicen.)</w:t>
      </w:r>
    </w:p>
    <w:p>
      <w:pPr>
        <w:spacing w:after="40" w:before="200"/>
      </w:pPr>
      <w:r>
        <w:rPr>
          <w:rFonts w:ascii="Calibri" w:cs="Calibri" w:eastAsia="Calibri" w:hAnsi="Calibri"/>
          <w:b/>
          <w:bCs/>
          <w:color w:val="1F3864"/>
          <w:sz w:val="24"/>
          <w:szCs w:val="24"/>
        </w:rPr>
        <w:t xml:space="preserve">HU1</w:t>
      </w:r>
      <w:r>
        <w:rPr>
          <w:rFonts w:ascii="Calibri" w:cs="Calibri" w:eastAsia="Calibri" w:hAnsi="Calibri"/>
          <w:b/>
          <w:bCs/>
          <w:color w:val="000000"/>
          <w:sz w:val="24"/>
          <w:szCs w:val="24"/>
        </w:rPr>
        <w:t xml:space="preserve">  ·  Cambio de estatus de la factura (Autorizada/Rechazada/Observaciones)</w:t>
      </w:r>
    </w:p>
    <w:p>
      <w:pPr>
        <w:spacing w:after="60" w:before="0" w:line="276"/>
      </w:pPr>
      <w:r>
        <w:rPr>
          <w:rFonts w:ascii="Calibri" w:cs="Calibri" w:eastAsia="Calibri" w:hAnsi="Calibri"/>
          <w:b/>
          <w:bCs/>
          <w:color w:val="595959"/>
          <w:sz w:val="20"/>
          <w:szCs w:val="20"/>
        </w:rPr>
        <w:t xml:space="preserve">Rol: </w:t>
      </w:r>
      <w:r>
        <w:rPr>
          <w:rFonts w:ascii="Calibri" w:cs="Calibri" w:eastAsia="Calibri" w:hAnsi="Calibri"/>
          <w:color w:val="595959"/>
          <w:sz w:val="20"/>
          <w:szCs w:val="20"/>
        </w:rPr>
        <w:t xml:space="preserve">PMO</w:t>
      </w:r>
    </w:p>
    <w:p>
      <w:pPr>
        <w:spacing w:after="60" w:before="0" w:line="276"/>
      </w:pPr>
      <w:r>
        <w:rPr>
          <w:rFonts w:ascii="Calibri" w:cs="Calibri" w:eastAsia="Calibri" w:hAnsi="Calibri"/>
          <w:b/>
          <w:bCs/>
          <w:sz w:val="21"/>
          <w:szCs w:val="21"/>
        </w:rPr>
        <w:t xml:space="preserve">Descripción (transcripción literal): </w:t>
      </w:r>
      <w:r>
        <w:rPr>
          <w:rFonts w:ascii="Calibri" w:cs="Calibri" w:eastAsia="Calibri" w:hAnsi="Calibri"/>
          <w:sz w:val="21"/>
          <w:szCs w:val="21"/>
        </w:rPr>
        <w:t xml:space="preserve">Yo como PMO requiero poder cambiar a través de 3 botones cambiar el estatus de la factura a “Autorizada”, “Rechazada” y “Observaciones”.</w:t>
      </w:r>
    </w:p>
    <w:p>
      <w:pPr>
        <w:spacing w:after="80" w:before="0" w:line="276"/>
      </w:pPr>
      <w:r>
        <w:rPr>
          <w:rFonts w:ascii="Calibri" w:cs="Calibri" w:eastAsia="Calibri" w:hAnsi="Calibri"/>
          <w:b/>
          <w:bCs/>
          <w:color w:val="1F3864"/>
          <w:sz w:val="20"/>
          <w:szCs w:val="20"/>
        </w:rPr>
        <w:t xml:space="preserve">Justificación / cita del alcance: </w:t>
      </w:r>
      <w:r>
        <w:rPr>
          <w:rFonts w:ascii="Calibri" w:cs="Calibri" w:eastAsia="Calibri" w:hAnsi="Calibri"/>
          <w:i/>
          <w:iCs/>
          <w:sz w:val="20"/>
          <w:szCs w:val="20"/>
        </w:rPr>
        <w:t xml:space="preserve">Rol PMO: “Modificar el estatus de la factura: Aceptada, Rechazada o Con observaciones.” + “Registrar observaciones asociadas a la revisión.” + “Realizar la validación manual de las facturas cargadas.” (Nota: la minuta usa “Aceptada”; la HU usa “Autorizada”. La RN-03 —correo al proveedor al rechazar— no está explícita en la minuta.)</w:t>
      </w:r>
    </w:p>
    <w:p>
      <w:r>
        <w:br w:type="page"/>
      </w:r>
    </w:p>
    <w:p>
      <w:pPr>
        <w:pStyle w:val="Heading1"/>
        <w:spacing w:after="160" w:before="320"/>
      </w:pPr>
      <w:r>
        <w:rPr>
          <w:rFonts w:ascii="Calibri" w:cs="Calibri" w:eastAsia="Calibri" w:hAnsi="Calibri"/>
          <w:b/>
          <w:bCs/>
          <w:color w:val="1F3864"/>
          <w:sz w:val="30"/>
          <w:szCs w:val="30"/>
        </w:rPr>
        <w:t xml:space="preserve">3. HUs parcialmente dentro, fuera o ambiguas</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1500"/>
        <w:gridCol w:w="2400"/>
        <w:gridCol w:w="1300"/>
        <w:gridCol w:w="4160"/>
      </w:tblGrid>
      <w:tr>
        <w:trPr>
          <w:tblHeader/>
        </w:trPr>
        <w:tc>
          <w:tcPr>
            <w:tcW w:type="dxa" w:w="150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ID HU</w:t>
            </w:r>
          </w:p>
        </w:tc>
        <w:tc>
          <w:tcPr>
            <w:tcW w:type="dxa" w:w="240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Título</w:t>
            </w:r>
          </w:p>
        </w:tc>
        <w:tc>
          <w:tcPr>
            <w:tcW w:type="dxa" w:w="130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Clasificación</w:t>
            </w:r>
          </w:p>
        </w:tc>
        <w:tc>
          <w:tcPr>
            <w:tcW w:type="dxa" w:w="416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Justificación (cita de la minuta)</w:t>
            </w:r>
          </w:p>
        </w:tc>
      </w:tr>
      <w:tr>
        <w:tc>
          <w:tcPr>
            <w:tcW w:type="dxa" w:w="1500"/>
            <w:tcMar>
              <w:top w:type="dxa" w:w="60"/>
              <w:left w:type="dxa" w:w="100"/>
              <w:bottom w:type="dxa" w:w="60"/>
              <w:right w:type="dxa" w:w="100"/>
            </w:tcMar>
          </w:tcPr>
          <w:p>
            <w:pPr>
              <w:spacing w:after="40" w:line="264"/>
            </w:pPr>
            <w:r>
              <w:rPr>
                <w:rFonts w:ascii="Calibri" w:cs="Calibri" w:eastAsia="Calibri" w:hAnsi="Calibri"/>
                <w:sz w:val="20"/>
                <w:szCs w:val="20"/>
              </w:rPr>
              <w:t xml:space="preserve">HU-11</w:t>
            </w:r>
          </w:p>
        </w:tc>
        <w:tc>
          <w:tcPr>
            <w:tcW w:type="dxa" w:w="2400"/>
            <w:tcMar>
              <w:top w:type="dxa" w:w="60"/>
              <w:left w:type="dxa" w:w="100"/>
              <w:bottom w:type="dxa" w:w="60"/>
              <w:right w:type="dxa" w:w="100"/>
            </w:tcMar>
          </w:tcPr>
          <w:p>
            <w:pPr>
              <w:spacing w:after="40" w:line="264"/>
            </w:pPr>
            <w:r>
              <w:rPr>
                <w:rFonts w:ascii="Calibri" w:cs="Calibri" w:eastAsia="Calibri" w:hAnsi="Calibri"/>
                <w:sz w:val="20"/>
                <w:szCs w:val="20"/>
              </w:rPr>
              <w:t xml:space="preserve">Rotación mensual obligatoria de la contraseña</w:t>
            </w:r>
          </w:p>
        </w:tc>
        <w:tc>
          <w:tcPr>
            <w:tcW w:type="dxa" w:w="1300"/>
            <w:tcMar>
              <w:top w:type="dxa" w:w="60"/>
              <w:left w:type="dxa" w:w="100"/>
              <w:bottom w:type="dxa" w:w="60"/>
              <w:right w:type="dxa" w:w="100"/>
            </w:tcMar>
          </w:tcPr>
          <w:p>
            <w:pPr>
              <w:spacing w:after="40" w:line="264"/>
            </w:pPr>
            <w:r>
              <w:rPr>
                <w:rFonts w:ascii="Calibri" w:cs="Calibri" w:eastAsia="Calibri" w:hAnsi="Calibri"/>
                <w:sz w:val="20"/>
                <w:szCs w:val="20"/>
              </w:rPr>
              <w:t xml:space="preserve">Fuera del MVP</w:t>
            </w:r>
          </w:p>
        </w:tc>
        <w:tc>
          <w:tcPr>
            <w:tcW w:type="dxa" w:w="4160"/>
            <w:tcMar>
              <w:top w:type="dxa" w:w="60"/>
              <w:left w:type="dxa" w:w="100"/>
              <w:bottom w:type="dxa" w:w="60"/>
              <w:right w:type="dxa" w:w="100"/>
            </w:tcMar>
          </w:tcPr>
          <w:p>
            <w:pPr>
              <w:spacing w:after="40" w:line="264"/>
            </w:pPr>
            <w:r>
              <w:rPr>
                <w:rFonts w:ascii="Calibri" w:cs="Calibri" w:eastAsia="Calibri" w:hAnsi="Calibri"/>
                <w:sz w:val="20"/>
                <w:szCs w:val="20"/>
              </w:rPr>
              <w:t xml:space="preserve">El único requisito sobre cambio de contraseña en el alcance es el del primer acceso: “En el primer inicio de sesión, el proveedor deberá cambiar la contraseña antes de continuar” (sección ACCESO DE PROVEEDORES). La minuta no menciona rotación periódica ni caducidad mensual de la contraseña; por tanto, esta política adicional no aparece en el alcance.</w:t>
            </w:r>
          </w:p>
        </w:tc>
      </w:tr>
      <w:tr>
        <w:tc>
          <w:tcPr>
            <w:tcW w:type="dxa" w:w="15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(sin ID) — “Requerimiento General”</w:t>
            </w:r>
          </w:p>
        </w:tc>
        <w:tc>
          <w:tcPr>
            <w:tcW w:type="dxa" w:w="24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Recuperación de contraseña (olvidé mi contraseña) mediante liga y token de 5 min</w:t>
            </w:r>
          </w:p>
        </w:tc>
        <w:tc>
          <w:tcPr>
            <w:tcW w:type="dxa" w:w="13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Fuera del MVP</w:t>
            </w:r>
          </w:p>
        </w:tc>
        <w:tc>
          <w:tcPr>
            <w:tcW w:type="dxa" w:w="416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El alcance solo contempla la contraseña temporal y su cambio en el primer inicio de sesión (sección ACCESO DE PROVEEDORES: “el sistema enviará automáticamente un correo con usuario y contraseña temporal… deberá cambiar la contraseña antes de continuar”). No hay mención de un flujo de recuperación/restablecimiento autoservicio con liga y token. No se infiere alcance que la minuta no declara. Adicionalmente, este ítem no tiene ID de HU en el documento origen.</w:t>
            </w:r>
          </w:p>
        </w:tc>
      </w:tr>
    </w:tbl>
    <w:p>
      <w:pPr>
        <w:pStyle w:val="Heading1"/>
        <w:spacing w:after="160" w:before="320"/>
      </w:pPr>
      <w:r>
        <w:rPr>
          <w:rFonts w:ascii="Calibri" w:cs="Calibri" w:eastAsia="Calibri" w:hAnsi="Calibri"/>
          <w:b/>
          <w:bCs/>
          <w:color w:val="1F3864"/>
          <w:sz w:val="30"/>
          <w:szCs w:val="30"/>
        </w:rPr>
        <w:t xml:space="preserve">4. Elementos del MVP sin HU asociada (huecos) — “Dentro del MVP pero no incluidas”</w:t>
      </w:r>
    </w:p>
    <w:p>
      <w:pPr>
        <w:spacing w:after="120" w:before="0" w:line="276"/>
      </w:pPr>
      <w:r>
        <w:rPr>
          <w:rFonts w:ascii="Calibri" w:cs="Calibri" w:eastAsia="Calibri" w:hAnsi="Calibri"/>
          <w:i/>
          <w:iCs/>
          <w:color w:val="595959"/>
          <w:sz w:val="20"/>
          <w:szCs w:val="20"/>
        </w:rPr>
        <w:t xml:space="preserve">Revisión en sentido inverso: elementos incluidos en el “Alcance del MVP” de la minuta que ninguna HU del documento de HUs menciona. Total: 8 (4 sin cobertura + 4 con cobertura parcial / a confirmar).</w:t>
      </w:r>
    </w:p>
    <w:p>
      <w:pPr>
        <w:pStyle w:val="Heading2"/>
        <w:spacing w:after="100" w:before="220"/>
      </w:pPr>
      <w:r>
        <w:rPr>
          <w:rFonts w:ascii="Calibri" w:cs="Calibri" w:eastAsia="Calibri" w:hAnsi="Calibri"/>
          <w:b/>
          <w:bCs/>
          <w:color w:val="1F3864"/>
          <w:sz w:val="25"/>
          <w:szCs w:val="25"/>
        </w:rPr>
        <w:t xml:space="preserve">4.1 Sin cobertura</w:t>
      </w:r>
    </w:p>
    <w:p>
      <w:pPr>
        <w:spacing w:after="40" w:before="100" w:line="276"/>
      </w:pPr>
      <w:r>
        <w:rPr>
          <w:rFonts w:ascii="Calibri" w:cs="Calibri" w:eastAsia="Calibri" w:hAnsi="Calibri"/>
          <w:b/>
          <w:bCs/>
          <w:color w:val="1F3864"/>
          <w:sz w:val="22"/>
          <w:szCs w:val="22"/>
        </w:rPr>
        <w:t xml:space="preserve">1. Proveedores extranjeros — carga de Invoice y control de duplicados por nombre de archivo</w:t>
      </w:r>
    </w:p>
    <w:p>
      <w:pPr>
        <w:spacing w:after="60" w:before="0" w:line="276"/>
      </w:pPr>
      <w:r>
        <w:rPr>
          <w:rFonts w:ascii="Calibri" w:cs="Calibri" w:eastAsia="Calibri" w:hAnsi="Calibri"/>
          <w:sz w:val="21"/>
          <w:szCs w:val="21"/>
        </w:rPr>
        <w:t xml:space="preserve">El alcance incluye explícitamente: “Proveedores extranjeros: carga de Invoice en PDF y documentos soporte; evitar duplicados inicialmente por nombre de archivo.” No existe una HU específica para el flujo de carga del proveedor extranjero ni para el control de duplicados por nombre de archivo. HU-12 es genérica (“Yo como proveedor…”) y HU-13 aplica solo a proveedor “Nacional”; HU-04 solo cubre la configuración de archivos mínimos “internacional”.</w:t>
      </w:r>
    </w:p>
    <w:p>
      <w:pPr>
        <w:spacing w:after="40" w:before="100" w:line="276"/>
      </w:pPr>
      <w:r>
        <w:rPr>
          <w:rFonts w:ascii="Calibri" w:cs="Calibri" w:eastAsia="Calibri" w:hAnsi="Calibri"/>
          <w:b/>
          <w:bCs/>
          <w:color w:val="1F3864"/>
          <w:sz w:val="22"/>
          <w:szCs w:val="22"/>
        </w:rPr>
        <w:t xml:space="preserve">2. Validación de facturas de proveedores extranjeros</w:t>
      </w:r>
    </w:p>
    <w:p>
      <w:pPr>
        <w:spacing w:after="60" w:before="0" w:line="276"/>
      </w:pPr>
      <w:r>
        <w:rPr>
          <w:rFonts w:ascii="Calibri" w:cs="Calibri" w:eastAsia="Calibri" w:hAnsi="Calibri"/>
          <w:sz w:val="21"/>
          <w:szCs w:val="21"/>
        </w:rPr>
        <w:t xml:space="preserve">El alcance incluye: “Validación extranjera: validar, en la medida de lo posible, la información del Invoice, incluyendo datos del proveedor, datos de ULTRASIST y dirección.” No hay ninguna HU que cubra la validación de Invoices extranjeros (HU-13 valida únicamente el XML del proveedor Nacional).</w:t>
      </w:r>
    </w:p>
    <w:p>
      <w:pPr>
        <w:spacing w:after="40" w:before="100" w:line="276"/>
      </w:pPr>
      <w:r>
        <w:rPr>
          <w:rFonts w:ascii="Calibri" w:cs="Calibri" w:eastAsia="Calibri" w:hAnsi="Calibri"/>
          <w:b/>
          <w:bCs/>
          <w:color w:val="1F3864"/>
          <w:sz w:val="22"/>
          <w:szCs w:val="22"/>
        </w:rPr>
        <w:t xml:space="preserve">3. PMO — consulta / listado de las facturas registradas</w:t>
      </w:r>
    </w:p>
    <w:p>
      <w:pPr>
        <w:spacing w:after="60" w:before="0" w:line="276"/>
      </w:pPr>
      <w:r>
        <w:rPr>
          <w:rFonts w:ascii="Calibri" w:cs="Calibri" w:eastAsia="Calibri" w:hAnsi="Calibri"/>
          <w:sz w:val="21"/>
          <w:szCs w:val="21"/>
        </w:rPr>
        <w:t xml:space="preserve">El alcance del Rol PMO incluye: “Consultar las facturas registradas por los proveedores.” No existe una HU explícita para que el PMO consulte/liste las facturas; HU1 (PMO) solo cubre el cambio de estatus mediante 3 botones.</w:t>
      </w:r>
    </w:p>
    <w:p>
      <w:pPr>
        <w:spacing w:after="40" w:before="100" w:line="276"/>
      </w:pPr>
      <w:r>
        <w:rPr>
          <w:rFonts w:ascii="Calibri" w:cs="Calibri" w:eastAsia="Calibri" w:hAnsi="Calibri"/>
          <w:b/>
          <w:bCs/>
          <w:color w:val="1F3864"/>
          <w:sz w:val="22"/>
          <w:szCs w:val="22"/>
        </w:rPr>
        <w:t xml:space="preserve">4. Administrador — configuración de las Reglas de Validación</w:t>
      </w:r>
    </w:p>
    <w:p>
      <w:pPr>
        <w:spacing w:after="60" w:before="0" w:line="276"/>
      </w:pPr>
      <w:r>
        <w:rPr>
          <w:rFonts w:ascii="Calibri" w:cs="Calibri" w:eastAsia="Calibri" w:hAnsi="Calibri"/>
          <w:sz w:val="21"/>
          <w:szCs w:val="21"/>
        </w:rPr>
        <w:t xml:space="preserve">El alcance del Rol Administrador incluye: “Configurar parámetros y reglas de validación.” HU-04 solo cubre la definición de archivos mínimos. No hay una HU que cubra la configuración/administración de las “Reglas de Validación” (RFC, Razón Social, Dirección y Código Postal) que HU-13 asume ya existentes.</w:t>
      </w:r>
    </w:p>
    <w:p>
      <w:pPr>
        <w:pStyle w:val="Heading2"/>
        <w:spacing w:after="100" w:before="220"/>
      </w:pPr>
      <w:r>
        <w:rPr>
          <w:rFonts w:ascii="Calibri" w:cs="Calibri" w:eastAsia="Calibri" w:hAnsi="Calibri"/>
          <w:b/>
          <w:bCs/>
          <w:color w:val="1F3864"/>
          <w:sz w:val="25"/>
          <w:szCs w:val="25"/>
        </w:rPr>
        <w:t xml:space="preserve">4.2 Cobertura parcial / a confirmar</w:t>
      </w:r>
    </w:p>
    <w:p>
      <w:pPr>
        <w:spacing w:after="40" w:before="100" w:line="276"/>
      </w:pPr>
      <w:r>
        <w:rPr>
          <w:rFonts w:ascii="Calibri" w:cs="Calibri" w:eastAsia="Calibri" w:hAnsi="Calibri"/>
          <w:b/>
          <w:bCs/>
          <w:color w:val="1F3864"/>
          <w:sz w:val="22"/>
          <w:szCs w:val="22"/>
        </w:rPr>
        <w:t xml:space="preserve">5. Proveedor — seguimiento del estatus de sus facturas</w:t>
      </w:r>
    </w:p>
    <w:p>
      <w:pPr>
        <w:spacing w:after="60" w:before="0" w:line="276"/>
      </w:pPr>
      <w:r>
        <w:rPr>
          <w:rFonts w:ascii="Calibri" w:cs="Calibri" w:eastAsia="Calibri" w:hAnsi="Calibri"/>
          <w:sz w:val="21"/>
          <w:szCs w:val="21"/>
        </w:rPr>
        <w:t xml:space="preserve">El encabezado del Rol Proveedor incluye: “El portal permitirá registrar, validar y dar seguimiento a las facturas cargadas por los proveedores.” HU-12 y HU-13 cubren registrar y enviar, pero ninguna HU cubre que el proveedor consulte/dé seguimiento al estatus de sus facturas (Cargada / Enviada / Autorizada / Rechazada / Observaciones).</w:t>
      </w:r>
    </w:p>
    <w:p>
      <w:pPr>
        <w:spacing w:after="40" w:before="100" w:line="276"/>
      </w:pPr>
      <w:r>
        <w:rPr>
          <w:rFonts w:ascii="Calibri" w:cs="Calibri" w:eastAsia="Calibri" w:hAnsi="Calibri"/>
          <w:b/>
          <w:bCs/>
          <w:color w:val="1F3864"/>
          <w:sz w:val="22"/>
          <w:szCs w:val="22"/>
        </w:rPr>
        <w:t xml:space="preserve">6. PMO — validación manual / pantalla de revisión del contenido de la factura</w:t>
      </w:r>
    </w:p>
    <w:p>
      <w:pPr>
        <w:spacing w:after="60" w:before="0" w:line="276"/>
      </w:pPr>
      <w:r>
        <w:rPr>
          <w:rFonts w:ascii="Calibri" w:cs="Calibri" w:eastAsia="Calibri" w:hAnsi="Calibri"/>
          <w:sz w:val="21"/>
          <w:szCs w:val="21"/>
        </w:rPr>
        <w:t xml:space="preserve">El alcance del Rol PMO incluye: “Realizar la validación manual de las facturas cargadas.” HU1 (PMO) cubre la decisión (3 botones de estatus), pero no la consulta/revisión del contenido de la factura que precede a esa decisión.</w:t>
      </w:r>
    </w:p>
    <w:p>
      <w:pPr>
        <w:spacing w:after="40" w:before="100" w:line="276"/>
      </w:pPr>
      <w:r>
        <w:rPr>
          <w:rFonts w:ascii="Calibri" w:cs="Calibri" w:eastAsia="Calibri" w:hAnsi="Calibri"/>
          <w:b/>
          <w:bCs/>
          <w:color w:val="1F3864"/>
          <w:sz w:val="22"/>
          <w:szCs w:val="22"/>
        </w:rPr>
        <w:t xml:space="preserve">7. Administrador — carga de catálogos distintos al de proveedores</w:t>
      </w:r>
    </w:p>
    <w:p>
      <w:pPr>
        <w:spacing w:after="60" w:before="0" w:line="276"/>
      </w:pPr>
      <w:r>
        <w:rPr>
          <w:rFonts w:ascii="Calibri" w:cs="Calibri" w:eastAsia="Calibri" w:hAnsi="Calibri"/>
          <w:sz w:val="21"/>
          <w:szCs w:val="21"/>
        </w:rPr>
        <w:t xml:space="preserve">El alcance incluye: “Administrar y cargar catálogos.” HU-01 cubre el catálogo de proveedores. Si el MVP contempla catálogos adicionales, no están cubiertos por ninguna HU. (A confirmar el alcance real de “catálogos”.)</w:t>
      </w:r>
    </w:p>
    <w:p>
      <w:pPr>
        <w:spacing w:after="40" w:before="100" w:line="276"/>
      </w:pPr>
      <w:r>
        <w:rPr>
          <w:rFonts w:ascii="Calibri" w:cs="Calibri" w:eastAsia="Calibri" w:hAnsi="Calibri"/>
          <w:b/>
          <w:bCs/>
          <w:color w:val="1F3864"/>
          <w:sz w:val="22"/>
          <w:szCs w:val="22"/>
        </w:rPr>
        <w:t xml:space="preserve">8. Administrador — configuración de destinatarios / parámetros de correos</w:t>
      </w:r>
    </w:p>
    <w:p>
      <w:pPr>
        <w:spacing w:after="60" w:before="0" w:line="276"/>
      </w:pPr>
      <w:r>
        <w:rPr>
          <w:rFonts w:ascii="Calibri" w:cs="Calibri" w:eastAsia="Calibri" w:hAnsi="Calibri"/>
          <w:sz w:val="21"/>
          <w:szCs w:val="21"/>
        </w:rPr>
        <w:t xml:space="preserve">El alcance incluye: “Configurar correos y destinatarios de notificaciones.” HU-05 cubre las plantillas de correo; la configuración del destinatario/parámetros (p. ej. el correo de “Recepción de Facturas”) solo aparece como nota dentro de una RN de HU1, sin una HU propia.</w:t>
      </w:r>
    </w:p>
    <w:p>
      <w:pPr>
        <w:pStyle w:val="Heading2"/>
        <w:spacing w:after="100" w:before="220"/>
      </w:pPr>
      <w:r>
        <w:rPr>
          <w:rFonts w:ascii="Calibri" w:cs="Calibri" w:eastAsia="Calibri" w:hAnsi="Calibri"/>
          <w:b/>
          <w:bCs/>
          <w:color w:val="1F3864"/>
          <w:sz w:val="25"/>
          <w:szCs w:val="25"/>
        </w:rPr>
        <w:t xml:space="preserve">4.3 Matiz sobre la notificación automática</w:t>
      </w:r>
    </w:p>
    <w:p>
      <w:pPr>
        <w:spacing w:after="60" w:before="0" w:line="276"/>
      </w:pPr>
      <w:r>
        <w:rPr>
          <w:rFonts w:ascii="Calibri" w:cs="Calibri" w:eastAsia="Calibri" w:hAnsi="Calibri"/>
          <w:sz w:val="21"/>
          <w:szCs w:val="21"/>
        </w:rPr>
        <w:t xml:space="preserve">No es un hueco, pero conviene revisarlo: la minuta dispara la notificación a recepcionfacturas@ultrasist.com.mx “cuando la validación de una factura electrónica determine el estatus ‘Correcto’”, mientras que la HU (RN-02 de HU1/PMO) la dispara cuando el PMO marca “Autorizada”. Es un desfase entre una validación automática y la decisión manual del PMO.</w:t>
      </w:r>
    </w:p>
    <w:p>
      <w:pPr>
        <w:pStyle w:val="Heading1"/>
        <w:spacing w:after="160" w:before="320"/>
      </w:pPr>
      <w:r>
        <w:rPr>
          <w:rFonts w:ascii="Calibri" w:cs="Calibri" w:eastAsia="Calibri" w:hAnsi="Calibri"/>
          <w:b/>
          <w:bCs/>
          <w:color w:val="1F3864"/>
          <w:sz w:val="30"/>
          <w:szCs w:val="30"/>
        </w:rPr>
        <w:t xml:space="preserve">5. Mapeo HU ↔ Reglas de Negocio (solo HUs validadas)</w:t>
      </w:r>
    </w:p>
    <w:p>
      <w:pPr>
        <w:spacing w:after="120" w:before="0" w:line="276"/>
      </w:pPr>
      <w:r>
        <w:rPr>
          <w:rFonts w:ascii="Calibri" w:cs="Calibri" w:eastAsia="Calibri" w:hAnsi="Calibri"/>
          <w:i/>
          <w:iCs/>
          <w:color w:val="595959"/>
          <w:sz w:val="20"/>
          <w:szCs w:val="20"/>
        </w:rPr>
        <w:t xml:space="preserve">Se incluyen únicamente las HUs clasificadas como “Dentro del MVP”. Se usan solo las RN definidas en el documento de HUs. Como los IDs de RN no son únicos, se desambiguan con el contexto de su HU.</w:t>
      </w:r>
    </w:p>
    <w:tbl>
      <w:tblPr>
        <w:tblW w:type="dxa" w:w="9360"/>
        <w:tblBorders>
          <w:top w:val="single" w:color="AEB6BF" w:sz="4"/>
          <w:left w:val="single" w:color="AEB6BF" w:sz="4"/>
          <w:bottom w:val="single" w:color="AEB6BF" w:sz="4"/>
          <w:right w:val="single" w:color="AEB6BF" w:sz="4"/>
          <w:insideH w:val="single" w:color="AEB6BF" w:sz="4"/>
          <w:insideV w:val="single" w:color="AEB6BF" w:sz="4"/>
        </w:tblBorders>
      </w:tblPr>
      <w:tblGrid>
        <w:gridCol w:w="1000"/>
        <w:gridCol w:w="2500"/>
        <w:gridCol w:w="1700"/>
        <w:gridCol w:w="4160"/>
      </w:tblGrid>
      <w:tr>
        <w:trPr>
          <w:tblHeader/>
        </w:trPr>
        <w:tc>
          <w:tcPr>
            <w:tcW w:type="dxa" w:w="100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ID HU</w:t>
            </w:r>
          </w:p>
        </w:tc>
        <w:tc>
          <w:tcPr>
            <w:tcW w:type="dxa" w:w="250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Título HU</w:t>
            </w:r>
          </w:p>
        </w:tc>
        <w:tc>
          <w:tcPr>
            <w:tcW w:type="dxa" w:w="170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ID(s) RN</w:t>
            </w:r>
          </w:p>
        </w:tc>
        <w:tc>
          <w:tcPr>
            <w:tcW w:type="dxa" w:w="4160"/>
            <w:shd w:fill="1F3864" w:color="auto" w:val="clear"/>
            <w:tcMar>
              <w:top w:type="dxa" w:w="60"/>
              <w:left w:type="dxa" w:w="100"/>
              <w:bottom w:type="dxa" w:w="60"/>
              <w:right w:type="dxa" w:w="100"/>
            </w:tcMar>
          </w:tcPr>
          <w:p>
            <w:pPr>
              <w:spacing w:after="40" w:line="264"/>
            </w:pPr>
            <w:r>
              <w:rPr>
                <w:rFonts w:ascii="Calibri" w:cs="Calibri" w:eastAsia="Calibri" w:hAnsi="Calibri"/>
                <w:b/>
                <w:bCs/>
                <w:color w:val="FFFFFF"/>
                <w:sz w:val="20"/>
                <w:szCs w:val="20"/>
              </w:rPr>
              <w:t xml:space="preserve">Descripción breve de la RN</w:t>
            </w:r>
          </w:p>
        </w:tc>
      </w:tr>
      <w:tr>
        <w:tc>
          <w:tcPr>
            <w:tcW w:type="dxa" w:w="1000"/>
            <w:tcMar>
              <w:top w:type="dxa" w:w="60"/>
              <w:left w:type="dxa" w:w="100"/>
              <w:bottom w:type="dxa" w:w="60"/>
              <w:right w:type="dxa" w:w="100"/>
            </w:tcMar>
          </w:tcPr>
          <w:p>
            <w:pPr>
              <w:spacing w:after="40" w:line="264"/>
            </w:pPr>
            <w:r>
              <w:rPr>
                <w:rFonts w:ascii="Calibri" w:cs="Calibri" w:eastAsia="Calibri" w:hAnsi="Calibri"/>
                <w:sz w:val="20"/>
                <w:szCs w:val="20"/>
              </w:rPr>
              <w:t xml:space="preserve">HU-01</w:t>
            </w:r>
          </w:p>
        </w:tc>
        <w:tc>
          <w:tcPr>
            <w:tcW w:type="dxa" w:w="2500"/>
            <w:tcMar>
              <w:top w:type="dxa" w:w="60"/>
              <w:left w:type="dxa" w:w="100"/>
              <w:bottom w:type="dxa" w:w="60"/>
              <w:right w:type="dxa" w:w="100"/>
            </w:tcMar>
          </w:tcPr>
          <w:p>
            <w:pPr>
              <w:spacing w:after="40" w:line="264"/>
            </w:pPr>
            <w:r>
              <w:rPr>
                <w:rFonts w:ascii="Calibri" w:cs="Calibri" w:eastAsia="Calibri" w:hAnsi="Calibri"/>
                <w:sz w:val="20"/>
                <w:szCs w:val="20"/>
              </w:rPr>
              <w:t xml:space="preserve">Carga masiva de proveedores</w:t>
            </w:r>
          </w:p>
        </w:tc>
        <w:tc>
          <w:tcPr>
            <w:tcW w:type="dxa" w:w="1700"/>
            <w:tcMar>
              <w:top w:type="dxa" w:w="60"/>
              <w:left w:type="dxa" w:w="100"/>
              <w:bottom w:type="dxa" w:w="60"/>
              <w:right w:type="dxa" w:w="100"/>
            </w:tcMar>
          </w:tcPr>
          <w:p>
            <w:pPr>
              <w:spacing w:after="40" w:line="264"/>
            </w:pPr>
            <w:r>
              <w:rPr>
                <w:rFonts w:ascii="Calibri" w:cs="Calibri" w:eastAsia="Calibri" w:hAnsi="Calibri"/>
                <w:sz w:val="20"/>
                <w:szCs w:val="20"/>
              </w:rPr>
              <w:t xml:space="preserve">RN01 (Admin)</w:t>
            </w:r>
          </w:p>
        </w:tc>
        <w:tc>
          <w:tcPr>
            <w:tcW w:type="dxa" w:w="4160"/>
            <w:tcMar>
              <w:top w:type="dxa" w:w="60"/>
              <w:left w:type="dxa" w:w="100"/>
              <w:bottom w:type="dxa" w:w="60"/>
              <w:right w:type="dxa" w:w="100"/>
            </w:tcMar>
          </w:tcPr>
          <w:p>
            <w:pPr>
              <w:spacing w:after="40" w:line="264"/>
            </w:pPr>
            <w:r>
              <w:rPr>
                <w:rFonts w:ascii="Calibri" w:cs="Calibri" w:eastAsia="Calibri" w:hAnsi="Calibri"/>
                <w:sz w:val="20"/>
                <w:szCs w:val="20"/>
              </w:rPr>
              <w:t xml:space="preserve">Se debe mapear los datos requeridos dentro del catálogo de proveedores.</w:t>
            </w:r>
          </w:p>
        </w:tc>
      </w:tr>
      <w:tr>
        <w:tc>
          <w:tcPr>
            <w:tcW w:type="dxa" w:w="10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HU-02</w:t>
            </w:r>
          </w:p>
        </w:tc>
        <w:tc>
          <w:tcPr>
            <w:tcW w:type="dxa" w:w="25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Actualización masiva de estatus a “Autorizado”</w:t>
            </w:r>
          </w:p>
        </w:tc>
        <w:tc>
          <w:tcPr>
            <w:tcW w:type="dxa" w:w="17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Sin RN asociada</w:t>
            </w:r>
          </w:p>
        </w:tc>
        <w:tc>
          <w:tcPr>
            <w:tcW w:type="dxa" w:w="416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w:t>
            </w:r>
          </w:p>
        </w:tc>
      </w:tr>
      <w:tr>
        <w:tc>
          <w:tcPr>
            <w:tcW w:type="dxa" w:w="1000"/>
            <w:tcMar>
              <w:top w:type="dxa" w:w="60"/>
              <w:left w:type="dxa" w:w="100"/>
              <w:bottom w:type="dxa" w:w="60"/>
              <w:right w:type="dxa" w:w="100"/>
            </w:tcMar>
          </w:tcPr>
          <w:p>
            <w:pPr>
              <w:spacing w:after="40" w:line="264"/>
            </w:pPr>
            <w:r>
              <w:rPr>
                <w:rFonts w:ascii="Calibri" w:cs="Calibri" w:eastAsia="Calibri" w:hAnsi="Calibri"/>
                <w:sz w:val="20"/>
                <w:szCs w:val="20"/>
              </w:rPr>
              <w:t xml:space="preserve">HU-03</w:t>
            </w:r>
          </w:p>
        </w:tc>
        <w:tc>
          <w:tcPr>
            <w:tcW w:type="dxa" w:w="2500"/>
            <w:tcMar>
              <w:top w:type="dxa" w:w="60"/>
              <w:left w:type="dxa" w:w="100"/>
              <w:bottom w:type="dxa" w:w="60"/>
              <w:right w:type="dxa" w:w="100"/>
            </w:tcMar>
          </w:tcPr>
          <w:p>
            <w:pPr>
              <w:spacing w:after="40" w:line="264"/>
            </w:pPr>
            <w:r>
              <w:rPr>
                <w:rFonts w:ascii="Calibri" w:cs="Calibri" w:eastAsia="Calibri" w:hAnsi="Calibri"/>
                <w:sz w:val="20"/>
                <w:szCs w:val="20"/>
              </w:rPr>
              <w:t xml:space="preserve">Envío de usuario y contraseña temporal</w:t>
            </w:r>
          </w:p>
        </w:tc>
        <w:tc>
          <w:tcPr>
            <w:tcW w:type="dxa" w:w="1700"/>
            <w:tcMar>
              <w:top w:type="dxa" w:w="60"/>
              <w:left w:type="dxa" w:w="100"/>
              <w:bottom w:type="dxa" w:w="60"/>
              <w:right w:type="dxa" w:w="100"/>
            </w:tcMar>
          </w:tcPr>
          <w:p>
            <w:pPr>
              <w:spacing w:after="40" w:line="264"/>
            </w:pPr>
            <w:r>
              <w:rPr>
                <w:rFonts w:ascii="Calibri" w:cs="Calibri" w:eastAsia="Calibri" w:hAnsi="Calibri"/>
                <w:sz w:val="20"/>
                <w:szCs w:val="20"/>
              </w:rPr>
              <w:t xml:space="preserve">RN02 (Admin)</w:t>
            </w:r>
          </w:p>
        </w:tc>
        <w:tc>
          <w:tcPr>
            <w:tcW w:type="dxa" w:w="4160"/>
            <w:tcMar>
              <w:top w:type="dxa" w:w="60"/>
              <w:left w:type="dxa" w:w="100"/>
              <w:bottom w:type="dxa" w:w="60"/>
              <w:right w:type="dxa" w:w="100"/>
            </w:tcMar>
          </w:tcPr>
          <w:p>
            <w:pPr>
              <w:spacing w:after="40" w:line="264"/>
            </w:pPr>
            <w:r>
              <w:rPr>
                <w:rFonts w:ascii="Calibri" w:cs="Calibri" w:eastAsia="Calibri" w:hAnsi="Calibri"/>
                <w:sz w:val="20"/>
                <w:szCs w:val="20"/>
              </w:rPr>
              <w:t xml:space="preserve">El password temporal del proveedor se deberá guardar en ClickCloud[e] para evitar que se guarde dentro del sistema de proveedores.</w:t>
            </w:r>
          </w:p>
        </w:tc>
      </w:tr>
      <w:tr>
        <w:tc>
          <w:tcPr>
            <w:tcW w:type="dxa" w:w="10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HU-04</w:t>
            </w:r>
          </w:p>
        </w:tc>
        <w:tc>
          <w:tcPr>
            <w:tcW w:type="dxa" w:w="25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Definición de archivos mínimos por tipo de proveedor</w:t>
            </w:r>
          </w:p>
        </w:tc>
        <w:tc>
          <w:tcPr>
            <w:tcW w:type="dxa" w:w="17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Sin RN asociada</w:t>
            </w:r>
          </w:p>
        </w:tc>
        <w:tc>
          <w:tcPr>
            <w:tcW w:type="dxa" w:w="416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w:t>
            </w:r>
          </w:p>
        </w:tc>
      </w:tr>
      <w:tr>
        <w:tc>
          <w:tcPr>
            <w:tcW w:type="dxa" w:w="1000"/>
            <w:tcMar>
              <w:top w:type="dxa" w:w="60"/>
              <w:left w:type="dxa" w:w="100"/>
              <w:bottom w:type="dxa" w:w="60"/>
              <w:right w:type="dxa" w:w="100"/>
            </w:tcMar>
          </w:tcPr>
          <w:p>
            <w:pPr>
              <w:spacing w:after="40" w:line="264"/>
            </w:pPr>
            <w:r>
              <w:rPr>
                <w:rFonts w:ascii="Calibri" w:cs="Calibri" w:eastAsia="Calibri" w:hAnsi="Calibri"/>
                <w:sz w:val="20"/>
                <w:szCs w:val="20"/>
              </w:rPr>
              <w:t xml:space="preserve">HU-05</w:t>
            </w:r>
          </w:p>
        </w:tc>
        <w:tc>
          <w:tcPr>
            <w:tcW w:type="dxa" w:w="2500"/>
            <w:tcMar>
              <w:top w:type="dxa" w:w="60"/>
              <w:left w:type="dxa" w:w="100"/>
              <w:bottom w:type="dxa" w:w="60"/>
              <w:right w:type="dxa" w:w="100"/>
            </w:tcMar>
          </w:tcPr>
          <w:p>
            <w:pPr>
              <w:spacing w:after="40" w:line="264"/>
            </w:pPr>
            <w:r>
              <w:rPr>
                <w:rFonts w:ascii="Calibri" w:cs="Calibri" w:eastAsia="Calibri" w:hAnsi="Calibri"/>
                <w:sz w:val="20"/>
                <w:szCs w:val="20"/>
              </w:rPr>
              <w:t xml:space="preserve">Configuración de plantillas de correo por estatus</w:t>
            </w:r>
          </w:p>
        </w:tc>
        <w:tc>
          <w:tcPr>
            <w:tcW w:type="dxa" w:w="1700"/>
            <w:tcMar>
              <w:top w:type="dxa" w:w="60"/>
              <w:left w:type="dxa" w:w="100"/>
              <w:bottom w:type="dxa" w:w="60"/>
              <w:right w:type="dxa" w:w="100"/>
            </w:tcMar>
          </w:tcPr>
          <w:p>
            <w:pPr>
              <w:spacing w:after="40" w:line="264"/>
            </w:pPr>
            <w:r>
              <w:rPr>
                <w:rFonts w:ascii="Calibri" w:cs="Calibri" w:eastAsia="Calibri" w:hAnsi="Calibri"/>
                <w:sz w:val="20"/>
                <w:szCs w:val="20"/>
              </w:rPr>
              <w:t xml:space="preserve">Sin RN asociada</w:t>
            </w:r>
          </w:p>
        </w:tc>
        <w:tc>
          <w:tcPr>
            <w:tcW w:type="dxa" w:w="4160"/>
            <w:tcMar>
              <w:top w:type="dxa" w:w="60"/>
              <w:left w:type="dxa" w:w="100"/>
              <w:bottom w:type="dxa" w:w="60"/>
              <w:right w:type="dxa" w:w="100"/>
            </w:tcMar>
          </w:tcPr>
          <w:p>
            <w:pPr>
              <w:spacing w:after="40" w:line="264"/>
            </w:pPr>
            <w:r>
              <w:rPr>
                <w:rFonts w:ascii="Calibri" w:cs="Calibri" w:eastAsia="Calibri" w:hAnsi="Calibri"/>
                <w:sz w:val="20"/>
                <w:szCs w:val="20"/>
              </w:rPr>
              <w:t xml:space="preserve">—</w:t>
            </w:r>
          </w:p>
        </w:tc>
      </w:tr>
      <w:tr>
        <w:tc>
          <w:tcPr>
            <w:tcW w:type="dxa" w:w="10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HU-10</w:t>
            </w:r>
          </w:p>
        </w:tc>
        <w:tc>
          <w:tcPr>
            <w:tcW w:type="dxa" w:w="25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Cambio de contraseña en el primer inicio de sesión</w:t>
            </w:r>
          </w:p>
        </w:tc>
        <w:tc>
          <w:tcPr>
            <w:tcW w:type="dxa" w:w="17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Sin RN asociada</w:t>
            </w:r>
          </w:p>
        </w:tc>
        <w:tc>
          <w:tcPr>
            <w:tcW w:type="dxa" w:w="416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w:t>
            </w:r>
          </w:p>
        </w:tc>
      </w:tr>
      <w:tr>
        <w:tc>
          <w:tcPr>
            <w:tcW w:type="dxa" w:w="1000"/>
            <w:tcMar>
              <w:top w:type="dxa" w:w="60"/>
              <w:left w:type="dxa" w:w="100"/>
              <w:bottom w:type="dxa" w:w="60"/>
              <w:right w:type="dxa" w:w="100"/>
            </w:tcMar>
          </w:tcPr>
          <w:p>
            <w:pPr>
              <w:spacing w:after="40" w:line="264"/>
            </w:pPr>
            <w:r>
              <w:rPr>
                <w:rFonts w:ascii="Calibri" w:cs="Calibri" w:eastAsia="Calibri" w:hAnsi="Calibri"/>
                <w:sz w:val="20"/>
                <w:szCs w:val="20"/>
              </w:rPr>
              <w:t xml:space="preserve">HU-12</w:t>
            </w:r>
          </w:p>
        </w:tc>
        <w:tc>
          <w:tcPr>
            <w:tcW w:type="dxa" w:w="2500"/>
            <w:tcMar>
              <w:top w:type="dxa" w:w="60"/>
              <w:left w:type="dxa" w:w="100"/>
              <w:bottom w:type="dxa" w:w="60"/>
              <w:right w:type="dxa" w:w="100"/>
            </w:tcMar>
          </w:tcPr>
          <w:p>
            <w:pPr>
              <w:spacing w:after="40" w:line="264"/>
            </w:pPr>
            <w:r>
              <w:rPr>
                <w:rFonts w:ascii="Calibri" w:cs="Calibri" w:eastAsia="Calibri" w:hAnsi="Calibri"/>
                <w:sz w:val="20"/>
                <w:szCs w:val="20"/>
              </w:rPr>
              <w:t xml:space="preserve">Registro de factura y carga de archivos mínimos</w:t>
            </w:r>
          </w:p>
        </w:tc>
        <w:tc>
          <w:tcPr>
            <w:tcW w:type="dxa" w:w="1700"/>
            <w:tcMar>
              <w:top w:type="dxa" w:w="60"/>
              <w:left w:type="dxa" w:w="100"/>
              <w:bottom w:type="dxa" w:w="60"/>
              <w:right w:type="dxa" w:w="100"/>
            </w:tcMar>
          </w:tcPr>
          <w:p>
            <w:pPr>
              <w:spacing w:after="40" w:line="264"/>
            </w:pPr>
            <w:r>
              <w:rPr>
                <w:rFonts w:ascii="Calibri" w:cs="Calibri" w:eastAsia="Calibri" w:hAnsi="Calibri"/>
                <w:sz w:val="20"/>
                <w:szCs w:val="20"/>
              </w:rPr>
              <w:t xml:space="preserve">RN-02 (HU-12)</w:t>
            </w:r>
          </w:p>
        </w:tc>
        <w:tc>
          <w:tcPr>
            <w:tcW w:type="dxa" w:w="4160"/>
            <w:tcMar>
              <w:top w:type="dxa" w:w="60"/>
              <w:left w:type="dxa" w:w="100"/>
              <w:bottom w:type="dxa" w:w="60"/>
              <w:right w:type="dxa" w:w="100"/>
            </w:tcMar>
          </w:tcPr>
          <w:p>
            <w:pPr>
              <w:spacing w:after="40" w:line="264"/>
            </w:pPr>
            <w:r>
              <w:rPr>
                <w:rFonts w:ascii="Calibri" w:cs="Calibri" w:eastAsia="Calibri" w:hAnsi="Calibri"/>
                <w:sz w:val="20"/>
                <w:szCs w:val="20"/>
              </w:rPr>
              <w:t xml:space="preserve">Una vez cargada, el estatus de la factura debe ser “Cargada”.</w:t>
            </w:r>
          </w:p>
        </w:tc>
      </w:tr>
      <w:tr>
        <w:tc>
          <w:tcPr>
            <w:tcW w:type="dxa" w:w="10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HU-13</w:t>
            </w:r>
          </w:p>
        </w:tc>
        <w:tc>
          <w:tcPr>
            <w:tcW w:type="dxa" w:w="25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Envío de factura a validación (PMO) — Nacional</w:t>
            </w:r>
          </w:p>
        </w:tc>
        <w:tc>
          <w:tcPr>
            <w:tcW w:type="dxa" w:w="17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RN-01 (HU-13); RN-02 (HU-13)</w:t>
            </w:r>
          </w:p>
        </w:tc>
        <w:tc>
          <w:tcPr>
            <w:tcW w:type="dxa" w:w="416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RN-01: Se debe validar que no se haya cargado previamente una factura igual, buscando por el número de folio del XML. — RN-02: Una vez que pasa las validaciones, la factura cambia su estatus a “Enviada”.</w:t>
            </w:r>
          </w:p>
        </w:tc>
      </w:tr>
      <w:tr>
        <w:tc>
          <w:tcPr>
            <w:tcW w:type="dxa" w:w="1000"/>
            <w:tcMar>
              <w:top w:type="dxa" w:w="60"/>
              <w:left w:type="dxa" w:w="100"/>
              <w:bottom w:type="dxa" w:w="60"/>
              <w:right w:type="dxa" w:w="100"/>
            </w:tcMar>
          </w:tcPr>
          <w:p>
            <w:pPr>
              <w:spacing w:after="40" w:line="264"/>
            </w:pPr>
            <w:r>
              <w:rPr>
                <w:rFonts w:ascii="Calibri" w:cs="Calibri" w:eastAsia="Calibri" w:hAnsi="Calibri"/>
                <w:sz w:val="20"/>
                <w:szCs w:val="20"/>
              </w:rPr>
              <w:t xml:space="preserve">HU-14</w:t>
            </w:r>
          </w:p>
        </w:tc>
        <w:tc>
          <w:tcPr>
            <w:tcW w:type="dxa" w:w="2500"/>
            <w:tcMar>
              <w:top w:type="dxa" w:w="60"/>
              <w:left w:type="dxa" w:w="100"/>
              <w:bottom w:type="dxa" w:w="60"/>
              <w:right w:type="dxa" w:w="100"/>
            </w:tcMar>
          </w:tcPr>
          <w:p>
            <w:pPr>
              <w:spacing w:after="40" w:line="264"/>
            </w:pPr>
            <w:r>
              <w:rPr>
                <w:rFonts w:ascii="Calibri" w:cs="Calibri" w:eastAsia="Calibri" w:hAnsi="Calibri"/>
                <w:sz w:val="20"/>
                <w:szCs w:val="20"/>
              </w:rPr>
              <w:t xml:space="preserve">Cancelación de factura con acuse y notificación</w:t>
            </w:r>
          </w:p>
        </w:tc>
        <w:tc>
          <w:tcPr>
            <w:tcW w:type="dxa" w:w="1700"/>
            <w:tcMar>
              <w:top w:type="dxa" w:w="60"/>
              <w:left w:type="dxa" w:w="100"/>
              <w:bottom w:type="dxa" w:w="60"/>
              <w:right w:type="dxa" w:w="100"/>
            </w:tcMar>
          </w:tcPr>
          <w:p>
            <w:pPr>
              <w:spacing w:after="40" w:line="264"/>
            </w:pPr>
            <w:r>
              <w:rPr>
                <w:rFonts w:ascii="Calibri" w:cs="Calibri" w:eastAsia="Calibri" w:hAnsi="Calibri"/>
                <w:sz w:val="20"/>
                <w:szCs w:val="20"/>
              </w:rPr>
              <w:t xml:space="preserve">Sin RN asociada</w:t>
            </w:r>
          </w:p>
        </w:tc>
        <w:tc>
          <w:tcPr>
            <w:tcW w:type="dxa" w:w="4160"/>
            <w:tcMar>
              <w:top w:type="dxa" w:w="60"/>
              <w:left w:type="dxa" w:w="100"/>
              <w:bottom w:type="dxa" w:w="60"/>
              <w:right w:type="dxa" w:w="100"/>
            </w:tcMar>
          </w:tcPr>
          <w:p>
            <w:pPr>
              <w:spacing w:after="40" w:line="264"/>
            </w:pPr>
            <w:r>
              <w:rPr>
                <w:rFonts w:ascii="Calibri" w:cs="Calibri" w:eastAsia="Calibri" w:hAnsi="Calibri"/>
                <w:sz w:val="20"/>
                <w:szCs w:val="20"/>
              </w:rPr>
              <w:t xml:space="preserve">—</w:t>
            </w:r>
          </w:p>
        </w:tc>
      </w:tr>
      <w:tr>
        <w:tc>
          <w:tcPr>
            <w:tcW w:type="dxa" w:w="10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HU1</w:t>
            </w:r>
          </w:p>
        </w:tc>
        <w:tc>
          <w:tcPr>
            <w:tcW w:type="dxa" w:w="25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Cambio de estatus de la factura (PMO)</w:t>
            </w:r>
          </w:p>
        </w:tc>
        <w:tc>
          <w:tcPr>
            <w:tcW w:type="dxa" w:w="170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RN-01 (PMO); RN-02 (PMO); RN-03 (PMO)</w:t>
            </w:r>
          </w:p>
        </w:tc>
        <w:tc>
          <w:tcPr>
            <w:tcW w:type="dxa" w:w="4160"/>
            <w:shd w:fill="F2F5FB" w:color="auto" w:val="clear"/>
            <w:tcMar>
              <w:top w:type="dxa" w:w="60"/>
              <w:left w:type="dxa" w:w="100"/>
              <w:bottom w:type="dxa" w:w="60"/>
              <w:right w:type="dxa" w:w="100"/>
            </w:tcMar>
          </w:tcPr>
          <w:p>
            <w:pPr>
              <w:spacing w:after="40" w:line="264"/>
            </w:pPr>
            <w:r>
              <w:rPr>
                <w:rFonts w:ascii="Calibri" w:cs="Calibri" w:eastAsia="Calibri" w:hAnsi="Calibri"/>
                <w:sz w:val="20"/>
                <w:szCs w:val="20"/>
              </w:rPr>
              <w:t xml:space="preserve">RN-01: Al Rechazar o marcar Observaciones, el sistema despliega un campo “Observaciones” para las notas del PMO. — RN-02: Al cambiar a “Autorizada”, se envía correo a “Recepción de Facturas” (factura X, proveedor Y, monto Z autorizada para pago; correo definido en parámetros). — RN-03: Al cambiar a “Rechazada”/“Observaciones”, se envía correo al proveedor (campo “correo” de la entidad proveedores) indicando la causa capturada en “Observaciones”.</w:t>
            </w:r>
          </w:p>
        </w:tc>
      </w:tr>
    </w:tbl>
    <w:p>
      <w:pPr>
        <w:spacing w:after="4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RN no mapeadas: </w:t>
      </w:r>
      <w:r>
        <w:rPr>
          <w:rFonts w:ascii="Calibri" w:cs="Calibri" w:eastAsia="Calibri" w:hAnsi="Calibri"/>
          <w:sz w:val="22"/>
          <w:szCs w:val="22"/>
        </w:rPr>
        <w:t xml:space="preserve">Ninguna. Todas las RN definidas en el documento pertenecen a HUs validadas. (HU-11 y el “Requerimiento General”, clasificadas Fuera del MVP, no tienen RN asociadas.)</w:t>
      </w:r>
    </w:p>
    <w:p>
      <w:pPr>
        <w:pStyle w:val="Heading1"/>
        <w:spacing w:after="160" w:before="320"/>
      </w:pPr>
      <w:r>
        <w:rPr>
          <w:rFonts w:ascii="Calibri" w:cs="Calibri" w:eastAsia="Calibri" w:hAnsi="Calibri"/>
          <w:b/>
          <w:bCs/>
          <w:color w:val="1F3864"/>
          <w:sz w:val="30"/>
          <w:szCs w:val="30"/>
        </w:rPr>
        <w:t xml:space="preserve">6. Inconsistencias detectadas en IDs y terminología</w:t>
      </w:r>
    </w:p>
    <w:p>
      <w:pPr>
        <w:spacing w:after="120" w:before="0" w:line="276"/>
      </w:pPr>
      <w:r>
        <w:rPr>
          <w:rFonts w:ascii="Calibri" w:cs="Calibri" w:eastAsia="Calibri" w:hAnsi="Calibri"/>
          <w:i/>
          <w:iCs/>
          <w:color w:val="595959"/>
          <w:sz w:val="20"/>
          <w:szCs w:val="20"/>
        </w:rPr>
        <w:t xml:space="preserve">Conforme a la regla de conservar los IDs originales, a continuación se listan las inconsistencias encontradas para su resolución conjunta. No se modificaron los documentos originales.</w:t>
      </w:r>
    </w:p>
    <w:p>
      <w:pPr>
        <w:pStyle w:val="ListParagraph"/>
        <w:numPr>
          <w:ilvl w:val="0"/>
          <w:numId w:val="1"/>
        </w:numPr>
        <w:spacing w:after="60" w:line="264"/>
      </w:pPr>
      <w:r>
        <w:rPr>
          <w:rFonts w:ascii="Calibri" w:cs="Calibri" w:eastAsia="Calibri" w:hAnsi="Calibri"/>
          <w:sz w:val="22"/>
          <w:szCs w:val="22"/>
        </w:rPr>
        <w:t xml:space="preserve">Numeración de HU discontinua: el Rol Administrador usa HU-01…HU-05, el Rol Proveedor salta a HU-10…HU-14 (no existen HU-06 a HU-09) y el Rol PMO usa “HU1” (sin guion).</w:t>
      </w:r>
    </w:p>
    <w:p>
      <w:pPr>
        <w:pStyle w:val="ListParagraph"/>
        <w:numPr>
          <w:ilvl w:val="0"/>
          <w:numId w:val="1"/>
        </w:numPr>
        <w:spacing w:after="60" w:line="264"/>
      </w:pPr>
      <w:r>
        <w:rPr>
          <w:rFonts w:ascii="Calibri" w:cs="Calibri" w:eastAsia="Calibri" w:hAnsi="Calibri"/>
          <w:sz w:val="22"/>
          <w:szCs w:val="22"/>
        </w:rPr>
        <w:t xml:space="preserve">Colisión de ID: “HU1” (PMO) puede confundirse con “HU-01” (Administrador). Sugerencia: renombrar la de PMO (p. ej. HU-20) para evitar ambigüedad.</w:t>
      </w:r>
    </w:p>
    <w:p>
      <w:pPr>
        <w:pStyle w:val="ListParagraph"/>
        <w:numPr>
          <w:ilvl w:val="0"/>
          <w:numId w:val="1"/>
        </w:numPr>
        <w:spacing w:after="60" w:line="264"/>
      </w:pPr>
      <w:r>
        <w:rPr>
          <w:rFonts w:ascii="Calibri" w:cs="Calibri" w:eastAsia="Calibri" w:hAnsi="Calibri"/>
          <w:sz w:val="22"/>
          <w:szCs w:val="22"/>
        </w:rPr>
        <w:t xml:space="preserve">IDs de RN no únicos: las etiquetas “RN-01” y “RN-02” se reutilizan con contenidos distintos en varias HUs (Admin RN01/RN02; HU-12 RN-02; HU-13 RN-01/RN-02; PMO RN-01/RN-02/RN-03). En este documento se desambiguan con el contexto de la HU (p. ej. “RN-02 (HU-13)”). Sugerencia: IDs globalmente únicos (p. ej. RN-HU13-01).</w:t>
      </w:r>
    </w:p>
    <w:p>
      <w:pPr>
        <w:pStyle w:val="ListParagraph"/>
        <w:numPr>
          <w:ilvl w:val="0"/>
          <w:numId w:val="1"/>
        </w:numPr>
        <w:spacing w:after="60" w:line="264"/>
      </w:pPr>
      <w:r>
        <w:rPr>
          <w:rFonts w:ascii="Calibri" w:cs="Calibri" w:eastAsia="Calibri" w:hAnsi="Calibri"/>
          <w:sz w:val="22"/>
          <w:szCs w:val="22"/>
        </w:rPr>
        <w:t xml:space="preserve">HU-10 dice “el sistema me solicite cambiar mi correo de forma automática”, pero el resto de la HU habla de la contraseña (8 caracteres, letra, número, carácter especial). Probablemente debía decir “cambiar mi contraseña/password”.</w:t>
      </w:r>
    </w:p>
    <w:p>
      <w:pPr>
        <w:pStyle w:val="ListParagraph"/>
        <w:numPr>
          <w:ilvl w:val="0"/>
          <w:numId w:val="1"/>
        </w:numPr>
        <w:spacing w:after="60" w:line="264"/>
      </w:pPr>
      <w:r>
        <w:rPr>
          <w:rFonts w:ascii="Calibri" w:cs="Calibri" w:eastAsia="Calibri" w:hAnsi="Calibri"/>
          <w:sz w:val="22"/>
          <w:szCs w:val="22"/>
        </w:rPr>
        <w:t xml:space="preserve">Terminología de estatus inconsistente: la minuta usa “Aprobado” (acceso del proveedor) y “Aceptada”/“Con observaciones” (Rol PMO), mientras que las HUs usan “Autorizado”/“Autorizada”, “Observaciones”. Conviene unificar la nomenclatura de estatus.</w:t>
      </w:r>
    </w:p>
    <w:p>
      <w:pPr>
        <w:pStyle w:val="ListParagraph"/>
        <w:numPr>
          <w:ilvl w:val="0"/>
          <w:numId w:val="1"/>
        </w:numPr>
        <w:spacing w:after="60" w:line="264"/>
      </w:pPr>
      <w:r>
        <w:rPr>
          <w:rFonts w:ascii="Calibri" w:cs="Calibri" w:eastAsia="Calibri" w:hAnsi="Calibri"/>
          <w:sz w:val="22"/>
          <w:szCs w:val="22"/>
        </w:rPr>
        <w:t xml:space="preserve">HU-14 y la sección NOTIFICACIONES nombran “Recepción de Facturas” (recepcionfacturas@ultrasist.com.mx), mientras que el punto de Cancelación de la minuta habla del “área de Facturas Electrónicas”. Confirmar si son la misma área/buzón.</w:t>
      </w:r>
    </w:p>
    <w:p>
      <w:pPr>
        <w:pStyle w:val="ListParagraph"/>
        <w:numPr>
          <w:ilvl w:val="0"/>
          <w:numId w:val="1"/>
        </w:numPr>
        <w:spacing w:after="60" w:line="264"/>
      </w:pPr>
      <w:r>
        <w:rPr>
          <w:rFonts w:ascii="Calibri" w:cs="Calibri" w:eastAsia="Calibri" w:hAnsi="Calibri"/>
          <w:sz w:val="22"/>
          <w:szCs w:val="22"/>
        </w:rPr>
        <w:t xml:space="preserve">RN02 (Admin) menciona “ClickCloude”; probablemente se refiere a “ClickCloud” (o al gestor de secretos/vault correspondiente).</w:t>
      </w:r>
    </w:p>
    <w:p>
      <w:pPr>
        <w:pStyle w:val="ListParagraph"/>
        <w:numPr>
          <w:ilvl w:val="0"/>
          <w:numId w:val="1"/>
        </w:numPr>
        <w:spacing w:after="60" w:line="264"/>
      </w:pPr>
      <w:r>
        <w:rPr>
          <w:rFonts w:ascii="Calibri" w:cs="Calibri" w:eastAsia="Calibri" w:hAnsi="Calibri"/>
          <w:sz w:val="22"/>
          <w:szCs w:val="22"/>
        </w:rPr>
        <w:t xml:space="preserve">El “Requerimiento General” (recuperación de contraseña) no tiene ID de HU asignado.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Validación de HUs contra el Alcance del MVP</dc:title>
  <dc:creator>Validación MVP - Portal de Proveedores ULTRASIST</dc:creator>
  <cp:lastModifiedBy>Un-named</cp:lastModifiedBy>
  <cp:revision>1</cp:revision>
  <dcterms:created xsi:type="dcterms:W3CDTF">2026-09-23T17:44:43.168Z</dcterms:created>
  <dcterms:modified xsi:type="dcterms:W3CDTF">2026-09-23T17:44:43.169Z</dcterms:modified>
</cp:coreProperties>
</file>

<file path=docProps/custom.xml><?xml version="1.0" encoding="utf-8"?>
<Properties xmlns="http://schemas.openxmlformats.org/officeDocument/2006/custom-properties" xmlns:vt="http://schemas.openxmlformats.org/officeDocument/2006/docPropsVTypes"/>
</file>