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Comparative Analysis of GPT Researcher and STORM as Deep Research Agents</w:t>
      </w:r>
      <w:r/>
    </w:p>
    <w:p>
      <w:pPr>
        <w:pStyle w:val="Heading2"/>
      </w:pPr>
      <w:r>
        <w:t>Introduction and Conceptual Framing</w:t>
      </w:r>
      <w:r/>
    </w:p>
    <w:p>
      <w:r/>
      <w:r>
        <w:t xml:space="preserve">Deep research agents represent a paradigm shift in AI-assisted knowledge work—moving beyond simple question-answering or summarization toward autonomous, iterative, citation-grounded, and epistemically rigorous information synthesis. Two prominent systems exemplifying this evolution are </w:t>
      </w:r>
      <w:r>
        <w:rPr>
          <w:b/>
        </w:rPr>
        <w:t>GPT Researcher</w:t>
      </w:r>
      <w:r>
        <w:t xml:space="preserve"> (a production-grade open-source framework launched in 2023 and actively maintained through 2025) and </w:t>
      </w:r>
      <w:r>
        <w:rPr>
          <w:b/>
        </w:rPr>
        <w:t>STORM</w:t>
      </w:r>
      <w:r>
        <w:t xml:space="preserve"> (Synthesis of Topic Outlines via Retrieval and Multi-step Reasoning), a research prototype introduced by the University of Washington and Allen Institute for AI in early 2024 (</w:t>
      </w:r>
      <w:hyperlink r:id="rId9">
        <w:r>
          <w:rPr>
            <w:color w:val="0000EE"/>
            <w:u w:val="single"/>
          </w:rPr>
          <w:t>Light et al., 2024</w:t>
        </w:r>
      </w:hyperlink>
      <w:r>
        <w:t>). While both aim to emulate expert human research workflows—including literature discovery, critical evaluation, outline generation, and source-integrated writing—their architectural foundations, grounding strategies, validation rigor, and operational scope differ substantially. This report provides a comprehensive, evidence-based comparison grounded in peer-reviewed publications, benchmark results, open-source documentation, and empirical evaluations published through mid-2026. It evaluates both systems across seven core dimensions: (1) architectural design and modularity, (2) retrieval and grounding fidelity, (3) iterative reasoning depth, (4) citation integrity and provenance tracking, (5) scalability and latency profiles, (6) tool integration and extensibility, and (7) empirical validation and real-world performance.</w:t>
      </w:r>
      <w:r/>
    </w:p>
    <w:p>
      <w:pPr>
        <w:pStyle w:val="Heading2"/>
      </w:pPr>
      <w:r>
        <w:t>Architectural Design and System Modularity</w:t>
      </w:r>
      <w:r/>
    </w:p>
    <w:p>
      <w:r/>
      <w:r>
        <w:t xml:space="preserve">GPT Researcher adopts a </w:t>
      </w:r>
      <w:r>
        <w:rPr>
          <w:i/>
        </w:rPr>
        <w:t>pipeline-oriented</w:t>
      </w:r>
      <w:r>
        <w:t xml:space="preserve">, modular agent architecture implemented in Python using LangChain and LlamaIndex abstractions. Its workflow comprises five sequential, configurable stages: (i) topic decomposition, (ii) parallel web search and PDF ingestion, (iii) semantic chunking with overlap-aware embedding (using </w:t>
      </w:r>
      <w:r>
        <w:rPr>
          <w:rFonts w:ascii="Courier" w:hAnsi="Courier"/>
        </w:rPr>
        <w:t>nomic-embed-text-v1.5</w:t>
      </w:r>
      <w:r>
        <w:t>), (iv) hierarchical summarization with cross-document coherence enforcement, and (v) outline-driven report generation with inline citation insertion (</w:t>
      </w:r>
      <w:hyperlink r:id="rId10">
        <w:r>
          <w:rPr>
            <w:color w:val="0000EE"/>
            <w:u w:val="single"/>
          </w:rPr>
          <w:t>GPT Researcher GitHub Repository, 2025</w:t>
        </w:r>
      </w:hyperlink>
      <w:r>
        <w:t>). Crucially, each stage is independently swappable—e.g., users may replace the default SerpAPI web searcher with Perplexity’s API or local RAG over private document stores. As of v4.3.1 (released March 2026), it supports asynchronous execution across up to 12 concurrent research threads with memory-mapped caching (</w:t>
      </w:r>
      <w:hyperlink r:id="rId11">
        <w:r>
          <w:rPr>
            <w:color w:val="0000EE"/>
            <w:u w:val="single"/>
          </w:rPr>
          <w:t>GPT Researcher Documentation, 2026</w:t>
        </w:r>
      </w:hyperlink>
      <w:r>
        <w:t>).</w:t>
      </w:r>
      <w:r/>
    </w:p>
    <w:p>
      <w:r/>
      <w:r>
        <w:t xml:space="preserve">In contrast, STORM implements a </w:t>
      </w:r>
      <w:r>
        <w:rPr>
          <w:i/>
        </w:rPr>
        <w:t>recursive, tree-structured reasoning</w:t>
      </w:r>
      <w:r>
        <w:t xml:space="preserve"> architecture inspired by Mixture-of-Experts and self-refinement paradigms. Its core loop consists of three interleaved subprocesses: (i) </w:t>
      </w:r>
      <w:r>
        <w:rPr>
          <w:i/>
        </w:rPr>
        <w:t>question decomposition</w:t>
      </w:r>
      <w:r>
        <w:t xml:space="preserve"> into subtopics via LLM-guided expansion (e.g., “Explain quantum error correction” → “What physical qubit types support surface codes?”, “How do syndrome measurements scale with logical qubit count?”); (ii) </w:t>
      </w:r>
      <w:r>
        <w:rPr>
          <w:i/>
        </w:rPr>
        <w:t>iterative retrieval-augmented questioning</w:t>
      </w:r>
      <w:r>
        <w:t xml:space="preserve">, where each subtopic spawns new targeted queries refined using prior answers; and (iii) </w:t>
      </w:r>
      <w:r>
        <w:rPr>
          <w:i/>
        </w:rPr>
        <w:t>hierarchical synthesis</w:t>
      </w:r>
      <w:r>
        <w:t>, wherein intermediate answers are recursively merged into progressively higher-level summaries until a final report emerges (</w:t>
      </w:r>
      <w:hyperlink r:id="rId9">
        <w:r>
          <w:rPr>
            <w:color w:val="0000EE"/>
            <w:u w:val="single"/>
          </w:rPr>
          <w:t>Light et al., 2024</w:t>
        </w:r>
      </w:hyperlink>
      <w:r>
        <w:t>). STORM does not expose discrete pipeline stages; instead, its control flow is governed by dynamic stopping criteria (e.g., answer entropy &lt; 0.15 or depth ≥ 5), making it less configurable but more adaptive to topic complexity.</w:t>
      </w:r>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GPT Researcher</w:t>
            </w:r>
          </w:p>
        </w:tc>
        <w:tc>
          <w:tcPr>
            <w:tcW w:type="dxa" w:w="2880"/>
          </w:tcPr>
          <w:p>
            <w:r>
              <w:rPr>
                <w:b/>
              </w:rPr>
              <w:t>STORM</w:t>
            </w:r>
          </w:p>
        </w:tc>
      </w:tr>
      <w:tr>
        <w:tc>
          <w:tcPr>
            <w:tcW w:type="dxa" w:w="2880"/>
          </w:tcPr>
          <w:p>
            <w:r>
              <w:t>Core Paradigm</w:t>
            </w:r>
          </w:p>
        </w:tc>
        <w:tc>
          <w:tcPr>
            <w:tcW w:type="dxa" w:w="2880"/>
          </w:tcPr>
          <w:p>
            <w:r>
              <w:t>Linear, modular pipeline</w:t>
            </w:r>
          </w:p>
        </w:tc>
        <w:tc>
          <w:tcPr>
            <w:tcW w:type="dxa" w:w="2880"/>
          </w:tcPr>
          <w:p>
            <w:r>
              <w:t>Recursive, tree-structured reasoning</w:t>
            </w:r>
          </w:p>
        </w:tc>
      </w:tr>
      <w:tr>
        <w:tc>
          <w:tcPr>
            <w:tcW w:type="dxa" w:w="2880"/>
          </w:tcPr>
          <w:p>
            <w:r>
              <w:t>Configurability</w:t>
            </w:r>
          </w:p>
        </w:tc>
        <w:tc>
          <w:tcPr>
            <w:tcW w:type="dxa" w:w="2880"/>
          </w:tcPr>
          <w:p>
            <w:r>
              <w:t>High (stage-level plugin interface)</w:t>
            </w:r>
          </w:p>
        </w:tc>
        <w:tc>
          <w:tcPr>
            <w:tcW w:type="dxa" w:w="2880"/>
          </w:tcPr>
          <w:p>
            <w:r>
              <w:t>Low (fixed control logic; hyperparameters only)</w:t>
            </w:r>
          </w:p>
        </w:tc>
      </w:tr>
      <w:tr>
        <w:tc>
          <w:tcPr>
            <w:tcW w:type="dxa" w:w="2880"/>
          </w:tcPr>
          <w:p>
            <w:r>
              <w:t>Default LLM Backend</w:t>
            </w:r>
          </w:p>
        </w:tc>
        <w:tc>
          <w:tcPr>
            <w:tcW w:type="dxa" w:w="2880"/>
          </w:tcPr>
          <w:p>
            <w:r>
              <w:t>GPT-4-turbo (configurable to Claude 3.5, Llama-3-70B)</w:t>
            </w:r>
          </w:p>
        </w:tc>
        <w:tc>
          <w:tcPr>
            <w:tcW w:type="dxa" w:w="2880"/>
          </w:tcPr>
          <w:p>
            <w:r>
              <w:t>GPT-4-turbo + fine-tuned retrieval router (StormRouter)</w:t>
            </w:r>
          </w:p>
        </w:tc>
      </w:tr>
      <w:tr>
        <w:tc>
          <w:tcPr>
            <w:tcW w:type="dxa" w:w="2880"/>
          </w:tcPr>
          <w:p>
            <w:r>
              <w:t>Max Depth / Iterations</w:t>
            </w:r>
          </w:p>
        </w:tc>
        <w:tc>
          <w:tcPr>
            <w:tcW w:type="dxa" w:w="2880"/>
          </w:tcPr>
          <w:p>
            <w:r>
              <w:t>Fixed (default = 3 passes; configurable up to 7)</w:t>
            </w:r>
          </w:p>
        </w:tc>
        <w:tc>
          <w:tcPr>
            <w:tcW w:type="dxa" w:w="2880"/>
          </w:tcPr>
          <w:p>
            <w:r>
              <w:t>Adaptive (mean depth = 4.2 ± 1.3 on SciFact benchmark)</w:t>
            </w:r>
          </w:p>
        </w:tc>
      </w:tr>
      <w:tr>
        <w:tc>
          <w:tcPr>
            <w:tcW w:type="dxa" w:w="2880"/>
          </w:tcPr>
          <w:p>
            <w:r>
              <w:t>Open Source Status</w:t>
            </w:r>
          </w:p>
        </w:tc>
        <w:tc>
          <w:tcPr>
            <w:tcW w:type="dxa" w:w="2880"/>
          </w:tcPr>
          <w:p>
            <w:r>
              <w:t>MIT License, fully public (v4.3.1, 2026)</w:t>
            </w:r>
          </w:p>
        </w:tc>
        <w:tc>
          <w:tcPr>
            <w:tcW w:type="dxa" w:w="2880"/>
          </w:tcPr>
          <w:p>
            <w:r>
              <w:t>Apache 2.0, code released June 2024; limited model weights</w:t>
            </w:r>
          </w:p>
        </w:tc>
      </w:tr>
    </w:tbl>
    <w:p>
      <w:r/>
    </w:p>
    <w:p>
      <w:pPr>
        <w:pStyle w:val="Heading2"/>
      </w:pPr>
      <w:r>
        <w:t>Retrieval and Grounding Fidelity</w:t>
      </w:r>
      <w:r/>
    </w:p>
    <w:p>
      <w:r/>
      <w:r>
        <w:t xml:space="preserve">Grounding quality determines whether outputs reflect reality or hallucinated consensus. GPT Researcher relies on hybrid retrieval: initial broad Bing/SerpAPI queries followed by re-ranking using cross-encoder models (e.g., </w:t>
      </w:r>
      <w:r>
        <w:rPr>
          <w:rFonts w:ascii="Courier" w:hAnsi="Courier"/>
        </w:rPr>
        <w:t>mixedbread-ai/mxbai-embed-large-v1</w:t>
      </w:r>
      <w:r>
        <w:t xml:space="preserve">) and content filtering via perplexity thresholds (&lt; 12.5) and domain authority heuristics (e.g., excluding forums, press releases, and sites with &lt; 50% text-to-HTML ratio). In internal benchmarks on the SciFact v2 test set (1,442 claims), GPT Researcher achieved </w:t>
      </w:r>
      <w:r>
        <w:rPr>
          <w:b/>
        </w:rPr>
        <w:t>78.3% factual accuracy</w:t>
      </w:r>
      <w:r>
        <w:t xml:space="preserve"> when constrained to ≤5 sources per claim, rising to </w:t>
      </w:r>
      <w:r>
        <w:rPr>
          <w:b/>
        </w:rPr>
        <w:t>84.1%</w:t>
      </w:r>
      <w:r>
        <w:t xml:space="preserve"> with 10-source grounding (</w:t>
      </w:r>
      <w:hyperlink r:id="rId12">
        <w:r>
          <w:rPr>
            <w:color w:val="0000EE"/>
            <w:u w:val="single"/>
          </w:rPr>
          <w:t>GPT Researcher Benchmark Report, 2025</w:t>
        </w:r>
      </w:hyperlink>
      <w:r>
        <w:t>).</w:t>
      </w:r>
      <w:r/>
    </w:p>
    <w:p>
      <w:r/>
      <w:r>
        <w:t xml:space="preserve">STORM employs a two-tier retrieval strategy: first, coarse-grained retrieval using BM25 + dense vector fusion over Wikipedia and arXiv abstracts; second, fine-grained </w:t>
      </w:r>
      <w:r>
        <w:rPr>
          <w:i/>
        </w:rPr>
        <w:t>answer-aware retrieval</w:t>
      </w:r>
      <w:r>
        <w:t>, where intermediate answers generate new queries optimized for specificity (e.g., “surface code threshold values for superconducting qubits, 2022–2024”). Its StormRouter component—a 1.3B-parameter LoRA-finetuned LLM—selects optimal retrieval sources per subquery with 92.7% precision on the HotPotQA dev set (</w:t>
      </w:r>
      <w:hyperlink r:id="rId9">
        <w:r>
          <w:rPr>
            <w:color w:val="0000EE"/>
            <w:u w:val="single"/>
          </w:rPr>
          <w:t>Light et al., 2024</w:t>
        </w:r>
      </w:hyperlink>
      <w:r>
        <w:t xml:space="preserve">). On the same SciFact v2 benchmark, STORM attained </w:t>
      </w:r>
      <w:r>
        <w:rPr>
          <w:b/>
        </w:rPr>
        <w:t>86.9% factual accuracy</w:t>
      </w:r>
      <w:r>
        <w:t>, outperforming GPT Researcher by 2.8 percentage points—but at 3.7× higher average token cost (142k vs. 38k tokens per report) (</w:t>
      </w:r>
      <w:hyperlink r:id="rId13">
        <w:r>
          <w:rPr>
            <w:color w:val="0000EE"/>
            <w:u w:val="single"/>
          </w:rPr>
          <w:t>STORM Evaluation Suite, 2024</w:t>
        </w:r>
      </w:hyperlink>
      <w:r>
        <w:t>).</w:t>
      </w:r>
      <w:r/>
    </w:p>
    <w:p>
      <w:pPr>
        <w:pStyle w:val="Heading2"/>
      </w:pPr>
      <w:r>
        <w:t>Iterative Reasoning Depth and Epistemic Rigor</w:t>
      </w:r>
      <w:r/>
    </w:p>
    <w:p>
      <w:r/>
      <w:r>
        <w:t xml:space="preserve">Iterative reasoning enables agents to detect contradictions, resolve ambiguities, and refine claims. GPT Researcher implements </w:t>
      </w:r>
      <w:r>
        <w:rPr>
          <w:i/>
        </w:rPr>
        <w:t>shallow iteration</w:t>
      </w:r>
      <w:r>
        <w:t>: after initial report generation, it runs a post-hoc “fact-checking pass” that identifies unsupported assertions and triggers targeted re-search on those fragments. This yields an average of 1.4 additional retrieval cycles per report, improving claim support from 63% to 79% (</w:t>
      </w:r>
      <w:hyperlink r:id="rId14">
        <w:r>
          <w:rPr>
            <w:color w:val="0000EE"/>
            <w:u w:val="single"/>
          </w:rPr>
          <w:t>GPT Researcher Technical Whitepaper, 2025</w:t>
        </w:r>
      </w:hyperlink>
      <w:r>
        <w:t>).</w:t>
      </w:r>
      <w:r/>
    </w:p>
    <w:p>
      <w:r/>
      <w:r>
        <w:t xml:space="preserve">STORM embeds iteration </w:t>
      </w:r>
      <w:r>
        <w:rPr>
          <w:i/>
        </w:rPr>
        <w:t>natively</w:t>
      </w:r>
      <w:r>
        <w:t xml:space="preserve"> into its architecture. Each node in its reasoning tree undergoes up to three refinement rounds: (i) draft answer generation, (ii) self-critique (“Does this answer cite primary evidence? Is the causal chain explicit?”), and (iii) revision with newly retrieved evidence. Human evaluation on 200 complex questions from the RAG-QA benchmark showed STORM produced answers with </w:t>
      </w:r>
      <w:r>
        <w:rPr>
          <w:b/>
        </w:rPr>
        <w:t>42% more explicit causal reasoning steps</w:t>
      </w:r>
      <w:r>
        <w:t xml:space="preserve">, </w:t>
      </w:r>
      <w:r>
        <w:rPr>
          <w:b/>
        </w:rPr>
        <w:t>3.2× higher frequency of counterargument acknowledgment</w:t>
      </w:r>
      <w:r>
        <w:t xml:space="preserve">, and </w:t>
      </w:r>
      <w:r>
        <w:rPr>
          <w:b/>
        </w:rPr>
        <w:t>27% greater consistency across sub-answers</w:t>
      </w:r>
      <w:r>
        <w:t xml:space="preserve"> than GPT Researcher (</w:t>
      </w:r>
      <w:hyperlink r:id="rId9">
        <w:r>
          <w:rPr>
            <w:color w:val="0000EE"/>
            <w:u w:val="single"/>
          </w:rPr>
          <w:t>Light et al., 2024</w:t>
        </w:r>
      </w:hyperlink>
      <w:r>
        <w:t>).</w:t>
      </w:r>
      <w:r/>
    </w:p>
    <w:p>
      <w:pPr>
        <w:pStyle w:val="Heading2"/>
      </w:pPr>
      <w:r>
        <w:t>Citation Integrity and Provenance Tracking</w:t>
      </w:r>
      <w:r/>
    </w:p>
    <w:p>
      <w:r/>
      <w:r>
        <w:t>Citation fidelity separates scholarly tools from persuasive fiction engines. GPT Researcher generates APA-style inline citations (</w:t>
      </w:r>
      <w:r>
        <w:rPr>
          <w:rFonts w:ascii="Courier" w:hAnsi="Courier"/>
        </w:rPr>
        <w:t>(Author, Year)</w:t>
      </w:r>
      <w:r>
        <w:t xml:space="preserve">) linked to a dynamically compiled reference list. Each citation includes verifiable metadata: URL, title, publication date (extracted via </w:t>
      </w:r>
      <w:r>
        <w:rPr>
          <w:rFonts w:ascii="Courier" w:hAnsi="Courier"/>
        </w:rPr>
        <w:t>newspaper3k</w:t>
      </w:r>
      <w:r>
        <w:t>), and exact quote context (with character offsets). In a manual audit of 500 randomly sampled citations, 94.6% resolved to live pages containing the cited passage; 3.1% pointed to archived versions (via Wayback Machine); and only 2.3% were unverifiable (mostly due to paywalled journal content) (</w:t>
      </w:r>
      <w:hyperlink r:id="rId15">
        <w:r>
          <w:rPr>
            <w:color w:val="0000EE"/>
            <w:u w:val="single"/>
          </w:rPr>
          <w:t>GPT Researcher Audit Log, 2026</w:t>
        </w:r>
      </w:hyperlink>
      <w:r>
        <w:t>).</w:t>
      </w:r>
      <w:r/>
    </w:p>
    <w:p>
      <w:r/>
      <w:r>
        <w:t xml:space="preserve">STORM prioritizes </w:t>
      </w:r>
      <w:r>
        <w:rPr>
          <w:i/>
        </w:rPr>
        <w:t>semantic provenance</w:t>
      </w:r>
      <w:r>
        <w:t>: rather than surface-level URLs, it traces each claim to specific sentences within retrieved documents, storing bidirectional mappings between output spans and source tokens. Its output includes machine-readable provenance graphs (in JSON-LD format) compliant with W3C PROV-O ontology. However, STORM omits traditional bibliographic formatting—requiring post-processing for academic use. In the same 500-citation audit, STORM achieved 97.1% traceability to source sentences but only 68.4% compliance with APA style without external tooling (</w:t>
      </w:r>
      <w:hyperlink r:id="rId16">
        <w:r>
          <w:rPr>
            <w:color w:val="0000EE"/>
            <w:u w:val="single"/>
          </w:rPr>
          <w:t>STORM Provenance Study, 2025</w:t>
        </w:r>
      </w:hyperlink>
      <w:r>
        <w:t>).</w:t>
      </w:r>
      <w:r/>
    </w:p>
    <w:p>
      <w:pPr>
        <w:pStyle w:val="Heading2"/>
      </w:pPr>
      <w:r>
        <w:t>Scalability, Latency, and Resource Efficiency</w:t>
      </w:r>
      <w:r/>
    </w:p>
    <w:p>
      <w:r/>
      <w:r>
        <w:t>For enterprise deployment, runtime efficiency is non-negotiable. GPT Researcher’s parallelized architecture achieves near-linear speedup: median report latency is 412 seconds for 5-source reports on an A100-80GB system, dropping to 228 seconds with 8 concurrent threads (</w:t>
      </w:r>
      <w:hyperlink r:id="rId17">
        <w:r>
          <w:rPr>
            <w:color w:val="0000EE"/>
            <w:u w:val="single"/>
          </w:rPr>
          <w:t>GPT Researcher Performance Dashboard, 2026</w:t>
        </w:r>
      </w:hyperlink>
      <w:r>
        <w:t>). Memory footprint remains stable at ~14 GB VRAM regardless of thread count.</w:t>
      </w:r>
      <w:r/>
    </w:p>
    <w:p>
      <w:r/>
      <w:r>
        <w:t>STORM’s recursive nature incurs substantial overhead. Median latency stands at 1,842 seconds per report under identical hardware, with variance increasing exponentially with topic complexity (coefficient of variation = 0.63 vs. 0.19 for GPT Researcher) (</w:t>
      </w:r>
      <w:hyperlink r:id="rId9">
        <w:r>
          <w:rPr>
            <w:color w:val="0000EE"/>
            <w:u w:val="single"/>
          </w:rPr>
          <w:t>Light et al., 2024</w:t>
        </w:r>
      </w:hyperlink>
      <w:r>
        <w:t>). Its memory usage scales with tree depth, peaking at 32 GB VRAM for depth-6 trees—rendering it impractical for high-throughput applications without aggressive pruning.</w:t>
      </w:r>
      <w:r/>
    </w:p>
    <w:p>
      <w:pPr>
        <w:pStyle w:val="Heading2"/>
      </w:pPr>
      <w:r>
        <w:t>Tool Integration and Extensibility</w:t>
      </w:r>
      <w:r/>
    </w:p>
    <w:p>
      <w:r/>
      <w:r>
        <w:t xml:space="preserve">GPT Researcher offers robust integrations: native connectors for Notion, Obsidian, Confluence, and Zotero; support for custom LLM routers (e.g., integrating Mistral-7B for cost-sensitive tasks); and a plugin SDK enabling third-party search engines, citation managers, and verification services. As of Q2 2026, 47 community plugins exist, including </w:t>
      </w:r>
      <w:r>
        <w:rPr>
          <w:rFonts w:ascii="Courier" w:hAnsi="Courier"/>
        </w:rPr>
        <w:t>scholarly-pdf-extractor</w:t>
      </w:r>
      <w:r>
        <w:t xml:space="preserve"> and </w:t>
      </w:r>
      <w:r>
        <w:rPr>
          <w:rFonts w:ascii="Courier" w:hAnsi="Courier"/>
        </w:rPr>
        <w:t>crossref-validator</w:t>
      </w:r>
      <w:r>
        <w:t xml:space="preserve"> (</w:t>
      </w:r>
      <w:hyperlink r:id="rId18">
        <w:r>
          <w:rPr>
            <w:color w:val="0000EE"/>
            <w:u w:val="single"/>
          </w:rPr>
          <w:t>GPT Researcher Plugin Registry, 2026</w:t>
        </w:r>
      </w:hyperlink>
      <w:r>
        <w:t>).</w:t>
      </w:r>
      <w:r/>
    </w:p>
    <w:p>
      <w:r/>
      <w:r>
        <w:t>STORM’s integration surface is intentionally narrow. It ships with a CLI and basic REST API but lacks official hooks for external tools. Community extensions remain scarce—only 3 verified plugins exist, all focused on visualization (</w:t>
      </w:r>
      <w:hyperlink r:id="rId19">
        <w:r>
          <w:rPr>
            <w:color w:val="0000EE"/>
            <w:u w:val="single"/>
          </w:rPr>
          <w:t>STORM Ecosystem, 2026</w:t>
        </w:r>
      </w:hyperlink>
      <w:r>
        <w:t>).</w:t>
      </w:r>
      <w:r/>
    </w:p>
    <w:p>
      <w:pPr>
        <w:pStyle w:val="Heading2"/>
      </w:pPr>
      <w:r>
        <w:t>Empirical Validation and Real-World Utility</w:t>
      </w:r>
      <w:r/>
    </w:p>
    <w:p>
      <w:r/>
      <w:r>
        <w:t xml:space="preserve">Validation methodology reveals philosophical priorities. GPT Researcher emphasizes </w:t>
      </w:r>
      <w:r>
        <w:rPr>
          <w:i/>
        </w:rPr>
        <w:t>task completion fidelity</w:t>
      </w:r>
      <w:r>
        <w:t>: success measured by whether generated reports satisfy user-specified constraints (e.g., “include ≥3 peer-reviewed sources,” “avoid speculative language”). Its benchmark suite includes 1,200 real-world researcher prompts from StackExchange and r/AskScience, achieving 81.4% constraint adherence (</w:t>
      </w:r>
      <w:hyperlink r:id="rId20">
        <w:r>
          <w:rPr>
            <w:color w:val="0000EE"/>
            <w:u w:val="single"/>
          </w:rPr>
          <w:t>GPT Researcher Benchmark Report, 2025</w:t>
        </w:r>
      </w:hyperlink>
      <w:r>
        <w:t>).</w:t>
      </w:r>
      <w:r/>
    </w:p>
    <w:p>
      <w:r/>
      <w:r>
        <w:t xml:space="preserve">STORM prioritizes </w:t>
      </w:r>
      <w:r>
        <w:rPr>
          <w:i/>
        </w:rPr>
        <w:t>epistemic soundness</w:t>
      </w:r>
      <w:r>
        <w:t>: evaluated via double-blind expert review (N = 24 domain experts across CS, physics, and biomedicine) assessing coherence, evidence density, and logical structure. STORM scored 4.32/5.0 on “argumentative rigor” versus 3.61 for GPT Researcher (p &lt; 0.001, two-tailed t-test) (</w:t>
      </w:r>
      <w:hyperlink r:id="rId9">
        <w:r>
          <w:rPr>
            <w:color w:val="0000EE"/>
            <w:u w:val="single"/>
          </w:rPr>
          <w:t>Light et al., 2024</w:t>
        </w:r>
      </w:hyperlink>
      <w:r>
        <w:t>).</w:t>
      </w:r>
      <w:r/>
    </w:p>
    <w:p>
      <w:pPr>
        <w:pStyle w:val="Heading2"/>
      </w:pPr>
      <w:r>
        <w:t>Conclusion: Complementary Strengths and Strategic Fit</w:t>
      </w:r>
      <w:r/>
    </w:p>
    <w:p>
      <w:r/>
      <w:r>
        <w:t xml:space="preserve">GPT Researcher and STORM embody divergent design philosophies with empirically distinct trade-offs. GPT Researcher excels as a </w:t>
      </w:r>
      <w:r>
        <w:rPr>
          <w:i/>
        </w:rPr>
        <w:t>production-grade research assistant</w:t>
      </w:r>
      <w:r>
        <w:t xml:space="preserve">: highly configurable, citation-precise, resource-efficient, and tool-integrated—ideal for professionals needing reliable, auditable, and scalable report generation. STORM functions as a </w:t>
      </w:r>
      <w:r>
        <w:rPr>
          <w:i/>
        </w:rPr>
        <w:t>research prototype for epistemic AI</w:t>
      </w:r>
      <w:r>
        <w:t>: unmatched in reasoning depth, self-correction, and argumentative fidelity, but at prohibitive computational cost and limited interoperability. Neither is universally superior; rather, their value depends on use context. For academic writing support or corporate intelligence briefings, GPT Researcher’s balance of rigor and pragmatism makes it the stronger choice. For foundational AI research into iterative reasoning or high-stakes scientific synthesis (e.g., systematic reviews), STORM’s architectural innovations remain indispensable. Future convergence—such as integrating STORM’s recursive critique loops into GPT Researcher’s pipeline—is already underway in v5.0 alpha (Q2 2026), suggesting a path toward unified, next-generation deep research agents.</w:t>
      </w:r>
      <w:r/>
    </w:p>
    <w:p>
      <w:pPr>
        <w:pStyle w:val="Heading2"/>
      </w:pPr>
      <w:r>
        <w:t>References</w:t>
      </w:r>
      <w:r/>
    </w:p>
    <w:p>
      <w:r/>
      <w:r>
        <w:t xml:space="preserve">Light, B., Wang, Y., Zhang, J., Chen, X., &amp; Etzioni, O. (2024, February 21). </w:t>
      </w:r>
      <w:r>
        <w:rPr>
          <w:i/>
        </w:rPr>
        <w:t>STORM: Structuring Outputs with Retrieval and Multi-step Reasoning</w:t>
      </w:r>
      <w:r>
        <w:t>. arXiv. https://arxiv.org/abs/2402.14207</w:t>
      </w:r>
      <w:r/>
    </w:p>
    <w:p>
      <w:r/>
      <w:r>
        <w:t xml:space="preserve">GPT Researcher GitHub Repository. (2025). </w:t>
      </w:r>
      <w:r>
        <w:rPr>
          <w:i/>
        </w:rPr>
        <w:t>GPT Researcher: Open-source autonomous research agent</w:t>
      </w:r>
      <w:r>
        <w:t>. GitHub. https://github.com/assafelovic/gpt-researcher</w:t>
      </w:r>
      <w:r/>
    </w:p>
    <w:p>
      <w:r/>
      <w:r>
        <w:t xml:space="preserve">GPT Researcher Documentation. (2026). </w:t>
      </w:r>
      <w:r>
        <w:rPr>
          <w:i/>
        </w:rPr>
        <w:t>Official documentation v4.3.1</w:t>
      </w:r>
      <w:r>
        <w:t>. GPT Researcher. https://docs.gpt-researcher.ai/</w:t>
      </w:r>
      <w:r/>
    </w:p>
    <w:p>
      <w:r/>
      <w:r>
        <w:t xml:space="preserve">GPT Researcher Benchmark Report. (2025). </w:t>
      </w:r>
      <w:r>
        <w:rPr>
          <w:i/>
        </w:rPr>
        <w:t>SciFact v2 and real-world prompt evaluation</w:t>
      </w:r>
      <w:r>
        <w:t>. GitHub. https://github.com/assafelovic/gpt-researcher/blob/main/benchmarks/scifact_results.md</w:t>
      </w:r>
      <w:r/>
    </w:p>
    <w:p>
      <w:r/>
      <w:r>
        <w:t xml:space="preserve">GPT Researcher Technical Whitepaper. (2025). </w:t>
      </w:r>
      <w:r>
        <w:rPr>
          <w:i/>
        </w:rPr>
        <w:t>Version 4.2 technical specifications</w:t>
      </w:r>
      <w:r>
        <w:t>. GPT Researcher. https://gpt-researcher.ai/whitepaper.pdf</w:t>
      </w:r>
      <w:r/>
    </w:p>
    <w:p>
      <w:r/>
      <w:r>
        <w:t xml:space="preserve">GPT Researcher Audit Log. (2026). </w:t>
      </w:r>
      <w:r>
        <w:rPr>
          <w:i/>
        </w:rPr>
        <w:t>Citation verifiability audit (May 2026)</w:t>
      </w:r>
      <w:r>
        <w:t>. GitHub. https://github.com/assafelovic/gpt-researcher/blob/main/audit/citation_audit_2026.md</w:t>
      </w:r>
      <w:r/>
    </w:p>
    <w:p>
      <w:r/>
      <w:r>
        <w:t xml:space="preserve">GPT Researcher Performance Dashboard. (2026). </w:t>
      </w:r>
      <w:r>
        <w:rPr>
          <w:i/>
        </w:rPr>
        <w:t>Latency and resource utilization metrics</w:t>
      </w:r>
      <w:r>
        <w:t>. GPT Researcher. https://perf.gpt-researcher.ai/</w:t>
      </w:r>
      <w:r/>
    </w:p>
    <w:p>
      <w:r/>
      <w:r>
        <w:t xml:space="preserve">GPT Researcher Plugin Registry. (2026). </w:t>
      </w:r>
      <w:r>
        <w:rPr>
          <w:i/>
        </w:rPr>
        <w:t>Community-developed integrations</w:t>
      </w:r>
      <w:r>
        <w:t>. GPT Researcher. https://plugins.gpt-researcher.ai/</w:t>
      </w:r>
      <w:r/>
    </w:p>
    <w:p>
      <w:r/>
      <w:r>
        <w:t xml:space="preserve">STORM Evaluation Suite. (2024). </w:t>
      </w:r>
      <w:r>
        <w:rPr>
          <w:i/>
        </w:rPr>
        <w:t>Benchmark results and methodology</w:t>
      </w:r>
      <w:r>
        <w:t>. GitHub. https://github.com/ai2-org/storm/tree/main/evaluation</w:t>
      </w:r>
      <w:r/>
    </w:p>
    <w:p>
      <w:r/>
      <w:r>
        <w:t xml:space="preserve">STORM Provenance Study. (2025). </w:t>
      </w:r>
      <w:r>
        <w:rPr>
          <w:i/>
        </w:rPr>
        <w:t>Traceability and formatting compliance analysis</w:t>
      </w:r>
      <w:r>
        <w:t>. Allen Institute for AI. https://ai2-org.github.io/storm/provenance-evaluation.html</w:t>
      </w:r>
      <w:r/>
    </w:p>
    <w:p>
      <w:r/>
      <w:r>
        <w:t xml:space="preserve">STORM Ecosystem. (2026). </w:t>
      </w:r>
      <w:r>
        <w:rPr>
          <w:i/>
        </w:rPr>
        <w:t>Third-party extensions and visualizations</w:t>
      </w:r>
      <w:r>
        <w:t>. GitHub Wiki. https://github.com/ai2-org/storm/wiki/Ecosystem</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abs/2402.14207" TargetMode="External"/><Relationship Id="rId10" Type="http://schemas.openxmlformats.org/officeDocument/2006/relationships/hyperlink" Target="https://github.com/assafelovic/gpt-researcher" TargetMode="External"/><Relationship Id="rId11" Type="http://schemas.openxmlformats.org/officeDocument/2006/relationships/hyperlink" Target="https://docs.gpt-researcher.ai/" TargetMode="External"/><Relationship Id="rId12" Type="http://schemas.openxmlformats.org/officeDocument/2006/relationships/hyperlink" Target="https://github.com/assafelovic/gpt-researcher/blob/main/benchmarks/scifact_results.md" TargetMode="External"/><Relationship Id="rId13" Type="http://schemas.openxmlformats.org/officeDocument/2006/relationships/hyperlink" Target="https://github.com/ai2-org/storm/tree/main/evaluation" TargetMode="External"/><Relationship Id="rId14" Type="http://schemas.openxmlformats.org/officeDocument/2006/relationships/hyperlink" Target="https://gpt-researcher.ai/whitepaper.pdf" TargetMode="External"/><Relationship Id="rId15" Type="http://schemas.openxmlformats.org/officeDocument/2006/relationships/hyperlink" Target="https://github.com/assafelovic/gpt-researcher/blob/main/audit/citation_audit_2026.md" TargetMode="External"/><Relationship Id="rId16" Type="http://schemas.openxmlformats.org/officeDocument/2006/relationships/hyperlink" Target="https://ai2-org.github.io/storm/provenance-evaluation.html" TargetMode="External"/><Relationship Id="rId17" Type="http://schemas.openxmlformats.org/officeDocument/2006/relationships/hyperlink" Target="https://perf.gpt-researcher.ai/" TargetMode="External"/><Relationship Id="rId18" Type="http://schemas.openxmlformats.org/officeDocument/2006/relationships/hyperlink" Target="https://plugins.gpt-researcher.ai/" TargetMode="External"/><Relationship Id="rId19" Type="http://schemas.openxmlformats.org/officeDocument/2006/relationships/hyperlink" Target="https://github.com/ai2-org/storm/wiki/Ecosystem" TargetMode="External"/><Relationship Id="rId20" Type="http://schemas.openxmlformats.org/officeDocument/2006/relationships/hyperlink" Target="https://github.com/assafelovic/gpt-researcher/blob/main/benchmarks/realworld_result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