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위내시경 환자 안내문 초안</w:t>
      </w:r>
    </w:p>
    <w:p>
      <w:r>
        <w:t>이 문서는 교육용 예시입니다. 실제 검사 준비는 예약한 병원과 의료진의 지시를 따르세요.</w:t>
      </w:r>
    </w:p>
    <w:p>
      <w:pPr>
        <w:pStyle w:val="Heading2"/>
      </w:pPr>
      <w:r>
        <w:t>검사 전</w:t>
      </w:r>
    </w:p>
    <w:p>
      <w:pPr>
        <w:pStyle w:val="ListBullet"/>
      </w:pPr>
      <w:r>
        <w:t>병원에서 안내한 금식 시간을 지킵니다.</w:t>
      </w:r>
    </w:p>
    <w:p>
      <w:pPr>
        <w:pStyle w:val="ListBullet"/>
      </w:pPr>
      <w:r>
        <w:t>복용 중인 약, 항응고제/항혈소판제, 당뇨약, 알레르기 정보를 미리 알립니다.</w:t>
      </w:r>
    </w:p>
    <w:p>
      <w:pPr>
        <w:pStyle w:val="Heading2"/>
      </w:pPr>
      <w:r>
        <w:t>검사 당일</w:t>
      </w:r>
    </w:p>
    <w:p>
      <w:pPr>
        <w:pStyle w:val="ListBullet"/>
      </w:pPr>
      <w:r>
        <w:t>수면 진정제를 사용하는 경우 보호자와 귀가 교통편을 준비합니다.</w:t>
      </w:r>
    </w:p>
    <w:p>
      <w:pPr>
        <w:pStyle w:val="ListBullet"/>
      </w:pPr>
      <w:r>
        <w:t>검사 후 운전, 음주, 중요한 의사결정은 피합니다.</w:t>
      </w:r>
    </w:p>
    <w:p>
      <w:pPr>
        <w:pStyle w:val="Heading2"/>
      </w:pPr>
      <w:r>
        <w:t>검사 후</w:t>
      </w:r>
    </w:p>
    <w:p>
      <w:pPr>
        <w:pStyle w:val="ListBullet"/>
      </w:pPr>
      <w:r>
        <w:t>가벼운 목 불편감은 있을 수 있습니다.</w:t>
      </w:r>
    </w:p>
    <w:p>
      <w:pPr>
        <w:pStyle w:val="ListBullet"/>
      </w:pPr>
      <w:r>
        <w:t>발열, 삼킴 곤란, 심한 통증, 출혈 의심 증상이 있으면 병원에 연락합니다.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