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4.png" ContentType="image/png"/>
  <Override PartName="/word/media/rId30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№4</w:t>
      </w:r>
    </w:p>
    <w:p>
      <w:pPr>
        <w:pStyle w:val="Subtitle"/>
      </w:pPr>
      <w:r>
        <w:rPr>
          <w:i/>
          <w:iCs/>
        </w:rPr>
        <w:t xml:space="preserve">дисциплина: Computer Skills for Scientific Writing</w:t>
      </w:r>
    </w:p>
    <w:p>
      <w:pPr>
        <w:pStyle w:val="Author"/>
      </w:pPr>
      <w:r>
        <w:t xml:space="preserve">Морозова Ульяна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Ознакомиться с методами включения графики в документы LaTeX, настройкой плавающих объектов, позиционированием изображений и механизмом перекрестных ссылок.</w:t>
      </w:r>
    </w:p>
    <w:bookmarkEnd w:id="9"/>
    <w:bookmarkStart w:id="5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работы над графикой в преамбуле документа необходимо подключить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 который добавляет команду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 </w:t>
      </w:r>
      <w:r>
        <w:t xml:space="preserve">для вставки изображений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 Включение собственного изображения</w:t>
      </w:r>
    </w:p>
    <w:p>
      <w:pPr>
        <w:pStyle w:val="BodyText"/>
      </w:pPr>
      <w:r>
        <w:t xml:space="preserve">Для вставки изображения мы используем команду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. Если необходимо центрировать изображение по горизонтали, его помещают в окружение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.</w:t>
      </w:r>
    </w:p>
    <w:bookmarkStart w:id="13" w:name="fig:001"/>
    <w:p>
      <w:pPr>
        <w:pStyle w:val="CaptionedFigure"/>
      </w:pPr>
      <w:r>
        <w:drawing>
          <wp:inline>
            <wp:extent cx="3733800" cy="1621613"/>
            <wp:effectExtent b="0" l="0" r="0" t="0"/>
            <wp:docPr descr="Вставка изображения, код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1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Вставка изображения, код</w:t>
      </w:r>
    </w:p>
    <w:bookmarkEnd w:id="13"/>
    <w:bookmarkStart w:id="17" w:name="fig:002"/>
    <w:p>
      <w:pPr>
        <w:pStyle w:val="CaptionedFigure"/>
      </w:pPr>
      <w:r>
        <w:drawing>
          <wp:inline>
            <wp:extent cx="3733800" cy="2334206"/>
            <wp:effectExtent b="0" l="0" r="0" t="0"/>
            <wp:docPr descr="Вставка изображения, pdf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Вставка изображения, pdf</w:t>
      </w:r>
    </w:p>
    <w:bookmarkEnd w:id="17"/>
    <w:p>
      <w:pPr>
        <w:pStyle w:val="BodyText"/>
      </w:pPr>
      <w:r>
        <w:rPr>
          <w:b/>
          <w:bCs/>
        </w:rPr>
        <w:t xml:space="preserve">2. Изменение внешнего вида (параметры height, width, angle, scale)</w:t>
      </w:r>
    </w:p>
    <w:p>
      <w:pPr>
        <w:pStyle w:val="BodyText"/>
      </w:pPr>
      <w:r>
        <w:t xml:space="preserve">С помощью квадратных скобок можно задавать параметры изображения.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задают размеры (часто в относительных единицах, например</w:t>
      </w:r>
      <w:r>
        <w:t xml:space="preserve"> </w:t>
      </w:r>
      <w:r>
        <w:rPr>
          <w:rStyle w:val="VerbatimChar"/>
        </w:rPr>
        <w:t xml:space="preserve">0.5\textwidth</w:t>
      </w:r>
      <w:r>
        <w:t xml:space="preserve">),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поворачивает картинку, а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масштабирует ее на заданный коэффициент, сохраняя пропорции.</w:t>
      </w:r>
    </w:p>
    <w:bookmarkStart w:id="21" w:name="fig:003"/>
    <w:p>
      <w:pPr>
        <w:pStyle w:val="CaptionedFigure"/>
      </w:pPr>
      <w:r>
        <w:drawing>
          <wp:inline>
            <wp:extent cx="3733800" cy="2502546"/>
            <wp:effectExtent b="0" l="0" r="0" t="0"/>
            <wp:docPr descr="Параметры изображений, код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изображений, код</w:t>
      </w:r>
    </w:p>
    <w:bookmarkEnd w:id="21"/>
    <w:bookmarkStart w:id="25" w:name="fig:004"/>
    <w:p>
      <w:pPr>
        <w:pStyle w:val="CaptionedFigure"/>
      </w:pPr>
      <w:r>
        <w:drawing>
          <wp:inline>
            <wp:extent cx="3733800" cy="3796030"/>
            <wp:effectExtent b="0" l="0" r="0" t="0"/>
            <wp:docPr descr="Параметры изображений, pdf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6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изображений, pdf</w:t>
      </w:r>
    </w:p>
    <w:bookmarkEnd w:id="25"/>
    <w:bookmarkStart w:id="29" w:name="fig:004"/>
    <w:p>
      <w:pPr>
        <w:pStyle w:val="CaptionedFigure"/>
      </w:pPr>
      <w:r>
        <w:drawing>
          <wp:inline>
            <wp:extent cx="3733800" cy="3827985"/>
            <wp:effectExtent b="0" l="0" r="0" t="0"/>
            <wp:docPr descr="Параметры изображений, pdf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7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изображений, pdf</w:t>
      </w:r>
    </w:p>
    <w:bookmarkEnd w:id="29"/>
    <w:p>
      <w:pPr>
        <w:pStyle w:val="BodyText"/>
      </w:pPr>
      <w:r>
        <w:rPr>
          <w:b/>
          <w:bCs/>
        </w:rPr>
        <w:t xml:space="preserve">3. Разница между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\textwidth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\linewidth</w:t>
      </w:r>
    </w:p>
    <w:p>
      <w:pPr>
        <w:pStyle w:val="BodyText"/>
      </w:pPr>
      <w:r>
        <w:t xml:space="preserve">Ширина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— это ширина всего текстового блока на странице, а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 </w:t>
      </w:r>
      <w:r>
        <w:t xml:space="preserve">— ширина текущей строки. В одноколоночном документе они равны, но при использовании опции</w:t>
      </w:r>
      <w:r>
        <w:t xml:space="preserve"> </w:t>
      </w:r>
      <w:r>
        <w:rPr>
          <w:rStyle w:val="VerbatimChar"/>
        </w:rPr>
        <w:t xml:space="preserve">twocolumn</w:t>
      </w:r>
      <w:r>
        <w:t xml:space="preserve"> </w:t>
      </w:r>
      <w:r>
        <w:t xml:space="preserve">в классе документа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 </w:t>
      </w:r>
      <w:r>
        <w:t xml:space="preserve">становится равен ширине одной колонки, что важно учитывать при вставке картинок, чтобы они не выходили за поля.</w:t>
      </w:r>
    </w:p>
    <w:bookmarkStart w:id="33" w:name="fig:005"/>
    <w:p>
      <w:pPr>
        <w:pStyle w:val="CaptionedFigure"/>
      </w:pPr>
      <w:r>
        <w:drawing>
          <wp:inline>
            <wp:extent cx="3733800" cy="2430630"/>
            <wp:effectExtent b="0" l="0" r="0" t="0"/>
            <wp:docPr descr="Сравнение \textwidth и \linewidth, код" title="" id="31" name="Picture"/>
            <a:graphic>
              <a:graphicData uri="http://schemas.openxmlformats.org/drawingml/2006/picture">
                <pic:pic>
                  <pic:nvPicPr>
                    <pic:cNvPr descr="image/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0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, код</w:t>
      </w:r>
    </w:p>
    <w:bookmarkEnd w:id="33"/>
    <w:bookmarkStart w:id="37" w:name="fig:006"/>
    <w:p>
      <w:pPr>
        <w:pStyle w:val="CaptionedFigure"/>
      </w:pPr>
      <w:r>
        <w:drawing>
          <wp:inline>
            <wp:extent cx="3733800" cy="3807114"/>
            <wp:effectExtent b="0" l="0" r="0" t="0"/>
            <wp:docPr descr="Сравнение \textwidth и \linewidth, pdf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7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, pdf</w:t>
      </w:r>
    </w:p>
    <w:bookmarkEnd w:id="37"/>
    <w:p>
      <w:pPr>
        <w:pStyle w:val="BodyText"/>
      </w:pPr>
      <w:r>
        <w:rPr>
          <w:b/>
          <w:bCs/>
        </w:rPr>
        <w:t xml:space="preserve">4. Плавающие объекты и параметры их размещения</w:t>
      </w:r>
    </w:p>
    <w:p>
      <w:pPr>
        <w:pStyle w:val="BodyText"/>
      </w:pPr>
      <w:r>
        <w:t xml:space="preserve">Для того чтобы изображения не оставляли больших пустых пробелов на странице, их помещают в плавающие окружения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 </w:t>
      </w:r>
      <w:r>
        <w:t xml:space="preserve">(floats). Спецификаторы в квадратных скобках</w:t>
      </w:r>
      <w:r>
        <w:t xml:space="preserve"> </w:t>
      </w:r>
      <w:r>
        <w:rPr>
          <w:rStyle w:val="VerbatimChar"/>
        </w:rPr>
        <w:t xml:space="preserve">[htbp]</w:t>
      </w:r>
      <w:r>
        <w:t xml:space="preserve"> </w:t>
      </w:r>
      <w:r>
        <w:t xml:space="preserve">указывают LaTeX, куда можно поместить объект: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(here — здесь),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(top — вверху),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(bottom — внизу),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(page — на отдельной странице). Для демонстрации был использован пакет</w:t>
      </w:r>
      <w:r>
        <w:t xml:space="preserve"> </w:t>
      </w:r>
      <w:r>
        <w:rPr>
          <w:rStyle w:val="VerbatimChar"/>
        </w:rPr>
        <w:t xml:space="preserve">lipsum</w:t>
      </w:r>
      <w:r>
        <w:t xml:space="preserve">, генерирующий текст-заполнитель</w:t>
      </w:r>
      <w:r>
        <w:t xml:space="preserve"> </w:t>
      </w:r>
      <w:r>
        <w:t xml:space="preserve">[2]</w:t>
      </w:r>
      <w:r>
        <w:t xml:space="preserve">.</w:t>
      </w:r>
    </w:p>
    <w:bookmarkStart w:id="41" w:name="fig:007"/>
    <w:p>
      <w:pPr>
        <w:pStyle w:val="CaptionedFigure"/>
      </w:pPr>
      <w:r>
        <w:drawing>
          <wp:inline>
            <wp:extent cx="3733800" cy="2544108"/>
            <wp:effectExtent b="0" l="0" r="0" t="0"/>
            <wp:docPr descr="Плавающие объекты, код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Плавающие объекты, код</w:t>
      </w:r>
    </w:p>
    <w:bookmarkEnd w:id="41"/>
    <w:bookmarkStart w:id="45" w:name="fig:008"/>
    <w:p>
      <w:pPr>
        <w:pStyle w:val="CaptionedFigure"/>
      </w:pPr>
      <w:r>
        <w:drawing>
          <wp:inline>
            <wp:extent cx="3733800" cy="4407393"/>
            <wp:effectExtent b="0" l="0" r="0" t="0"/>
            <wp:docPr descr="Плавающие объекты, pdf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7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Плавающие объекты, pdf</w:t>
      </w:r>
    </w:p>
    <w:bookmarkEnd w:id="45"/>
    <w:p>
      <w:pPr>
        <w:pStyle w:val="BodyText"/>
      </w:pPr>
      <w:r>
        <w:rPr>
          <w:b/>
          <w:bCs/>
        </w:rPr>
        <w:t xml:space="preserve">5. Перекрестные ссылки и количество компиляций</w:t>
      </w:r>
    </w:p>
    <w:p>
      <w:pPr>
        <w:pStyle w:val="BodyText"/>
      </w:pPr>
      <w:r>
        <w:t xml:space="preserve">Для создания ссылок используются команды</w:t>
      </w:r>
      <w:r>
        <w:t xml:space="preserve"> </w:t>
      </w:r>
      <w:r>
        <w:rPr>
          <w:rStyle w:val="VerbatimChar"/>
        </w:rPr>
        <w:t xml:space="preserve">\label{...}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\ref{...}</w:t>
      </w:r>
      <w:r>
        <w:t xml:space="preserve">. При первом запуске компиляции LaTeX записывает метки в вспомогательный файл</w:t>
      </w:r>
      <w:r>
        <w:t xml:space="preserve"> </w:t>
      </w:r>
      <w:r>
        <w:rPr>
          <w:rStyle w:val="VerbatimChar"/>
        </w:rPr>
        <w:t xml:space="preserve">.aux</w:t>
      </w:r>
      <w:r>
        <w:t xml:space="preserve">, поэтому для корректного отображения номеров требуется</w:t>
      </w:r>
      <w:r>
        <w:t xml:space="preserve"> </w:t>
      </w:r>
      <w:r>
        <w:rPr>
          <w:b/>
          <w:bCs/>
        </w:rPr>
        <w:t xml:space="preserve">минимум два прогона</w:t>
      </w:r>
      <w:r>
        <w:t xml:space="preserve"> </w:t>
      </w:r>
      <w:r>
        <w:t xml:space="preserve">компилятора. Если ссылка не обновилась, может потребоваться третий запуск.</w:t>
      </w:r>
    </w:p>
    <w:bookmarkStart w:id="49" w:name="fig:009"/>
    <w:p>
      <w:pPr>
        <w:pStyle w:val="CaptionedFigure"/>
      </w:pPr>
      <w:r>
        <w:drawing>
          <wp:inline>
            <wp:extent cx="3733800" cy="1138735"/>
            <wp:effectExtent b="0" l="0" r="0" t="0"/>
            <wp:docPr descr="Перекрестные ссылки, код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8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Перекрестные ссылки, код</w:t>
      </w:r>
    </w:p>
    <w:bookmarkEnd w:id="49"/>
    <w:p>
      <w:pPr>
        <w:pStyle w:val="BodyText"/>
      </w:pPr>
      <w:r>
        <w:rPr>
          <w:b/>
          <w:bCs/>
        </w:rPr>
        <w:t xml:space="preserve">6. Ошибка: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\label</w:t>
      </w:r>
      <w:r>
        <w:rPr>
          <w:b/>
          <w:bCs/>
        </w:rPr>
        <w:t xml:space="preserve"> </w:t>
      </w:r>
      <w:r>
        <w:rPr>
          <w:b/>
          <w:bCs/>
        </w:rPr>
        <w:t xml:space="preserve">перед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\caption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всегда привязывается к последнему нумерованному объекту (разделу, уравнению, рисунку). Если разместить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rPr>
          <w:i/>
          <w:iCs/>
        </w:rPr>
        <w:t xml:space="preserve">до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, LaTeX привяжет метку к предыдущему разделу, и в тексте ссылка будет указывать на номер раздела, а не на рисунок.</w:t>
      </w:r>
    </w:p>
    <w:bookmarkStart w:id="53" w:name="fig:011"/>
    <w:p>
      <w:pPr>
        <w:pStyle w:val="CaptionedFigure"/>
      </w:pPr>
      <w:r>
        <w:drawing>
          <wp:inline>
            <wp:extent cx="3733800" cy="1338569"/>
            <wp:effectExtent b="0" l="0" r="0" t="0"/>
            <wp:docPr descr="Ошибка с \label перед \caption, код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8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с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перед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, код</w:t>
      </w:r>
    </w:p>
    <w:bookmarkEnd w:id="53"/>
    <w:p>
      <w:pPr>
        <w:pStyle w:val="BodyText"/>
      </w:pPr>
      <w:r>
        <w:rPr>
          <w:b/>
          <w:bCs/>
        </w:rPr>
        <w:t xml:space="preserve">7. Ошибка: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\label</w:t>
      </w:r>
      <w:r>
        <w:rPr>
          <w:b/>
          <w:bCs/>
        </w:rPr>
        <w:t xml:space="preserve"> </w:t>
      </w:r>
      <w:r>
        <w:rPr>
          <w:b/>
          <w:bCs/>
        </w:rPr>
        <w:t xml:space="preserve">после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\end{equation}</w:t>
      </w:r>
    </w:p>
    <w:p>
      <w:pPr>
        <w:pStyle w:val="BodyText"/>
      </w:pPr>
      <w:r>
        <w:t xml:space="preserve">Аналогичная ситуация происходит с формулами. Если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находится после</w:t>
      </w:r>
      <w:r>
        <w:t xml:space="preserve"> </w:t>
      </w:r>
      <w:r>
        <w:rPr>
          <w:rStyle w:val="VerbatimChar"/>
        </w:rPr>
        <w:t xml:space="preserve">\end{equation}</w:t>
      </w:r>
      <w:r>
        <w:t xml:space="preserve">, метка привязывается к текущему разделу, а не к уравнению. Чтобы ссылка вела на формулу,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должна находиться строго внутри окружения</w:t>
      </w:r>
      <w:r>
        <w:t xml:space="preserve"> </w:t>
      </w:r>
      <w:r>
        <w:rPr>
          <w:rStyle w:val="VerbatimChar"/>
        </w:rPr>
        <w:t xml:space="preserve">equation</w:t>
      </w:r>
      <w:r>
        <w:t xml:space="preserve">.</w:t>
      </w:r>
    </w:p>
    <w:bookmarkStart w:id="57" w:name="fig:012"/>
    <w:p>
      <w:pPr>
        <w:pStyle w:val="CaptionedFigure"/>
      </w:pPr>
      <w:r>
        <w:drawing>
          <wp:inline>
            <wp:extent cx="3733800" cy="1086450"/>
            <wp:effectExtent b="0" l="0" r="0" t="0"/>
            <wp:docPr descr="Ошибка с \label после \end{equation}, код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6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с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\end{equation}</w:t>
      </w:r>
      <w:r>
        <w:t xml:space="preserve">, код</w:t>
      </w:r>
    </w:p>
    <w:bookmarkEnd w:id="57"/>
    <w:bookmarkEnd w:id="58"/>
    <w:bookmarkStart w:id="5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работы мы научились подключать графические файлы в LaTeX, управлять их размерами и ориентацией, а также освоили работу с плавающими объектами и перекрестными ссылками. Были выявлены типичные ошибки при размещении меток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 понята необходимость многократной компиляции для корректной работы ссылок.</w:t>
      </w:r>
    </w:p>
    <w:bookmarkEnd w:id="59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Start w:id="61" w:name="ref-graphicx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The LaTeX Project Team.</w:t>
      </w:r>
      <w:r>
        <w:t xml:space="preserve"> </w:t>
      </w:r>
      <w:hyperlink r:id="rId60">
        <w:r>
          <w:rPr>
            <w:rStyle w:val="Hyperlink"/>
          </w:rPr>
          <w:t xml:space="preserve">Packages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«graphics»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bundle: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«graphicx»</w:t>
        </w:r>
      </w:hyperlink>
      <w:r>
        <w:t xml:space="preserve">. CTAN, 2023.</w:t>
      </w:r>
    </w:p>
    <w:bookmarkEnd w:id="61"/>
    <w:bookmarkStart w:id="63" w:name="ref-lipsum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Happel P.</w:t>
      </w:r>
      <w:r>
        <w:t xml:space="preserve"> </w:t>
      </w:r>
      <w:hyperlink r:id="rId62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«lipsum»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package: Generate dummy text</w:t>
        </w:r>
      </w:hyperlink>
      <w:r>
        <w:t xml:space="preserve">. CTAN, 2021.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hyperlink" Id="rId60" Target="https://ctan.org/pkg/graphicx" TargetMode="External" /><Relationship Type="http://schemas.openxmlformats.org/officeDocument/2006/relationships/hyperlink" Id="rId62" Target="https://ctan.org/pkg/lipsu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ctan.org/pkg/graphicx" TargetMode="External" /><Relationship Type="http://schemas.openxmlformats.org/officeDocument/2006/relationships/hyperlink" Id="rId62" Target="https://ctan.org/pkg/lipsu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№4</dc:title>
  <dc:creator>Морозова Ульяна</dc:creator>
  <dc:language>ru-RU</dc:language>
  <cp:keywords/>
  <dcterms:created xsi:type="dcterms:W3CDTF">2026-10-22T21:14:44Z</dcterms:created>
  <dcterms:modified xsi:type="dcterms:W3CDTF">2026-10-22T21:14:44Z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options">
    <vt:lpwstr/>
  </property>
  <property fmtid="{D5CDD505-2E9C-101B-9397-08002B2CF9AE}" pid="5" name="biblio-style">
    <vt:lpwstr>gost-numeric</vt:lpwstr>
  </property>
  <property fmtid="{D5CDD505-2E9C-101B-9397-08002B2CF9AE}" pid="6" name="bibliography">
    <vt:lpwstr>bib/cite.bib</vt:lpwstr>
  </property>
  <property fmtid="{D5CDD505-2E9C-101B-9397-08002B2CF9AE}" pid="7" name="csl">
    <vt:lpwstr>pandoc/csl/gost-r-7-0-5-2008-numeric.csl</vt:lpwstr>
  </property>
  <property fmtid="{D5CDD505-2E9C-101B-9397-08002B2CF9AE}" pid="8" name="documentclass">
    <vt:lpwstr>scrreprt</vt:lpwstr>
  </property>
  <property fmtid="{D5CDD505-2E9C-101B-9397-08002B2CF9AE}" pid="9" name="figureTitle">
    <vt:lpwstr>Рис.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ndent">
    <vt:lpwstr>True</vt:lpwstr>
  </property>
  <property fmtid="{D5CDD505-2E9C-101B-9397-08002B2CF9AE}" pid="13" name="linestretch">
    <vt:lpwstr>1.5</vt:lpwstr>
  </property>
  <property fmtid="{D5CDD505-2E9C-101B-9397-08002B2CF9AE}" pid="14" name="listingTitle">
    <vt:lpwstr>Листинг</vt:lpwstr>
  </property>
  <property fmtid="{D5CDD505-2E9C-101B-9397-08002B2CF9AE}" pid="15" name="lof">
    <vt:lpwstr>False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">
    <vt:lpwstr>False</vt:lpwstr>
  </property>
  <property fmtid="{D5CDD505-2E9C-101B-9397-08002B2CF9AE}" pid="19" name="lotTitle">
    <vt:lpwstr>Список таблиц</vt:lpwstr>
  </property>
  <property fmtid="{D5CDD505-2E9C-101B-9397-08002B2CF9AE}" pid="20" name="mainfont">
    <vt:lpwstr>IBM Plex Serif</vt:lpwstr>
  </property>
  <property fmtid="{D5CDD505-2E9C-101B-9397-08002B2CF9AE}" pid="21" name="mainfontoptions">
    <vt:lpwstr>Ligatures=Common,Ligatures=TeX,Scale=0.94</vt:lpwstr>
  </property>
  <property fmtid="{D5CDD505-2E9C-101B-9397-08002B2CF9AE}" pid="22" name="mathfont">
    <vt:lpwstr>STIX Two Math</vt:lpwstr>
  </property>
  <property fmtid="{D5CDD505-2E9C-101B-9397-08002B2CF9AE}" pid="23" name="mathfontoptions">
    <vt:lpwstr/>
  </property>
  <property fmtid="{D5CDD505-2E9C-101B-9397-08002B2CF9AE}" pid="24" name="monofont">
    <vt:lpwstr>IBM Plex Mono</vt:lpwstr>
  </property>
  <property fmtid="{D5CDD505-2E9C-101B-9397-08002B2CF9AE}" pid="25" name="monofontoptions">
    <vt:lpwstr>Scale=MatchLowercase,Scale=0.94,FakeStretch=0.9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eference-section-title">
    <vt:lpwstr>Список литературы</vt:lpwstr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