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23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bookmarkStart w:id="65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Start w:id="64" w:name="выполнение-лабораторной-работы"/>
    <w:p>
      <w:pPr>
        <w:pStyle w:val="Heading2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Выполним все примеры, приведенные в первой части описания лабораторной работы (рис.1-15)</w:t>
      </w:r>
    </w:p>
    <w:p>
      <w:pPr>
        <w:pStyle w:val="CaptionedFigure"/>
      </w:pPr>
      <w:r>
        <w:drawing>
          <wp:inline>
            <wp:extent cx="5334000" cy="1032387"/>
            <wp:effectExtent b="0" l="0" r="0" t="0"/>
            <wp:docPr descr="Пример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</w:t>
      </w:r>
    </w:p>
    <w:p>
      <w:pPr>
        <w:pStyle w:val="CaptionedFigure"/>
      </w:pPr>
      <w:r>
        <w:drawing>
          <wp:inline>
            <wp:extent cx="5334000" cy="1725935"/>
            <wp:effectExtent b="0" l="0" r="0" t="0"/>
            <wp:docPr descr="Пример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2</w:t>
      </w:r>
    </w:p>
    <w:p>
      <w:pPr>
        <w:pStyle w:val="CaptionedFigure"/>
      </w:pPr>
      <w:r>
        <w:drawing>
          <wp:inline>
            <wp:extent cx="5334000" cy="885356"/>
            <wp:effectExtent b="0" l="0" r="0" t="0"/>
            <wp:docPr descr="Пример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3</w:t>
      </w:r>
    </w:p>
    <w:p>
      <w:pPr>
        <w:pStyle w:val="CaptionedFigure"/>
      </w:pPr>
      <w:r>
        <w:drawing>
          <wp:inline>
            <wp:extent cx="5334000" cy="912090"/>
            <wp:effectExtent b="0" l="0" r="0" t="0"/>
            <wp:docPr descr="Пример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4</w:t>
      </w:r>
    </w:p>
    <w:p>
      <w:pPr>
        <w:pStyle w:val="CaptionedFigure"/>
      </w:pPr>
      <w:r>
        <w:drawing>
          <wp:inline>
            <wp:extent cx="5334000" cy="1648690"/>
            <wp:effectExtent b="0" l="0" r="0" t="0"/>
            <wp:docPr descr="Пример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5</w:t>
      </w:r>
    </w:p>
    <w:p>
      <w:pPr>
        <w:pStyle w:val="CaptionedFigure"/>
      </w:pPr>
      <w:r>
        <w:drawing>
          <wp:inline>
            <wp:extent cx="5334000" cy="1227426"/>
            <wp:effectExtent b="0" l="0" r="0" t="0"/>
            <wp:docPr descr="Пример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6</w:t>
      </w:r>
    </w:p>
    <w:p>
      <w:pPr>
        <w:pStyle w:val="CaptionedFigure"/>
      </w:pPr>
      <w:r>
        <w:drawing>
          <wp:inline>
            <wp:extent cx="5334000" cy="613103"/>
            <wp:effectExtent b="0" l="0" r="0" t="0"/>
            <wp:docPr descr="Пример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7</w:t>
      </w:r>
    </w:p>
    <w:p>
      <w:pPr>
        <w:pStyle w:val="CaptionedFigure"/>
      </w:pPr>
      <w:r>
        <w:drawing>
          <wp:inline>
            <wp:extent cx="5334000" cy="1074157"/>
            <wp:effectExtent b="0" l="0" r="0" t="0"/>
            <wp:docPr descr="Пример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8</w:t>
      </w:r>
    </w:p>
    <w:p>
      <w:pPr>
        <w:pStyle w:val="CaptionedFigure"/>
      </w:pPr>
      <w:r>
        <w:drawing>
          <wp:inline>
            <wp:extent cx="5334000" cy="1474258"/>
            <wp:effectExtent b="0" l="0" r="0" t="0"/>
            <wp:docPr descr="Пример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9</w:t>
      </w:r>
    </w:p>
    <w:p>
      <w:pPr>
        <w:pStyle w:val="CaptionedFigure"/>
      </w:pPr>
      <w:r>
        <w:drawing>
          <wp:inline>
            <wp:extent cx="5334000" cy="509673"/>
            <wp:effectExtent b="0" l="0" r="0" t="0"/>
            <wp:docPr descr="Пример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10</w:t>
      </w:r>
    </w:p>
    <w:p>
      <w:pPr>
        <w:pStyle w:val="CaptionedFigure"/>
      </w:pPr>
      <w:r>
        <w:drawing>
          <wp:inline>
            <wp:extent cx="5334000" cy="1183178"/>
            <wp:effectExtent b="0" l="0" r="0" t="0"/>
            <wp:docPr descr="Пример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11</w:t>
      </w:r>
    </w:p>
    <w:p>
      <w:pPr>
        <w:pStyle w:val="CaptionedFigure"/>
      </w:pPr>
      <w:r>
        <w:drawing>
          <wp:inline>
            <wp:extent cx="5334000" cy="670874"/>
            <wp:effectExtent b="0" l="0" r="0" t="0"/>
            <wp:docPr descr="Пример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12</w:t>
      </w:r>
    </w:p>
    <w:p>
      <w:pPr>
        <w:pStyle w:val="CaptionedFigure"/>
      </w:pPr>
      <w:r>
        <w:drawing>
          <wp:inline>
            <wp:extent cx="5245100" cy="812800"/>
            <wp:effectExtent b="0" l="0" r="0" t="0"/>
            <wp:docPr descr="Пример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13</w:t>
      </w:r>
    </w:p>
    <w:p>
      <w:pPr>
        <w:pStyle w:val="CaptionedFigure"/>
      </w:pPr>
      <w:r>
        <w:drawing>
          <wp:inline>
            <wp:extent cx="5334000" cy="232722"/>
            <wp:effectExtent b="0" l="0" r="0" t="0"/>
            <wp:docPr descr="Пример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14</w:t>
      </w:r>
    </w:p>
    <w:p>
      <w:pPr>
        <w:pStyle w:val="CaptionedFigure"/>
      </w:pPr>
      <w:r>
        <w:drawing>
          <wp:inline>
            <wp:extent cx="5334000" cy="903694"/>
            <wp:effectExtent b="0" l="0" r="0" t="0"/>
            <wp:docPr descr="Пример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3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15</w:t>
      </w:r>
    </w:p>
    <w:p>
      <w:pPr>
        <w:numPr>
          <w:ilvl w:val="0"/>
          <w:numId w:val="1002"/>
        </w:numPr>
      </w:pPr>
      <w:r>
        <w:t xml:space="preserve">Выполним следующие действия.</w:t>
      </w:r>
    </w:p>
    <w:p>
      <w:pPr>
        <w:numPr>
          <w:ilvl w:val="0"/>
          <w:numId w:val="1002"/>
        </w:numPr>
      </w:pPr>
      <w:r>
        <w:t xml:space="preserve">Скопируем файл /usr/include/sys/io.h в домашний каталог и назовите его</w:t>
      </w:r>
      <w:r>
        <w:t xml:space="preserve"> </w:t>
      </w:r>
      <w:r>
        <w:t xml:space="preserve">equipment (рис.16).</w:t>
      </w:r>
    </w:p>
    <w:p>
      <w:pPr>
        <w:pStyle w:val="CaptionedFigure"/>
      </w:pPr>
      <w:r>
        <w:drawing>
          <wp:inline>
            <wp:extent cx="5334000" cy="1124206"/>
            <wp:effectExtent b="0" l="0" r="0" t="0"/>
            <wp:docPr descr="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создим директорию ~/ski.plases (рис.17). Переместим файл equipment в каталог ~/ski.plases</w:t>
      </w:r>
    </w:p>
    <w:p>
      <w:pPr>
        <w:pStyle w:val="CaptionedFigure"/>
      </w:pPr>
      <w:r>
        <w:drawing>
          <wp:inline>
            <wp:extent cx="5334000" cy="640720"/>
            <wp:effectExtent b="0" l="0" r="0" t="0"/>
            <wp:docPr descr="Создание директории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numPr>
          <w:ilvl w:val="0"/>
          <w:numId w:val="1004"/>
        </w:numPr>
        <w:pStyle w:val="Compact"/>
      </w:pPr>
      <w:r>
        <w:t xml:space="preserve">Переименуем файл ~/ski.plases/equipment в ~/ski.plases/equiplist (рис.19).</w:t>
      </w:r>
    </w:p>
    <w:p>
      <w:pPr>
        <w:pStyle w:val="CaptionedFigure"/>
      </w:pPr>
      <w:r>
        <w:drawing>
          <wp:inline>
            <wp:extent cx="5334000" cy="485657"/>
            <wp:effectExtent b="0" l="0" r="0" t="0"/>
            <wp:docPr descr="Переименование файл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Создадим в домашнем каталоге файл abc1 и скопируем его в каталог</w:t>
      </w:r>
      <w:r>
        <w:t xml:space="preserve"> </w:t>
      </w:r>
      <w:r>
        <w:t xml:space="preserve">~/ski.plases, назовем его equiplist2. Создим каталог с именем equipment в каталоге ~/ski.plases (рис.19).</w:t>
      </w:r>
    </w:p>
    <w:p>
      <w:pPr>
        <w:pStyle w:val="CaptionedFigure"/>
      </w:pPr>
      <w:r>
        <w:drawing>
          <wp:inline>
            <wp:extent cx="5334000" cy="1873480"/>
            <wp:effectExtent b="0" l="0" r="0" t="0"/>
            <wp:docPr descr="Создание файла и каталог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каталога</w:t>
      </w:r>
    </w:p>
    <w:p>
      <w:pPr>
        <w:numPr>
          <w:ilvl w:val="0"/>
          <w:numId w:val="1006"/>
        </w:numPr>
        <w:pStyle w:val="Compact"/>
      </w:pPr>
      <w:r>
        <w:t xml:space="preserve">Переместим файлы ~/ski.plases/equiplist и equiplist2 в каталог</w:t>
      </w:r>
      <w:r>
        <w:t xml:space="preserve"> </w:t>
      </w:r>
      <w:r>
        <w:t xml:space="preserve">~/ski.plases/equipment (рис.20).</w:t>
      </w:r>
    </w:p>
    <w:p>
      <w:pPr>
        <w:pStyle w:val="CaptionedFigure"/>
      </w:pPr>
      <w:r>
        <w:drawing>
          <wp:inline>
            <wp:extent cx="5334000" cy="1449376"/>
            <wp:effectExtent b="0" l="0" r="0" t="0"/>
            <wp:docPr descr="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p>
      <w:pPr>
        <w:numPr>
          <w:ilvl w:val="0"/>
          <w:numId w:val="1007"/>
        </w:numPr>
        <w:pStyle w:val="Compact"/>
      </w:pPr>
      <w:r>
        <w:t xml:space="preserve">Создадим и переместим каталог ~/newdir в каталог ~/ski.plases и назовем</w:t>
      </w:r>
      <w:r>
        <w:t xml:space="preserve"> </w:t>
      </w:r>
      <w:r>
        <w:t xml:space="preserve">его plans (рис.21).</w:t>
      </w:r>
    </w:p>
    <w:p>
      <w:pPr>
        <w:pStyle w:val="CaptionedFigure"/>
      </w:pPr>
      <w:r>
        <w:drawing>
          <wp:inline>
            <wp:extent cx="5334000" cy="1933480"/>
            <wp:effectExtent b="0" l="0" r="0" t="0"/>
            <wp:docPr descr="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каталога</w:t>
      </w:r>
    </w:p>
    <w:p>
      <w:pPr>
        <w:numPr>
          <w:ilvl w:val="0"/>
          <w:numId w:val="1008"/>
        </w:numPr>
      </w:pPr>
      <w:r>
        <w:t xml:space="preserve">Определим опции команды chmod для того, чтобы присвоить файлам и каталогам определенные права доступа:</w:t>
      </w:r>
    </w:p>
    <w:p>
      <w:pPr>
        <w:numPr>
          <w:ilvl w:val="0"/>
          <w:numId w:val="1008"/>
        </w:numPr>
      </w:pPr>
      <w:r>
        <w:t xml:space="preserve">Для каталога australia drwxr–r– (рис.22-25)</w:t>
      </w:r>
    </w:p>
    <w:p>
      <w:pPr>
        <w:pStyle w:val="FirstParagraph"/>
      </w:pPr>
      <w:r>
        <w:drawing>
          <wp:inline>
            <wp:extent cx="5334000" cy="4280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926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978400" cy="444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03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Для каталога play drwx–x–x (рис. 26-29)</w:t>
      </w:r>
    </w:p>
    <w:p>
      <w:pPr>
        <w:pStyle w:val="FirstParagraph"/>
      </w:pPr>
      <w:r>
        <w:drawing>
          <wp:inline>
            <wp:extent cx="4559300" cy="40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27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029200" cy="40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7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Для файла my_os -r-xr–r– (рис. 30)</w:t>
      </w:r>
    </w:p>
    <w:p>
      <w:pPr>
        <w:pStyle w:val="FirstParagraph"/>
      </w:pPr>
      <w:r>
        <w:drawing>
          <wp:inline>
            <wp:extent cx="5334000" cy="14769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Для файла feathers -rw-rw-r– (рис.31)</w:t>
      </w:r>
    </w:p>
    <w:p>
      <w:pPr>
        <w:pStyle w:val="FirstParagraph"/>
      </w:pPr>
      <w:r>
        <w:drawing>
          <wp:inline>
            <wp:extent cx="5334000" cy="1709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</w:pPr>
      <w:r>
        <w:t xml:space="preserve">Выполним следующие задания.</w:t>
      </w:r>
    </w:p>
    <w:p>
      <w:pPr>
        <w:numPr>
          <w:ilvl w:val="0"/>
          <w:numId w:val="1012"/>
        </w:numPr>
      </w:pPr>
      <w:r>
        <w:t xml:space="preserve">Просмотрим содержимое файла /etc/password (рис.32).</w:t>
      </w:r>
    </w:p>
    <w:p>
      <w:pPr>
        <w:pStyle w:val="CaptionedFigure"/>
      </w:pPr>
      <w:r>
        <w:drawing>
          <wp:inline>
            <wp:extent cx="5334000" cy="3661646"/>
            <wp:effectExtent b="0" l="0" r="0" t="0"/>
            <wp:docPr descr="Команда cat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cat</w:t>
      </w:r>
    </w:p>
    <w:p>
      <w:pPr>
        <w:numPr>
          <w:ilvl w:val="0"/>
          <w:numId w:val="1013"/>
        </w:numPr>
        <w:pStyle w:val="Compact"/>
      </w:pPr>
      <w:r>
        <w:t xml:space="preserve">Скопируем файл ~/feathers в файл ~/file.old (рис.33).</w:t>
      </w:r>
    </w:p>
    <w:p>
      <w:pPr>
        <w:pStyle w:val="CaptionedFigure"/>
      </w:pPr>
      <w:r>
        <w:drawing>
          <wp:inline>
            <wp:extent cx="5334000" cy="1407472"/>
            <wp:effectExtent b="0" l="0" r="0" t="0"/>
            <wp:docPr descr="Копирование" title="" id="1" name="Picture"/>
            <a:graphic>
              <a:graphicData uri="http://schemas.openxmlformats.org/drawingml/2006/picture">
                <pic:pic>
                  <pic:nvPicPr>
                    <pic:cNvPr descr="image/3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numPr>
          <w:ilvl w:val="0"/>
          <w:numId w:val="1014"/>
        </w:numPr>
        <w:pStyle w:val="Compact"/>
      </w:pPr>
      <w:r>
        <w:t xml:space="preserve">Переместим файл ~/file.old в каталог ~/play (рис.34).</w:t>
      </w:r>
    </w:p>
    <w:p>
      <w:pPr>
        <w:pStyle w:val="CaptionedFigure"/>
      </w:pPr>
      <w:r>
        <w:drawing>
          <wp:inline>
            <wp:extent cx="5334000" cy="911456"/>
            <wp:effectExtent b="0" l="0" r="0" t="0"/>
            <wp:docPr descr="Перемещение" title="" id="1" name="Picture"/>
            <a:graphic>
              <a:graphicData uri="http://schemas.openxmlformats.org/drawingml/2006/picture">
                <pic:pic>
                  <pic:nvPicPr>
                    <pic:cNvPr descr="image/3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1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numPr>
          <w:ilvl w:val="0"/>
          <w:numId w:val="1015"/>
        </w:numPr>
        <w:pStyle w:val="Compact"/>
      </w:pPr>
      <w:r>
        <w:t xml:space="preserve">Скопируем каталог ~/play в каталог ~/fun (рис.35).</w:t>
      </w:r>
    </w:p>
    <w:p>
      <w:pPr>
        <w:pStyle w:val="CaptionedFigure"/>
      </w:pPr>
      <w:r>
        <w:drawing>
          <wp:inline>
            <wp:extent cx="5334000" cy="1350379"/>
            <wp:effectExtent b="0" l="0" r="0" t="0"/>
            <wp:docPr descr="Копиров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</w:t>
      </w:r>
    </w:p>
    <w:p>
      <w:pPr>
        <w:numPr>
          <w:ilvl w:val="0"/>
          <w:numId w:val="1016"/>
        </w:numPr>
        <w:pStyle w:val="Compact"/>
      </w:pPr>
      <w:r>
        <w:t xml:space="preserve">Переместим каталог ~/fun в каталог ~/play и назовем его games (рис.36).</w:t>
      </w:r>
    </w:p>
    <w:p>
      <w:pPr>
        <w:pStyle w:val="CaptionedFigure"/>
      </w:pPr>
      <w:r>
        <w:drawing>
          <wp:inline>
            <wp:extent cx="5334000" cy="3353204"/>
            <wp:effectExtent b="0" l="0" r="0" t="0"/>
            <wp:docPr descr="Переименование каталог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3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каталога</w:t>
      </w:r>
    </w:p>
    <w:p>
      <w:pPr>
        <w:numPr>
          <w:ilvl w:val="0"/>
          <w:numId w:val="1017"/>
        </w:numPr>
        <w:pStyle w:val="Compact"/>
      </w:pPr>
      <w:r>
        <w:t xml:space="preserve">Лишим владельца файла ~/feathers права на чтение (рис.37). При попытке открыть этот файл консоль выдала ошибку, так как у нас нет доступа для чтения этого файла, тоже самое произошло, когда мы попытались скопировать файл. Вернем владельцу файла право на чтение (рис.38)</w:t>
      </w:r>
    </w:p>
    <w:p>
      <w:pPr>
        <w:pStyle w:val="CaptionedFigure"/>
      </w:pPr>
      <w:r>
        <w:drawing>
          <wp:inline>
            <wp:extent cx="5334000" cy="797718"/>
            <wp:effectExtent b="0" l="0" r="0" t="0"/>
            <wp:docPr descr="Измен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Изменние прав доступа</w:t>
      </w:r>
    </w:p>
    <w:p>
      <w:pPr>
        <w:pStyle w:val="CaptionedFigure"/>
      </w:pPr>
      <w:r>
        <w:drawing>
          <wp:inline>
            <wp:extent cx="5334000" cy="713052"/>
            <wp:effectExtent b="0" l="0" r="0" t="0"/>
            <wp:docPr descr="Измен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</w:t>
      </w:r>
    </w:p>
    <w:p>
      <w:pPr>
        <w:numPr>
          <w:ilvl w:val="0"/>
          <w:numId w:val="1018"/>
        </w:numPr>
        <w:pStyle w:val="Compact"/>
      </w:pPr>
      <w:r>
        <w:t xml:space="preserve">Лишим владельца каталога ~/play права на выполнение (рис.39) и попробуем перейти в этот каталог, что успешно получилось. Вернем права на выполнение (рис.40).</w:t>
      </w:r>
    </w:p>
    <w:p>
      <w:pPr>
        <w:pStyle w:val="CaptionedFigure"/>
      </w:pPr>
      <w:r>
        <w:drawing>
          <wp:inline>
            <wp:extent cx="5334000" cy="842794"/>
            <wp:effectExtent b="0" l="0" r="0" t="0"/>
            <wp:docPr descr="Измен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Изменние прав доступа</w:t>
      </w:r>
    </w:p>
    <w:p>
      <w:pPr>
        <w:pStyle w:val="CaptionedFigure"/>
      </w:pPr>
      <w:r>
        <w:drawing>
          <wp:inline>
            <wp:extent cx="5334000" cy="424295"/>
            <wp:effectExtent b="0" l="0" r="0" t="0"/>
            <wp:docPr descr="Измен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Изменние прав доступа</w:t>
      </w:r>
    </w:p>
    <w:p>
      <w:pPr>
        <w:numPr>
          <w:ilvl w:val="0"/>
          <w:numId w:val="1019"/>
        </w:numPr>
        <w:pStyle w:val="Compact"/>
      </w:pPr>
      <w:r>
        <w:t xml:space="preserve">С помощью команды man прочитаем о командах mount, fsck, mkfs, kill (рис.41-44).</w:t>
      </w:r>
    </w:p>
    <w:p>
      <w:pPr>
        <w:pStyle w:val="CaptionedFigure"/>
      </w:pPr>
      <w:r>
        <w:drawing>
          <wp:inline>
            <wp:extent cx="5334000" cy="3884176"/>
            <wp:effectExtent b="0" l="0" r="0" t="0"/>
            <wp:docPr descr="mount" title="" id="1" name="Picture"/>
            <a:graphic>
              <a:graphicData uri="http://schemas.openxmlformats.org/drawingml/2006/picture">
                <pic:pic>
                  <pic:nvPicPr>
                    <pic:cNvPr descr="image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mount</w:t>
      </w:r>
    </w:p>
    <w:p>
      <w:pPr>
        <w:pStyle w:val="CaptionedFigure"/>
      </w:pPr>
      <w:r>
        <w:drawing>
          <wp:inline>
            <wp:extent cx="5334000" cy="3971840"/>
            <wp:effectExtent b="0" l="0" r="0" t="0"/>
            <wp:docPr descr="fsck" title="" id="1" name="Picture"/>
            <a:graphic>
              <a:graphicData uri="http://schemas.openxmlformats.org/drawingml/2006/picture">
                <pic:pic>
                  <pic:nvPicPr>
                    <pic:cNvPr descr="image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fsck</w:t>
      </w:r>
    </w:p>
    <w:p>
      <w:pPr>
        <w:pStyle w:val="CaptionedFigure"/>
      </w:pPr>
      <w:r>
        <w:drawing>
          <wp:inline>
            <wp:extent cx="5334000" cy="3988728"/>
            <wp:effectExtent b="0" l="0" r="0" t="0"/>
            <wp:docPr descr="mkfs" title="" id="1" name="Picture"/>
            <a:graphic>
              <a:graphicData uri="http://schemas.openxmlformats.org/drawingml/2006/picture">
                <pic:pic>
                  <pic:nvPicPr>
                    <pic:cNvPr descr="image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mkfs</w:t>
      </w:r>
    </w:p>
    <w:p>
      <w:pPr>
        <w:pStyle w:val="CaptionedFigure"/>
      </w:pPr>
      <w:r>
        <w:drawing>
          <wp:inline>
            <wp:extent cx="5334000" cy="3950618"/>
            <wp:effectExtent b="0" l="0" r="0" t="0"/>
            <wp:docPr descr="kill" title="" id="1" name="Picture"/>
            <a:graphic>
              <a:graphicData uri="http://schemas.openxmlformats.org/drawingml/2006/picture">
                <pic:pic>
                  <pic:nvPicPr>
                    <pic:cNvPr descr="image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kill</w:t>
      </w:r>
    </w:p>
    <w:p>
      <w:pPr>
        <w:pStyle w:val="BodyText"/>
      </w:pPr>
      <w:r>
        <w:t xml:space="preserve">Для просмотра используемых в операционной системе файловых систем можно воспользоваться командой mount без параметров.</w:t>
      </w:r>
    </w:p>
    <w:p>
      <w:pPr>
        <w:pStyle w:val="BodyText"/>
      </w:pPr>
      <w:r>
        <w:t xml:space="preserve">С помощью команды fsck можно проверить (а в ряде случаев восстановить) целостность файловой системы.</w:t>
      </w:r>
    </w:p>
    <w:p>
      <w:pPr>
        <w:pStyle w:val="BodyText"/>
      </w:pPr>
      <w:r>
        <w:t xml:space="preserve">Команда mkfs нужна для того, чтобы создавать файловые системы Linux.</w:t>
      </w:r>
    </w:p>
    <w:p>
      <w:pPr>
        <w:pStyle w:val="BodyText"/>
      </w:pPr>
      <w:r>
        <w:t xml:space="preserve">Команда kill</w:t>
      </w:r>
      <w:r>
        <w:t xml:space="preserve"> </w:t>
      </w:r>
      <w:r>
        <w:t xml:space="preserve">“</w:t>
      </w:r>
      <w:r>
        <w:t xml:space="preserve">убивает</w:t>
      </w:r>
      <w:r>
        <w:t xml:space="preserve">”</w:t>
      </w:r>
      <w:r>
        <w:t xml:space="preserve"> </w:t>
      </w:r>
      <w:r>
        <w:t xml:space="preserve">запущенные рабочие процессы.</w:t>
      </w:r>
    </w:p>
    <w:bookmarkEnd w:id="64"/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каталогов,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66"/>
    <w:bookmarkStart w:id="68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20"/>
        </w:numPr>
      </w:pPr>
      <w:r>
        <w:t xml:space="preserve">Чтобы узнать, какие файловые системы существуют на жёстком диске моего компьютера, использую команду «df-Th». Из рисунка видно, что на моем компьютере есть следующие файловые системы: dev tmpfs,tmpfs,ext4,iso9660. dev 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пакетов/образов.Предполагает наличие достаточного объёма виртуальной памяти.Файловая система tmpfs 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данных.Характеристики:максимальный размер файла: 16 TB; максимальный размер раздела: 16TB;максимальный размер имени файла: 255 символов.Рекомендации по использованию:наилучший выбор дляSSD; наилучшая производительность по сравнению с предыдущимиEtx-системами;она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20"/>
        </w:numPr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− корень. 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 Только пользователь root имеет право читать и изменять файлы в этом каталоге.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/BIN</w:t>
      </w:r>
      <w:r>
        <w:t xml:space="preserve">”</w:t>
      </w:r>
      <w:r>
        <w:t xml:space="preserve"> </w:t>
      </w:r>
      <w:r>
        <w:t xml:space="preserve">– бинарные файлы пользователя. 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/SBIN</w:t>
      </w:r>
      <w:r>
        <w:t xml:space="preserve">”</w:t>
      </w:r>
      <w:r>
        <w:t xml:space="preserve"> </w:t>
      </w:r>
      <w:r>
        <w:t xml:space="preserve">– системные испольняемые файлы. Так же как и</w:t>
      </w:r>
      <w:r>
        <w:t xml:space="preserve"> </w:t>
      </w:r>
      <w:r>
        <w:t xml:space="preserve">“</w:t>
      </w:r>
      <w:r>
        <w:t xml:space="preserve">/bin</w:t>
      </w:r>
      <w:r>
        <w:t xml:space="preserve">”</w:t>
      </w:r>
      <w:r>
        <w:t xml:space="preserve">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/ETC</w:t>
      </w:r>
      <w:r>
        <w:t xml:space="preserve">”</w:t>
      </w:r>
      <w:r>
        <w:t xml:space="preserve"> </w:t>
      </w:r>
      <w:r>
        <w:t xml:space="preserve">– 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/DEV</w:t>
      </w:r>
      <w:r>
        <w:t xml:space="preserve">”</w:t>
      </w:r>
      <w:r>
        <w:t xml:space="preserve"> </w:t>
      </w:r>
      <w:r>
        <w:t xml:space="preserve">– 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/PROC</w:t>
      </w:r>
      <w:r>
        <w:t xml:space="preserve">”</w:t>
      </w:r>
      <w:r>
        <w:t xml:space="preserve"> </w:t>
      </w:r>
      <w:r>
        <w:t xml:space="preserve">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– переменные файлы. Название каталога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/TMP</w:t>
      </w:r>
      <w:r>
        <w:t xml:space="preserve">”</w:t>
      </w:r>
      <w:r>
        <w:t xml:space="preserve"> </w:t>
      </w:r>
      <w:r>
        <w:t xml:space="preserve">– 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/USR</w:t>
      </w:r>
      <w:r>
        <w:t xml:space="preserve">”</w:t>
      </w:r>
      <w:r>
        <w:t xml:space="preserve"> </w:t>
      </w:r>
      <w:r>
        <w:t xml:space="preserve">– 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/HOME</w:t>
      </w:r>
      <w:r>
        <w:t xml:space="preserve">”</w:t>
      </w:r>
      <w:r>
        <w:t xml:space="preserve"> </w:t>
      </w:r>
      <w:r>
        <w:t xml:space="preserve">– домашняя папка. 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/BOOT</w:t>
      </w:r>
      <w:r>
        <w:t xml:space="preserve">”</w:t>
      </w:r>
      <w:r>
        <w:t xml:space="preserve"> </w:t>
      </w:r>
      <w:r>
        <w:t xml:space="preserve">– файлы загрузчика. Содержит все файлы,связанные с загрузчиком системы. Это ядро vmlinuz, образ initrd, а также файлы загрузчика, находящие в каталоге /boot/grub.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/LIB</w:t>
      </w:r>
      <w:r>
        <w:t xml:space="preserve">”</w:t>
      </w:r>
      <w:r>
        <w:t xml:space="preserve"> </w:t>
      </w:r>
      <w:r>
        <w:t xml:space="preserve">– системные библиотеки. Содержит файлы системных библиотек, которые используются исполняемыми файлами в каталогах /bin и /sbin.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/OPT</w:t>
      </w:r>
      <w:r>
        <w:t xml:space="preserve">”</w:t>
      </w:r>
      <w:r>
        <w:t xml:space="preserve"> </w:t>
      </w:r>
      <w:r>
        <w:t xml:space="preserve">– 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/MNT</w:t>
      </w:r>
      <w:r>
        <w:t xml:space="preserve">”</w:t>
      </w:r>
      <w:r>
        <w:t xml:space="preserve"> </w:t>
      </w:r>
      <w:r>
        <w:t xml:space="preserve">– монтирование. В этот каталог системные администраторы могут монтировать внешние или дополнительные файловые системы.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/MEDIA</w:t>
      </w:r>
      <w:r>
        <w:t xml:space="preserve">”</w:t>
      </w:r>
      <w:r>
        <w:t xml:space="preserve"> </w:t>
      </w:r>
      <w:r>
        <w:t xml:space="preserve">–съемные носители. 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/SRV</w:t>
      </w:r>
      <w:r>
        <w:t xml:space="preserve">”</w:t>
      </w:r>
      <w:r>
        <w:t xml:space="preserve"> </w:t>
      </w:r>
      <w:r>
        <w:t xml:space="preserve">– сервер. В этом каталоге содержатся файлы серверов и сервисов.</w:t>
      </w:r>
    </w:p>
    <w:p>
      <w:pPr>
        <w:numPr>
          <w:ilvl w:val="0"/>
          <w:numId w:val="1021"/>
        </w:numPr>
        <w:pStyle w:val="Compact"/>
      </w:pPr>
      <w:r>
        <w:t xml:space="preserve">“</w:t>
      </w:r>
      <w:r>
        <w:t xml:space="preserve">/RUN</w:t>
      </w:r>
      <w:r>
        <w:t xml:space="preserve">”</w:t>
      </w:r>
      <w:r>
        <w:t xml:space="preserve"> </w:t>
      </w:r>
      <w:r>
        <w:t xml:space="preserve">-процессыКаталог,содержащий PID файлы процессов, похожий на</w:t>
      </w:r>
      <w:r>
        <w:t xml:space="preserve"> </w:t>
      </w:r>
      <w:r>
        <w:t xml:space="preserve">“</w:t>
      </w:r>
      <w:r>
        <w:t xml:space="preserve">/var/run</w:t>
      </w:r>
      <w:r>
        <w:t xml:space="preserve">”</w:t>
      </w:r>
      <w:r>
        <w:t xml:space="preserve">, но в отличие от него, он размещен в TMPFS, а поэтому после перезагрузки все файлы теряются.</w:t>
      </w:r>
    </w:p>
    <w:p>
      <w:pPr>
        <w:numPr>
          <w:ilvl w:val="0"/>
          <w:numId w:val="1022"/>
        </w:numPr>
      </w:pPr>
      <w:r>
        <w:t xml:space="preserve">Чтобы содержимое некоторой файловойсистемы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22"/>
        </w:numPr>
      </w:pPr>
      <w:r>
        <w:t xml:space="preserve">Целостность файловой системы может быть нарушена из-за перебоевв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22"/>
        </w:numPr>
      </w:pPr>
      <w:r>
        <w:t xml:space="preserve">Файловую систему можно создать, используя команду mkfs. Ее краткое описание дано в пункте 5 в ходе выполнения заданий лабораторной работы.</w:t>
      </w:r>
    </w:p>
    <w:p>
      <w:pPr>
        <w:numPr>
          <w:ilvl w:val="0"/>
          <w:numId w:val="1022"/>
        </w:numPr>
      </w:pPr>
      <w:r>
        <w:t xml:space="preserve">ля просмотра текстовых файлов существуют следующие команды:</w:t>
      </w:r>
    </w:p>
    <w:p>
      <w:pPr>
        <w:pStyle w:val="FirstParagraph"/>
      </w:pPr>
      <w:r>
        <w:t xml:space="preserve">сat. Задача команды cat очень проста −она читает данные из файла или стандартного ввода и выводит их на экран. Синтаксис утилиты:cat [опции] файл1 файл2 …Основные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 -T–отображать табуляции в виде ^I-h–отобразить справку-v–версия утилиты</w:t>
      </w:r>
      <w:r>
        <w:t xml:space="preserve"> </w:t>
      </w:r>
      <w:r>
        <w:t xml:space="preserve">nl. Команда nl действует аналогично командеcat, новыводит еще иномера строк встолбце слева.</w:t>
      </w:r>
      <w:r>
        <w:t xml:space="preserve"> </w:t>
      </w:r>
      <w:r>
        <w:t xml:space="preserve">less. 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</w:t>
      </w:r>
      <w:r>
        <w:t xml:space="preserve"> </w:t>
      </w:r>
      <w:r>
        <w:t xml:space="preserve">head.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(–bytes) −позволяет задавать количество текста не в строках, а в байтах-n (–lines) −показывает заданное количество строк вместо 10, которые выводятся по умолчанию-q (–quiet, –silent) −выводит только текст, недобавляя к нему название файла-v (–verbose) −перед текстом выводит название файла -z (–zero-terminated) −символы перехода на новую строку заменяет символами завершения строк</w:t>
      </w:r>
      <w:r>
        <w:t xml:space="preserve"> </w:t>
      </w:r>
      <w:r>
        <w:t xml:space="preserve">tailЭта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файла–pid −используется с опцией -f, позволяет завершить работу утилиты, когда завершится указанный процесс-q −не выводить имена файлов–retry− повторять попытки открыть файл, если он недоступен-v −выводить подробную информацию о файле.</w:t>
      </w:r>
    </w:p>
    <w:p>
      <w:pPr>
        <w:numPr>
          <w:ilvl w:val="0"/>
          <w:numId w:val="1023"/>
        </w:numPr>
      </w:pPr>
      <w:r>
        <w:t xml:space="preserve">Утилита cpпозволяет полностью копировать файлы и директории.Cинтаксис:cp [опции] файл-источник файл-приемник. 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 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 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директорию.</w:t>
      </w:r>
    </w:p>
    <w:p>
      <w:pPr>
        <w:numPr>
          <w:ilvl w:val="0"/>
          <w:numId w:val="1023"/>
        </w:numPr>
      </w:pPr>
      <w:r>
        <w:t xml:space="preserve">Команда mv используется для перемещения одного или нескольких файлов (или директорий) вдругую директорию, атакже для переименования файлов идиректорий. Синтаксис:mv [-опции]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 -i −наоборот, будет спрашивать разрешение у владельца-n −отключает перезапись уже существующих объектов–strip-trailing-slashes —удаляет завершающий символ / у файла при его наличии-t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 -v −отображает сведения о каждом элементе во время обработки командыКоманда renameтакже предназначена, чтобы переименовать файл.Синтаксис:rename [опции] старое_имя новое_имя файлы. Основные опции:-v −вывести список обработанных файлов-n −тестовый режим, на самом деле никакие действия выполнены не будут -f −принудительно перезаписывать существующие файлы.</w:t>
      </w:r>
    </w:p>
    <w:p>
      <w:pPr>
        <w:numPr>
          <w:ilvl w:val="0"/>
          <w:numId w:val="1023"/>
        </w:numPr>
      </w:pPr>
      <w:r>
        <w:t xml:space="preserve">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команды:chmod режим имя_файлаРежим имеет следующие компоненты структуры и способзаписи: = установить право -лишить права + дать право r чтение w запись x выполнениеu (user) владелец файлаg (group) группа, к которой принадлежит владелец файлаo (others) все остальные.</w:t>
      </w:r>
    </w:p>
    <w:bookmarkStart w:id="67" w:name="refs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23" Target="media/rId23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2022-04-28T10:14:24Z</dcterms:created>
  <dcterms:modified xsi:type="dcterms:W3CDTF">2022-04-28T10:14:24Z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mainfont">
    <vt:lpwstr>PT Serif</vt:lpwstr>
  </property>
  <property fmtid="{D5CDD505-2E9C-101B-9397-08002B2CF9AE}" pid="16" name="mainfontoptions">
    <vt:lpwstr>Ligatures=TeX</vt:lpwstr>
  </property>
  <property fmtid="{D5CDD505-2E9C-101B-9397-08002B2CF9AE}" pid="17" name="monofont">
    <vt:lpwstr>PT Mono</vt:lpwstr>
  </property>
  <property fmtid="{D5CDD505-2E9C-101B-9397-08002B2CF9AE}" pid="18" name="monofontoptions">
    <vt:lpwstr>Scale=MatchLowercase,Scale=0.9</vt:lpwstr>
  </property>
  <property fmtid="{D5CDD505-2E9C-101B-9397-08002B2CF9AE}" pid="19" name="papersize">
    <vt:lpwstr>a4</vt:lpwstr>
  </property>
  <property fmtid="{D5CDD505-2E9C-101B-9397-08002B2CF9AE}" pid="20" name="polyglossia-lang">
    <vt:lpwstr/>
  </property>
  <property fmtid="{D5CDD505-2E9C-101B-9397-08002B2CF9AE}" pid="21" name="polyglossia-otherlangs">
    <vt:lpwstr/>
  </property>
  <property fmtid="{D5CDD505-2E9C-101B-9397-08002B2CF9AE}" pid="22" name="romanfont">
    <vt:lpwstr>PT Serif</vt:lpwstr>
  </property>
  <property fmtid="{D5CDD505-2E9C-101B-9397-08002B2CF9AE}" pid="23" name="romanfontoptions">
    <vt:lpwstr>Ligatures=TeX</vt:lpwstr>
  </property>
  <property fmtid="{D5CDD505-2E9C-101B-9397-08002B2CF9AE}" pid="24" name="sansfont">
    <vt:lpwstr>PT Sans</vt:lpwstr>
  </property>
  <property fmtid="{D5CDD505-2E9C-101B-9397-08002B2CF9AE}" pid="25" name="sansfontoptions">
    <vt:lpwstr>Ligatures=TeX,Scale=MatchLowercase</vt:lpwstr>
  </property>
  <property fmtid="{D5CDD505-2E9C-101B-9397-08002B2CF9AE}" pid="26" name="subtitle">
    <vt:lpwstr>Простейший вариант</vt:lpwstr>
  </property>
  <property fmtid="{D5CDD505-2E9C-101B-9397-08002B2CF9AE}" pid="27" name="toc-depth">
    <vt:lpwstr>2</vt:lpwstr>
  </property>
</Properties>
</file>