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Manual de KPIs: Modelo de Optimización Logística y Financiera</w:t>
      </w:r>
    </w:p>
    <w:p>
      <w:r>
        <w:t>Este documento elaborado para la presentación del TFM detalla las métricas (KPIs) clave calculadas por el optimizador, su fundamentación matemática, y la metodología subyacente para demostrar la solidez del modelo ante el tribunal.</w:t>
      </w:r>
    </w:p>
    <w:p>
      <w:pPr>
        <w:pStyle w:val="Heading2"/>
      </w:pPr>
      <w:r>
        <w:t>1. KPIs de Rendimiento Logístico Operativo</w:t>
      </w:r>
    </w:p>
    <w:p>
      <w:r>
        <w:rPr>
          <w:b/>
        </w:rPr>
        <w:t xml:space="preserve">Kilómetros Optimizados y Retornos en Vacío: </w:t>
      </w:r>
      <w:r>
        <w:t>El algoritmo VRPB (Vehicle Routing Problem with Backhauls) calcula la distancia total (Total_km) usando el motor geográfico OSRM, considerando la red de carreteras real. Una métrica vital es la reducción de 'Kilómetros de Vacío'. Un viaje tradicional (Tratamiento A) envía el camión al cliente y lo devuelve vacío al depósito. El optimizador (Tratamiento B) triangula entregas para forzar que el camión retorne con material, minimizando drásticamente la tasa de km inútiles.</w:t>
      </w:r>
    </w:p>
    <w:p>
      <w:pPr>
        <w:pStyle w:val="ListBullet"/>
      </w:pPr>
      <w:r>
        <w:t>Cálculo de Ahorro en Vacío: Porcentaje de reducción del kilometraje improductivo de la flota tras la resolución de las matrices de distancia inter-nodo (Plantas y Clientes).</w:t>
      </w:r>
    </w:p>
    <w:p>
      <w:pPr>
        <w:pStyle w:val="Heading2"/>
      </w:pPr>
      <w:r>
        <w:t>2. Modelado Financiero y Total Cost of Ownership (TCO)</w:t>
      </w:r>
    </w:p>
    <w:p>
      <w:r>
        <w:rPr>
          <w:b/>
        </w:rPr>
        <w:t xml:space="preserve">Tasa de Coste TCO Interno (€/km): </w:t>
      </w:r>
      <w:r>
        <w:t>A diferencia de modelos básicos basados puramente en coste de combustible, el sistema modela un TCO avanzado. La tasa técnica interna (aprox. 1.50 €/km) integra: CAPEX prorrateado mediante la función de Pago (PMT) incluyendo Coste Medio Ponderado del Capital (WACC), depreciación, y un horizonte de vida útil (5 años), además del OPEX (Combustible, Seguros, Mantenimiento preventivo ponderado por inflación interanual).</w:t>
      </w:r>
    </w:p>
    <w:p>
      <w:r>
        <w:rPr>
          <w:b/>
        </w:rPr>
        <w:t xml:space="preserve">Backhauling Profit (Evitado de Costo Hundido): </w:t>
      </w:r>
      <w:r>
        <w:t>Si un transportista es forzado a volver sin carga, esa distancia se considera un 'Costo Hundido'. El algoritmo monetiza los kilómetros en vacío ahorrados y los incorpora directamente al balance de ingresos operativos. Esto se muestra como '+€ Ahorro Sistémico' en el dashboard.</w:t>
      </w:r>
    </w:p>
    <w:p>
      <w:r>
        <w:rPr>
          <w:b/>
        </w:rPr>
        <w:t xml:space="preserve">Ley de Little y Dimensión de Flota: </w:t>
      </w:r>
      <w:r>
        <w:t>Para evaluar la inversión de CAPEX en la compra de camiones (Asset Heavy vs Asset Light), el motor calcula Matemáticamente los vehículos físicos usando la Ley de Little (L = λ × W), cruzando las salidas necesarias diarias contra los ciclos logísticos medios de ruta (lead time).</w:t>
      </w:r>
    </w:p>
    <w:p>
      <w:pPr>
        <w:pStyle w:val="Heading2"/>
      </w:pPr>
      <w:r>
        <w:t>3. KPI de Sostenibilidad y Emisiones GLEC v3</w:t>
      </w:r>
    </w:p>
    <w:p>
      <w:r>
        <w:rPr>
          <w:b/>
        </w:rPr>
        <w:t xml:space="preserve">CO2 Emissions (FCR Estimator): </w:t>
      </w:r>
      <w:r>
        <w:t>Superando las estimaciones volumétricas lineales, el motor implementa las directivas del Global Logistics Emissions Council (GLEC). Para vehículos pesados de 40t-44t, se usa una metodología sensible a la carga viva.</w:t>
        <w:br/>
        <w:br/>
        <w:t>El cálculo suma un suelo de emisiones en vacío (0.65 kg/km) más un ratio de intensidad (aprox. 17.3 g CO2/t-km) que fluctúa dinámicamente según el remanente de pallets a bordo. Así, una ruta de bajada (cargada) emite más que su retorno ligero, y un camión eléctrico cuenta puramente por su eficiencia energética (kWh).</w:t>
      </w:r>
    </w:p>
    <w:p>
      <w:pPr>
        <w:pStyle w:val="Heading2"/>
      </w:pPr>
      <w:r>
        <w:t>Conclusión para Defensa</w:t>
      </w:r>
    </w:p>
    <w:p>
      <w:r>
        <w:t>La superioridad de esta simulación recae en que el optimizador no minimiza meras trazas de polígonos, sino que minimiza la carga financiera de la organización logística bajo constantes macroeconómicas reales (inflación, WACC).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