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全体成果物パッケージ総覧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Requirements → Basic Design → Detailed Design → UT/IT/ST/UAT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ST-V11-PKG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v1.1 交付边界、产品定位、文档/测试结构、基线和裁剪规则。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定位冻结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成果物清单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标准/方法映射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核心/可选范围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ID/追踪规则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质量 Gate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技术许可原则</w:t>
      </w:r>
    </w:p>
    <w:p>
      <w:r/>
    </w:p>
    <w:p>
      <w:pPr>
        <w:pStyle w:val="Heading1"/>
      </w:pPr>
      <w:r>
        <w:t>1. 定位冻结</w:t>
      </w:r>
    </w:p>
    <w:p>
      <w:r>
        <w:rPr>
          <w:rFonts w:ascii="Noto Sans CJK SC" w:hAnsi="Noto Sans CJK SC" w:eastAsia="Noto Sans CJK SC"/>
        </w:rPr>
        <w:t>SandTree 的 v1.0 产品定位冻结为：Rust-first、插件化的 Sandbox &amp; Docker Control Plane。核心任务是统一管理 Sandbox 生命周期、Docker Runtime/Container 资源、Workspace/VFS、快照与树形拓扑。Agent/MCP/RAG 不属于核心，仅作为 Optional Integration Plugin。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1-1 SandTree System Context</w:t>
      </w:r>
    </w:p>
    <w:p>
      <w:pPr>
        <w:pStyle w:val="Heading1"/>
      </w:pPr>
      <w:r>
        <w:t>2. 成果物清单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成果物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要件定義書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业务/系统范围、FR、数据、接口、验收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非機能要件定義書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IPA 六大类 NFR + 项目补充可用性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システムアーキテクチャ設計書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各 Architecture View 与 ADR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04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基本設計書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画面/功能/资源/VFS/IPC/Provider/Data/Operations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05-08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詳細設計書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 模块、插件/Provider、数据/接口、安全/运维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09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OSS・Rust技術選定・License基準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Rust-first 与商业友好 OSS Gate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要件・設計追跡書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FR/NFR→基本→详细→测试追踪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tests/00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総合テスト計画書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UT/IT/ST/UAT 总体策略与 Gate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tests/01-04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各レベルテスト設計書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各测试级别设计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tests/xlsx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Test Cases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可执行测试用例与 traceability</w:t>
            </w:r>
          </w:p>
        </w:tc>
      </w:tr>
    </w:tbl>
    <w:p>
      <w:pPr>
        <w:pStyle w:val="Heading1"/>
      </w:pPr>
      <w:r>
        <w:t>3. 标准/方法映射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94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669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在本项目中的使用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IPA 共通フレーム2013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用于组织要件定義、方式/基本/详细设计、测试、运维等生命周期成果物。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IPA 要件定義ガイド第2版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用于需求定义的完整性、Stakeholder 参与、变更/管理与成果物思路。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IPA 非機能要求グレード2018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 按可用性、性能/扩展性、运维/维护、迁移、安全、环境/生态六大类组织。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ISO/IEC/IEEE 42010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用于 Context/Logical/Runtime/Deployment/Data/Security/Operations/Plugin 等 View。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项目测试模型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UT=crate/module；IT=组件/Provider/外部 runtime；ST=端到端系统；UAT=用户验收。</w:t>
            </w:r>
          </w:p>
        </w:tc>
      </w:tr>
    </w:tbl>
    <w:p>
      <w:pPr>
        <w:pStyle w:val="Heading1"/>
      </w:pPr>
      <w:r>
        <w:t>4. Core 与 Optional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Core / MUST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Optional / Plugin</w:t>
            </w:r>
          </w:p>
        </w:tc>
      </w:tr>
      <w:t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Graph / Docker Cluster / Sandbox Cluster / Workspace VFS / Snapshot-CAS / Plugin Runtime / Policy / UI+CLI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Search(Tantivy), Git(gix), MCP Adapter, Agent Observer, Code Intelligence, Remote HTTP API</w:t>
            </w:r>
          </w:p>
        </w:tc>
      </w:tr>
    </w:tbl>
    <w:p>
      <w:pPr>
        <w:pStyle w:val="Heading1"/>
      </w:pPr>
      <w:r>
        <w:t>5. ID 与追踪</w:t>
      </w:r>
    </w:p>
    <w:p>
      <w:pPr>
        <w:pStyle w:val="ListBullet"/>
      </w:pPr>
      <w:r>
        <w:rPr>
          <w:rFonts w:ascii="Noto Sans CJK SC" w:hAnsi="Noto Sans CJK SC" w:eastAsia="Noto Sans CJK SC"/>
        </w:rPr>
        <w:t>Functional Requirement: FR-xxx；Optional: FR-Oxx</w:t>
      </w:r>
    </w:p>
    <w:p>
      <w:pPr>
        <w:pStyle w:val="ListBullet"/>
      </w:pPr>
      <w:r>
        <w:rPr>
          <w:rFonts w:ascii="Noto Sans CJK SC" w:hAnsi="Noto Sans CJK SC" w:eastAsia="Noto Sans CJK SC"/>
        </w:rPr>
        <w:t>Non-functional Requirement: NFR-{A/P/O/M/S/E/U}xx</w:t>
      </w:r>
    </w:p>
    <w:p>
      <w:pPr>
        <w:pStyle w:val="ListBullet"/>
      </w:pPr>
      <w:r>
        <w:rPr>
          <w:rFonts w:ascii="Noto Sans CJK SC" w:hAnsi="Noto Sans CJK SC" w:eastAsia="Noto Sans CJK SC"/>
        </w:rPr>
        <w:t>Basic Design: BD-xx；Detailed Design: DD-xx；Test: UT/IT/ST/UAT-xxx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MUST FR 必须至少有一个实现设计和一个测试级别覆盖；UAT 覆盖用户可见核心场景。</w:t>
      </w:r>
    </w:p>
    <w:p>
      <w:pPr>
        <w:pStyle w:val="Heading1"/>
      </w:pPr>
      <w:r>
        <w:t>6.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Gate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进入条件</w:t>
            </w:r>
          </w:p>
        </w:tc>
        <w:tc>
          <w:tcPr>
            <w:tcW w:type="dxa" w:w="425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退出条件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G1 Requirements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定位冻结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 FR/NFR 无未归属 TBD；验收条件可测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G2 Basic Design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G1 pass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Architecture Views、资源/接口/数据/安全/运维基本设计完成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G3 Detailed Design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G2 pass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crate/WIT/DB/IPC/Provider/HotSwap/错误码冻结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G4 UT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代码可编译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 pass；核心模块覆盖率目标满足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G5 IT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插件/外部 runtime 可用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 provider contract 与 Docker 集成通过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G6 ST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Release Candidate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功能/性能/安全/恢复通过，无阻断缺陷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G7 UAT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 pass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核心用户验收场景通过，Release 决策</w:t>
            </w:r>
          </w:p>
        </w:tc>
      </w:tr>
    </w:tbl>
    <w:p>
      <w:pPr>
        <w:pStyle w:val="Heading1"/>
      </w:pPr>
      <w:r>
        <w:t>7. 技术/许可原则</w:t>
      </w:r>
    </w:p>
    <w:p>
      <w:pPr>
        <w:pStyle w:val="ListBullet"/>
      </w:pPr>
      <w:r>
        <w:rPr>
          <w:rFonts w:ascii="Noto Sans CJK SC" w:hAnsi="Noto Sans CJK SC" w:eastAsia="Noto Sans CJK SC"/>
        </w:rPr>
        <w:t>默认发布物优先 MIT/Apache/BSD/ISC/Zlib/CC0/0BSD/Public Domain 等商业友好许可。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Engine/Moby API 是核心对接面；Docker Desktop 仅为用户自备可选 endpoint，不作为 SandTree 的商业许可前提。</w:t>
      </w:r>
    </w:p>
    <w:p>
      <w:pPr>
        <w:pStyle w:val="ListBullet"/>
      </w:pPr>
      <w:r>
        <w:rPr>
          <w:rFonts w:ascii="Noto Sans CJK SC" w:hAnsi="Noto Sans CJK SC" w:eastAsia="Noto Sans CJK SC"/>
        </w:rPr>
        <w:t>外部工具（Multipass、Windows Sandbox、Docker Sandbox）由 Provider 调用，不默认再分发；各自许可/平台条款由安装方遵守。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Release 以 Cargo.lock、前端 lockfile、bundled binaries、SBOM、cargo-deny 为最终许可事实来源。</w:t>
      </w:r>
    </w:p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v1.1 Observation Plane 追加成果物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03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成果物</w:t>
            </w:r>
          </w:p>
        </w:tc>
        <w:tc>
          <w:tcPr>
            <w:tcW w:type="dxa" w:w="604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11_詳細設計書_ObservationPlane.docx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隔离环境观测的核心详细设计；当前 Observation 权威文档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schemas/observation_snapshot_v1.schema.json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统一 ObservationSnapshot 数据契约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schemas/sandtree_observation_v1.wit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Provider 插件接口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schemas/windows_probe_protocol_v1.md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Windows Sandbox disposable Probe bridge 协议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schemas/observation_provider_matrix.csv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Provider→Observation Mode 对应矩阵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schemas/observation_error_codes.csv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错误/降级语义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diagrams/observation_*.png/.dot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三平面、策略、可信度、Windows Probe、Docker-in-Sandbox 图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tests/SandTree_Test_Cases_v1.1.xlsx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加入 Observation Plane 的测试执行工作簿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全体成果物パッケージ総覧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