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非機能要件定義書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IPA 非機能要求グレード2018 tailoring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ST-V11-NFR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将 SandTree v1.1 非功能要求按 IPA 非機能要求グレード六大类组织，并定义可测试指标。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适配方针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可用性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性能・扩展性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运维・维护性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迁移性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安全性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系统环境・生态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项目补充可用性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度量与测试映射</w:t>
      </w:r>
    </w:p>
    <w:p>
      <w:r/>
    </w:p>
    <w:p>
      <w:pPr>
        <w:pStyle w:val="Heading1"/>
      </w:pPr>
      <w:r>
        <w:t>1. 适配方针</w:t>
      </w:r>
    </w:p>
    <w:p>
      <w:r>
        <w:rPr>
          <w:rFonts w:ascii="Noto Sans CJK SC" w:hAnsi="Noto Sans CJK SC" w:eastAsia="Noto Sans CJK SC"/>
        </w:rPr>
        <w:t>IPA 非機能要求グレード用于防止非功能要求遗漏。本项目按六大类别组织，并对本地桌面控制平面特性补充“用户可用性/认知负荷”。数值是 v1.0 工程基线，可通过 Benchmark 后变更，但必须记录 ADR 与测试影响。</w:t>
      </w:r>
    </w:p>
    <w:p>
      <w:pPr>
        <w:pStyle w:val="Heading1"/>
      </w:pPr>
      <w:r>
        <w:t>可用性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13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名称</w:t>
            </w:r>
          </w:p>
        </w:tc>
        <w:tc>
          <w:tcPr>
            <w:tcW w:type="dxa" w:w="51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NFR-A01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隔离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任一 provider/plugin 错误不得阻塞 daemon 启动或其他 provider discovery；trap/crash 应隔离。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NFR-A02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状态一致性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外部 runtime event 丢失后通过周期 reconcile 恢复最终一致。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NFR-A03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恢复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daemon 非正常退出后重启能恢复 DB，running operation 标记 interrupted 并重新 discovery。</w:t>
            </w:r>
          </w:p>
        </w:tc>
      </w:tr>
    </w:tbl>
    <w:p>
      <w:pPr>
        <w:pStyle w:val="Heading1"/>
      </w:pPr>
      <w:r>
        <w:t>性能・拡張性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13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名称</w:t>
            </w:r>
          </w:p>
        </w:tc>
        <w:tc>
          <w:tcPr>
            <w:tcW w:type="dxa" w:w="51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NFR-P01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首次可见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在 1 个本机 Docker endpoint、200 containers/resources 情况下，主拓扑首屏 P95 ≤ 2.5s。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NFR-P02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增量更新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event 到 UI resource state 更新 P95 ≤ 1.0s（本机 endpoint）。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NFR-P03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规模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单 daemon 支持至少 10 provider instances、2,000 resources、100,000 file metadata entries。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NFR-P04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HotSwap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插件 generation route swap 本身 ≤ 250ms；health/migration 时间不计入 atomic swap。</w:t>
            </w:r>
          </w:p>
        </w:tc>
      </w:tr>
    </w:tbl>
    <w:p>
      <w:pPr>
        <w:pStyle w:val="Heading1"/>
      </w:pPr>
      <w:r>
        <w:t>運用・保守性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13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名称</w:t>
            </w:r>
          </w:p>
        </w:tc>
        <w:tc>
          <w:tcPr>
            <w:tcW w:type="dxa" w:w="51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NFR-O01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可观测性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所有 operation 有 correlation_id、structured log、duration、result；支持诊断包。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NFR-O02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可维护性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Kernel 不引用具体 Docker Sandbox/Multipass/Windows Sandbox SDK 类型；跨边界仅 domain DTO/WIT。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NFR-O03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Rust-first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业务 Core、Provider Host、Docker Provider、CLI、Daemon 均以 Rust 为主要实现语言；例外必须记录 ADR。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NFR-O04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测试性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Core trait/WIT contract 可用 fake provider；所有 MUST FR 至少映射一个 IT/ST/UAT 或 UT。</w:t>
            </w:r>
          </w:p>
        </w:tc>
      </w:tr>
    </w:tbl>
    <w:p>
      <w:pPr>
        <w:pStyle w:val="Heading1"/>
      </w:pPr>
      <w:r>
        <w:t>移行性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13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名称</w:t>
            </w:r>
          </w:p>
        </w:tc>
        <w:tc>
          <w:tcPr>
            <w:tcW w:type="dxa" w:w="51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NFR-M01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DB migration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Schema migration 有版本、备份点、事务边界和回滚说明；失败不破坏旧数据。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NFR-M02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state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HotSwap state migration 必须 versioned；不兼容时拒绝切换并保留旧 generation。</w:t>
            </w:r>
          </w:p>
        </w:tc>
      </w:tr>
    </w:tbl>
    <w:p>
      <w:pPr>
        <w:pStyle w:val="Heading1"/>
      </w:pPr>
      <w:r>
        <w:t>セキュリティ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13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名称</w:t>
            </w:r>
          </w:p>
        </w:tc>
        <w:tc>
          <w:tcPr>
            <w:tcW w:type="dxa" w:w="51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NFR-S01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最小权限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daemon 默认 per-user、非管理员；管理员操作由底层平台显式触发。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NFR-S02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Capability deny-by-default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host fs/network/exec/secret 权限默认拒绝；按最小 scope 授权。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NFR-S03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Secret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secret 使用 OS secret store/credential reference；DB/log/export 不保存明文 secret。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NFR-S04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endpoint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对 tcp:// 非 TLS endpoint 显示高风险警告；不得默认开启 2375。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NFR-S05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Path traversal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所有 VFS path normalize 并阻止 ..、reparse/symlink 越权逃逸 root。</w:t>
            </w:r>
          </w:p>
        </w:tc>
      </w:tr>
    </w:tbl>
    <w:p>
      <w:pPr>
        <w:pStyle w:val="Heading1"/>
      </w:pPr>
      <w:r>
        <w:t>システム環境・エコロジー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13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名称</w:t>
            </w:r>
          </w:p>
        </w:tc>
        <w:tc>
          <w:tcPr>
            <w:tcW w:type="dxa" w:w="51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NFR-E01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Windows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Desktop Baseline 支持 Windows 11 x64；Windows Sandbox provider 仅在受支持 edition/feature 启用。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NFR-E02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runtime independence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核心对接 Docker Engine API/Moby-compatible endpoint；Docker Desktop 仅作为用户自备可选 endpoint，不作为许可前提。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NFR-E03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OSS/商业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默认发布物仅允许商业友好 OSS/公有领域依赖；copyleft/source-available 进入发布物需显式法律/架构例外。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NFR-E04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License Gate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CI/Release 对 Cargo.lock、bundled binaries、frontend deps 运行 license/source/advisory gate，并产出 SBOM。</w:t>
            </w:r>
          </w:p>
        </w:tc>
      </w:tr>
    </w:tbl>
    <w:p>
      <w:pPr>
        <w:pStyle w:val="Heading1"/>
      </w:pPr>
      <w:r>
        <w:t>ユーザビリティ(项目补充)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13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名称</w:t>
            </w:r>
          </w:p>
        </w:tc>
        <w:tc>
          <w:tcPr>
            <w:tcW w:type="dxa" w:w="51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要求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NFR-U01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认知负荷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 UI 树默认只显示 Host→Sandbox/Docker→关键资源；高级 relation/metrics 按需展开。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NFR-U02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危险操作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destroy/remove/prune 等不可逆动作必须明确资源范围并二次确认。</w:t>
            </w:r>
          </w:p>
        </w:tc>
      </w:tr>
    </w:tbl>
    <w:p>
      <w:pPr>
        <w:pStyle w:val="Heading1"/>
      </w:pPr>
      <w:r>
        <w:t>度量与测试映射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3969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测量位置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主要测试级别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首屏 P95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Daemon discovery → UI tree visible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 Performance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event latency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event timestamp → UI applied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IT/ST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hot swap atomic route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old/new generation route timestamps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IT/ST Recovery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crash isolation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worker forced crash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IT/ST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license gate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CI artifact / SBOM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UT/IT release gate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path traversal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VFS provider contract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UT/IT Security</w:t>
            </w:r>
          </w:p>
        </w:tc>
      </w:tr>
    </w:tbl>
    <w:p>
      <w:pPr>
        <w:pStyle w:val="Heading1"/>
      </w:pPr>
      <w:r>
        <w:t>参考资料与许可核对来源</w:t>
      </w:r>
    </w:p>
    <w:p>
      <w:r>
        <w:rPr>
          <w:rFonts w:ascii="Noto Sans CJK SC" w:hAnsi="Noto Sans CJK SC" w:eastAsia="Noto Sans CJK SC"/>
        </w:rPr>
        <w:t>IPA 资料用于过程/成果物组织；Architecture View 使用 ISO 42010 的 viewpoint/view 思路作为项目补充。OSS 许可清单是工程基线，不替代法律意见；发行时必须以锁定版本、SBOM 与 cargo-deny/前端依赖扫描结果为准。</w:t>
      </w:r>
    </w:p>
    <w:p>
      <w:r>
        <w:rPr>
          <w:rFonts w:ascii="Noto Sans CJK SC" w:hAnsi="Noto Sans CJK SC" w:eastAsia="Noto Sans CJK SC"/>
        </w:rPr>
        <w:t>IPA 共通フレーム2013: https://www.ipa.go.jp/publish/secbooks20130304.html — 系统/软件/服务从构想到废弃的生命周期活动、任务与角色的共通框架。</w:t>
      </w:r>
    </w:p>
    <w:p>
      <w:r>
        <w:rPr>
          <w:rFonts w:ascii="Noto Sans CJK SC" w:hAnsi="Noto Sans CJK SC" w:eastAsia="Noto Sans CJK SC"/>
        </w:rPr>
        <w:t>IPA ユーザのための要件定義ガイド 第2版: https://www.ipa.go.jp/archive/publish/tn20191220.html — 需求定义、需求管理、主要成果物与问题解决实践。</w:t>
      </w:r>
    </w:p>
    <w:p>
      <w:r>
        <w:rPr>
          <w:rFonts w:ascii="Noto Sans CJK SC" w:hAnsi="Noto Sans CJK SC" w:eastAsia="Noto Sans CJK SC"/>
        </w:rPr>
        <w:t>IPA 非機能要求グレード2018: https://www.ipa.go.jp/archive/digital/iot-en-ci/jyouryuu/hikinou/ent03-b.html — 以六大类组织非功能需求并形成用户/开发方共识。</w:t>
      </w:r>
    </w:p>
    <w:p>
      <w:r>
        <w:rPr>
          <w:rFonts w:ascii="Noto Sans CJK SC" w:hAnsi="Noto Sans CJK SC" w:eastAsia="Noto Sans CJK SC"/>
        </w:rPr>
        <w:t>ISO/IEC/IEEE 42010:2022: https://www.iso.org/standard/74393.html — Architecture Description 的 Viewpoint/View 概念；用于补充 IPA 系统方式设计的表达。</w:t>
      </w:r>
    </w:p>
    <w:p>
      <w:r>
        <w:rPr>
          <w:rFonts w:ascii="Noto Sans CJK SC" w:hAnsi="Noto Sans CJK SC" w:eastAsia="Noto Sans CJK SC"/>
        </w:rPr>
        <w:t>WIT Reference / WebAssembly Component Model: https://component-model.bytecodealliance.org/design/wit.html — WIT 定义组件之间的接口契约；用于 SandTree Plugin ABI。</w:t>
      </w:r>
    </w:p>
    <w:p>
      <w:r>
        <w:rPr>
          <w:rFonts w:ascii="Noto Sans CJK SC" w:hAnsi="Noto Sans CJK SC" w:eastAsia="Noto Sans CJK SC"/>
        </w:rPr>
        <w:t>Moby / Docker Engine: https://github.com/moby/moby — Moby/Docker Engine 开源实现，Apache-2.0。</w:t>
      </w:r>
    </w:p>
    <w:p>
      <w:r>
        <w:rPr>
          <w:rFonts w:ascii="Noto Sans CJK SC" w:hAnsi="Noto Sans CJK SC" w:eastAsia="Noto Sans CJK SC"/>
        </w:rPr>
        <w:t>Docker CLI: https://github.com/docker/cli — Docker CLI，Apache-2.0。</w:t>
      </w:r>
    </w:p>
    <w:p>
      <w:r>
        <w:rPr>
          <w:rFonts w:ascii="Noto Sans CJK SC" w:hAnsi="Noto Sans CJK SC" w:eastAsia="Noto Sans CJK SC"/>
        </w:rPr>
        <w:t>Docker Compose: https://github.com/docker/compose — Docker Compose v2，Apache-2.0。</w:t>
      </w:r>
    </w:p>
    <w:p>
      <w:r>
        <w:rPr>
          <w:rFonts w:ascii="Noto Sans CJK SC" w:hAnsi="Noto Sans CJK SC" w:eastAsia="Noto Sans CJK SC"/>
        </w:rPr>
        <w:t>Docker Desktop License: https://docs.docker.com/subscription-billing/desktop-license/ — Docker Desktop 有单独商业许可边界；SandTree 不将其作为必需或可再分发依赖。</w:t>
      </w:r>
    </w:p>
    <w:p>
      <w:r>
        <w:rPr>
          <w:rFonts w:ascii="Noto Sans CJK SC" w:hAnsi="Noto Sans CJK SC" w:eastAsia="Noto Sans CJK SC"/>
        </w:rPr>
        <w:t>Bollard: https://github.com/fussybeaver/bollard — Rust Docker/Podman API client，Apache-2.0；支持 Unix Socket/Windows Named Pipe。</w:t>
      </w:r>
    </w:p>
    <w:p>
      <w:r>
        <w:rPr>
          <w:rFonts w:ascii="Noto Sans CJK SC" w:hAnsi="Noto Sans CJK SC" w:eastAsia="Noto Sans CJK SC"/>
        </w:rPr>
        <w:t>gitoxide / gix: https://github.com/GitoxideLabs/gitoxide — Rust 实现 Git；MIT OR Apache-2.0。</w:t>
      </w:r>
    </w:p>
    <w:p>
      <w:r>
        <w:rPr>
          <w:rFonts w:ascii="Noto Sans CJK SC" w:hAnsi="Noto Sans CJK SC" w:eastAsia="Noto Sans CJK SC"/>
        </w:rPr>
        <w:t>Tantivy: https://github.com/quickwit-oss/tantivy — Rust 全文检索库；MIT；作为可选 Search Plugin。</w:t>
      </w:r>
    </w:p>
    <w:p>
      <w:r>
        <w:rPr>
          <w:rFonts w:ascii="Noto Sans CJK SC" w:hAnsi="Noto Sans CJK SC" w:eastAsia="Noto Sans CJK SC"/>
        </w:rPr>
        <w:t>SQLite Public Domain: https://www.sqlite.org/copyright.html — SQLite 核心代码 Public Domain，可用于商业产品。</w:t>
      </w:r>
    </w:p>
    <w:p>
      <w:r>
        <w:rPr>
          <w:rFonts w:ascii="Noto Sans CJK SC" w:hAnsi="Noto Sans CJK SC" w:eastAsia="Noto Sans CJK SC"/>
        </w:rPr>
        <w:t>cargo-deny: https://github.com/EmbarkStudios/cargo-deny — Rust 依赖许可证/来源/漏洞策略门禁；MIT OR Apache-2.0。</w:t>
      </w:r>
    </w:p>
    <w:p>
      <w:r>
        <w:br w:type="page"/>
      </w:r>
    </w:p>
    <w:p>
      <w:pPr>
        <w:pStyle w:val="Heading1"/>
      </w:pPr>
      <w:r>
        <w:t>9. v1.1 Observation 非功能要求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15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ID</w:t>
            </w:r>
          </w:p>
        </w:tc>
        <w:tc>
          <w:tcPr>
            <w:tcW w:type="dxa" w:w="936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016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676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NFR-A04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 降级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Native/Exec/Probe 任一路径不可用时自动退化，Control Plane 与其他 provider 不受影响。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NFR-P05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观测开销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空闲态不得持续全盘读取文件正文；metadata poll CPU 平均额外占用目标 &lt;3%/provider，具体以基准机确认。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NFR-P06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SHOULD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Freshness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process/network 默认 freshness 5s；filesystem metadata 默认 10s；Docker event 驱动项优先事件更新。均可 provider 配置。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NFR-O05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Provenance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所有跨隔离边界取得的值必须记录 source/trust/observed_at/freshness/partial。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NFR-S06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隔离保持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 不得以暴露宿主 Docker socket、全盘可写映射或宿主管理员 token 给 guest 的方式实现。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NFR-S07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Probe 最小能力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Guest Probe 采用固定 capability，不提供通用远程 shell；bootstrap RO，outbox 独立，payload 有界。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NFR-S08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不信任 Guest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来自 guest/probe 的数据按不可信输入解析，限制大小/深度/数量，防止 traversal、zip bomb/JSON bomb 类问题。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NFR-E05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 兼容隔离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Docker Sandboxes API 为 experimental 时，版本变化只影响 provider plugin，不影响 Kernel domain model。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非機能要件定義書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