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</w:p>
    <w:p>
      <w:pPr>
        <w:jc w:val="center"/>
      </w:pPr>
      <w:r>
        <w:rPr>
          <w:rFonts w:ascii="Noto Sans CJK SC" w:hAnsi="Noto Sans CJK SC" w:eastAsia="Noto Sans CJK SC"/>
          <w:b/>
          <w:color w:val="72551F"/>
          <w:sz w:val="56"/>
        </w:rPr>
        <w:t>SandTree</w:t>
      </w:r>
    </w:p>
    <w:p>
      <w:pPr>
        <w:jc w:val="center"/>
      </w:pPr>
      <w:r>
        <w:rPr>
          <w:rFonts w:ascii="Noto Sans CJK SC" w:hAnsi="Noto Sans CJK SC" w:eastAsia="Noto Sans CJK SC"/>
          <w:b/>
          <w:color w:val="2A2A2A"/>
          <w:sz w:val="42"/>
        </w:rPr>
        <w:t>システムアーキテクチャ設計書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777777"/>
          <w:sz w:val="21"/>
        </w:rPr>
        <w:t>Architecture Views / System Method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F4EBD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版本</w:t>
            </w:r>
          </w:p>
        </w:tc>
        <w:tc>
          <w:tcPr>
            <w:tcW w:type="dxa" w:w="50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1.1 Baseline</w:t>
            </w:r>
          </w:p>
        </w:tc>
      </w:tr>
      <w:tr>
        <w:tc>
          <w:tcPr>
            <w:tcW w:type="dxa" w:w="5043"/>
            <w:shd w:fill="F4EBD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基准日期</w:t>
            </w:r>
          </w:p>
        </w:tc>
        <w:tc>
          <w:tcPr>
            <w:tcW w:type="dxa" w:w="50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2026-10-07</w:t>
            </w:r>
          </w:p>
        </w:tc>
      </w:tr>
      <w:tr>
        <w:tc>
          <w:tcPr>
            <w:tcW w:type="dxa" w:w="5043"/>
            <w:shd w:fill="F4EBD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文档代码</w:t>
            </w:r>
          </w:p>
        </w:tc>
        <w:tc>
          <w:tcPr>
            <w:tcW w:type="dxa" w:w="50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ST-V11-ARCH</w:t>
            </w:r>
          </w:p>
        </w:tc>
      </w:tr>
      <w:tr>
        <w:tc>
          <w:tcPr>
            <w:tcW w:type="dxa" w:w="5043"/>
            <w:shd w:fill="F4EBD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产品定位</w:t>
            </w:r>
          </w:p>
        </w:tc>
        <w:tc>
          <w:tcPr>
            <w:tcW w:type="dxa" w:w="50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Sandbox &amp; Docker Control Plane</w:t>
            </w:r>
          </w:p>
        </w:tc>
      </w:tr>
      <w:tr>
        <w:tc>
          <w:tcPr>
            <w:tcW w:type="dxa" w:w="5043"/>
            <w:shd w:fill="F4EBD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状态</w:t>
            </w:r>
          </w:p>
        </w:tc>
        <w:tc>
          <w:tcPr>
            <w:tcW w:type="dxa" w:w="50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Approved Design Baseline (project internal)</w:t>
            </w:r>
          </w:p>
        </w:tc>
      </w:tr>
    </w:tbl>
    <w:p>
      <w:r/>
    </w:p>
    <w:p>
      <w:pPr>
        <w:pStyle w:val="Heading1"/>
      </w:pPr>
      <w:r>
        <w:t>文档控制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1984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项目</w:t>
            </w:r>
          </w:p>
        </w:tc>
        <w:tc>
          <w:tcPr>
            <w:tcW w:type="dxa" w:w="7654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内容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目的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定义 SandTree 的系统方式、各 Architecture View、关键技术决策和边界。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适用范围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SandTree v1.1：Sandbox &amp; Docker Control Plane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变更控制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FR/NFR、基本设计、详细设计、测试用例均使用 ID 追踪；语义变化必须更新 traceability。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核心原则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Rust-first；商业友好 OSS；原子化解耦；Plugin Cluster→App Cluster；MCP/Agent 为 Optional Integration。</w:t>
            </w:r>
          </w:p>
        </w:tc>
      </w:tr>
    </w:tbl>
    <w:p>
      <w:pPr>
        <w:pStyle w:val="Heading1"/>
      </w:pPr>
      <w:r>
        <w:t>目录（静态）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1. 架构目标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2. Context View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3. Functional View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4. Logical View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5. Plugin/App Cluster View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6. Runtime View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7. Deployment View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8. Data View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9. Security View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10. Operations View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11. Development View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12. Key ADR</w:t>
      </w:r>
    </w:p>
    <w:p>
      <w:r/>
    </w:p>
    <w:p>
      <w:pPr>
        <w:pStyle w:val="Heading1"/>
      </w:pPr>
      <w:r>
        <w:t>1. 架构目标</w:t>
      </w:r>
    </w:p>
    <w:p>
      <w:pPr>
        <w:pStyle w:val="ListBullet"/>
      </w:pPr>
      <w:r>
        <w:rPr>
          <w:rFonts w:ascii="Noto Sans CJK SC" w:hAnsi="Noto Sans CJK SC" w:eastAsia="Noto Sans CJK SC"/>
        </w:rPr>
        <w:t>Sandbox/Docker 是业务中心；资源拓扑与生命周期是第一优先。</w:t>
      </w:r>
    </w:p>
    <w:p>
      <w:pPr>
        <w:pStyle w:val="ListBullet"/>
      </w:pPr>
      <w:r>
        <w:rPr>
          <w:rFonts w:ascii="Noto Sans CJK SC" w:hAnsi="Noto Sans CJK SC" w:eastAsia="Noto Sans CJK SC"/>
        </w:rPr>
        <w:t>Microkernel 尽量小：Resource Graph、Plugin Host、Policy、Event、Store/VFS façade。</w:t>
      </w:r>
    </w:p>
    <w:p>
      <w:pPr>
        <w:pStyle w:val="ListBullet"/>
      </w:pPr>
      <w:r>
        <w:rPr>
          <w:rFonts w:ascii="Noto Sans CJK SC" w:hAnsi="Noto Sans CJK SC" w:eastAsia="Noto Sans CJK SC"/>
        </w:rPr>
        <w:t>所有具体 runtime/provider 都以插件隔离，便于热插拔和外部 API 变化。</w:t>
      </w:r>
    </w:p>
    <w:p>
      <w:pPr>
        <w:pStyle w:val="ListBullet"/>
      </w:pPr>
      <w:r>
        <w:rPr>
          <w:rFonts w:ascii="Noto Sans CJK SC" w:hAnsi="Noto Sans CJK SC" w:eastAsia="Noto Sans CJK SC"/>
        </w:rPr>
        <w:t>核心实现 Rust-first，商业友好 OSS 优先。</w:t>
      </w:r>
    </w:p>
    <w:p>
      <w:pPr>
        <w:pStyle w:val="Heading1"/>
      </w:pPr>
      <w:r>
        <w:t>2. Context View</w:t>
      </w:r>
    </w:p>
    <w:p>
      <w:pPr>
        <w:jc w:val="center"/>
      </w:pPr>
      <w:r/>
    </w:p>
    <w:p>
      <w:pPr>
        <w:jc w:val="center"/>
      </w:pPr>
      <w:r>
        <w:rPr>
          <w:rFonts w:ascii="Noto Sans CJK SC" w:hAnsi="Noto Sans CJK SC" w:eastAsia="Noto Sans CJK SC"/>
          <w:b w:val="0"/>
          <w:color w:val="666666"/>
          <w:sz w:val="17"/>
        </w:rPr>
        <w:t>图 2-1 Context View</w:t>
      </w:r>
    </w:p>
    <w:p>
      <w:pPr>
        <w:pStyle w:val="Heading1"/>
      </w:pPr>
      <w:r>
        <w:t>3. Functional 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835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Capability Cluster</w:t>
            </w:r>
          </w:p>
        </w:tc>
        <w:tc>
          <w:tcPr>
            <w:tcW w:type="dxa" w:w="6803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职责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Docker Cluster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Engine endpoint、container/image/volume/network/events/stats、Compose adapter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Sandbox Cluster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Windows Sandbox、Docker Sandbox、Multipass discovery/lifecycle/exec/file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Workspace Cluster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stfs URI、mount model、file read/write、snapshot/CAS/diff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Kernel Services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resource graph、operation manager、policy/capability、event router、metadata store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Optional Integration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Tantivy search、gix workspace metadata、MCP adapter、Agent observer</w:t>
            </w:r>
          </w:p>
        </w:tc>
      </w:tr>
    </w:tbl>
    <w:p>
      <w:pPr>
        <w:jc w:val="center"/>
      </w:pPr>
      <w:r/>
    </w:p>
    <w:p>
      <w:pPr>
        <w:jc w:val="center"/>
      </w:pPr>
      <w:r>
        <w:rPr>
          <w:rFonts w:ascii="Noto Sans CJK SC" w:hAnsi="Noto Sans CJK SC" w:eastAsia="Noto Sans CJK SC"/>
          <w:b w:val="0"/>
          <w:color w:val="666666"/>
          <w:sz w:val="17"/>
        </w:rPr>
        <w:t>图 3-1 Logical/Functional Architecture</w:t>
      </w:r>
    </w:p>
    <w:p>
      <w:pPr>
        <w:pStyle w:val="Heading1"/>
      </w:pPr>
      <w:r>
        <w:t>4. Logical View</w:t>
      </w:r>
    </w:p>
    <w:p>
      <w:r>
        <w:rPr>
          <w:rFonts w:ascii="Noto Sans CJK SC" w:hAnsi="Noto Sans CJK SC" w:eastAsia="Noto Sans CJK SC"/>
        </w:rPr>
        <w:t>所有外部资源统一映射为 ResourceNode + Relation。树用于主导航，但数据模型允许非树关系，从而表达 container→image、container→volume、compose→container 等。</w:t>
      </w:r>
    </w:p>
    <w:p>
      <w:pPr>
        <w:jc w:val="center"/>
      </w:pPr>
      <w:r/>
    </w:p>
    <w:p>
      <w:pPr>
        <w:jc w:val="center"/>
      </w:pPr>
      <w:r>
        <w:rPr>
          <w:rFonts w:ascii="Noto Sans CJK SC" w:hAnsi="Noto Sans CJK SC" w:eastAsia="Noto Sans CJK SC"/>
          <w:b w:val="0"/>
          <w:color w:val="666666"/>
          <w:sz w:val="17"/>
        </w:rPr>
        <w:t>图 4-1 Resource Topology Model</w:t>
      </w:r>
    </w:p>
    <w:p>
      <w:pPr>
        <w:pStyle w:val="Heading1"/>
      </w:pPr>
      <w:r>
        <w:t>5. Plugin / App Cluster View</w:t>
      </w:r>
    </w:p>
    <w:p>
      <w:r>
        <w:rPr>
          <w:rFonts w:ascii="Noto Sans CJK SC" w:hAnsi="Noto Sans CJK SC" w:eastAsia="Noto Sans CJK SC"/>
        </w:rPr>
        <w:t>Plugin 是最小可替换部署单元；Plugin Cluster 是一个业务能力簇；App Manifest 选择所需 Cluster/Plugin 生成 immutable App Generation。Desktop/Headless 可共享同一 Kernel 和插件包。</w:t>
      </w:r>
    </w:p>
    <w:p>
      <w:pPr>
        <w:jc w:val="center"/>
      </w:pPr>
      <w:r/>
    </w:p>
    <w:p>
      <w:pPr>
        <w:jc w:val="center"/>
      </w:pPr>
      <w:r>
        <w:rPr>
          <w:rFonts w:ascii="Noto Sans CJK SC" w:hAnsi="Noto Sans CJK SC" w:eastAsia="Noto Sans CJK SC"/>
          <w:b w:val="0"/>
          <w:color w:val="666666"/>
          <w:sz w:val="17"/>
        </w:rPr>
        <w:t>图 5-1 Plugin Cluster → App Cluster</w:t>
      </w:r>
    </w:p>
    <w:p>
      <w:pPr>
        <w:jc w:val="center"/>
      </w:pPr>
      <w:r/>
    </w:p>
    <w:p>
      <w:pPr>
        <w:jc w:val="center"/>
      </w:pPr>
      <w:r>
        <w:rPr>
          <w:rFonts w:ascii="Noto Sans CJK SC" w:hAnsi="Noto Sans CJK SC" w:eastAsia="Noto Sans CJK SC"/>
          <w:b w:val="0"/>
          <w:color w:val="666666"/>
          <w:sz w:val="17"/>
        </w:rPr>
        <w:t>图 5-2 HotSwap Generation</w:t>
      </w:r>
    </w:p>
    <w:p>
      <w:pPr>
        <w:pStyle w:val="Heading1"/>
      </w:pPr>
      <w:r>
        <w:t>6. Runtime 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2268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Runtime Component</w:t>
            </w:r>
          </w:p>
        </w:tc>
        <w:tc>
          <w:tcPr>
            <w:tcW w:type="dxa" w:w="2835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进程/线程</w:t>
            </w:r>
          </w:p>
        </w:tc>
        <w:tc>
          <w:tcPr>
            <w:tcW w:type="dxa" w:w="4535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sandtree-desktop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Tauri process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UI；不直接调用 provider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sandtree-daemon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per-user process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Kernel、IPC、store、route table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plugin-worker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0..N process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Wasmtime components；第三方/高风险插件优先隔离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external runtime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Docker/Multipass/Windows Sandbox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不由 SandTree 实现</w:t>
            </w:r>
          </w:p>
        </w:tc>
      </w:tr>
    </w:tbl>
    <w:p>
      <w:pPr>
        <w:jc w:val="center"/>
      </w:pPr>
      <w:r/>
    </w:p>
    <w:p>
      <w:pPr>
        <w:jc w:val="center"/>
      </w:pPr>
      <w:r>
        <w:rPr>
          <w:rFonts w:ascii="Noto Sans CJK SC" w:hAnsi="Noto Sans CJK SC" w:eastAsia="Noto Sans CJK SC"/>
          <w:b w:val="0"/>
          <w:color w:val="666666"/>
          <w:sz w:val="17"/>
        </w:rPr>
        <w:t>图 6-1 Docker Operation Runtime Sequence</w:t>
      </w:r>
    </w:p>
    <w:p>
      <w:pPr>
        <w:pStyle w:val="Heading1"/>
      </w:pPr>
      <w:r>
        <w:t>7. Deployment View</w:t>
      </w:r>
    </w:p>
    <w:p>
      <w:pPr>
        <w:jc w:val="center"/>
      </w:pPr>
      <w:r/>
    </w:p>
    <w:p>
      <w:pPr>
        <w:jc w:val="center"/>
      </w:pPr>
      <w:r>
        <w:rPr>
          <w:rFonts w:ascii="Noto Sans CJK SC" w:hAnsi="Noto Sans CJK SC" w:eastAsia="Noto Sans CJK SC"/>
          <w:b w:val="0"/>
          <w:color w:val="666666"/>
          <w:sz w:val="17"/>
        </w:rPr>
        <w:t>图 7-1 Windows 11 Deployment</w:t>
      </w:r>
    </w:p>
    <w:p>
      <w:pPr>
        <w:pStyle w:val="Heading1"/>
      </w:pPr>
      <w:r>
        <w:t>8. Data View</w:t>
      </w:r>
    </w:p>
    <w:p>
      <w:pPr>
        <w:jc w:val="center"/>
      </w:pPr>
      <w:r/>
    </w:p>
    <w:p>
      <w:pPr>
        <w:jc w:val="center"/>
      </w:pPr>
      <w:r>
        <w:rPr>
          <w:rFonts w:ascii="Noto Sans CJK SC" w:hAnsi="Noto Sans CJK SC" w:eastAsia="Noto Sans CJK SC"/>
          <w:b w:val="0"/>
          <w:color w:val="666666"/>
          <w:sz w:val="17"/>
        </w:rPr>
        <w:t>图 8-1 Core Metadata ERD</w:t>
      </w:r>
    </w:p>
    <w:p>
      <w:pPr>
        <w:pStyle w:val="ListBullet"/>
      </w:pPr>
      <w:r>
        <w:rPr>
          <w:rFonts w:ascii="Noto Sans CJK SC" w:hAnsi="Noto Sans CJK SC" w:eastAsia="Noto Sans CJK SC"/>
        </w:rPr>
        <w:t>SQLite/rusqlite: 关系型 metadata + operation/event。</w:t>
      </w:r>
    </w:p>
    <w:p>
      <w:pPr>
        <w:pStyle w:val="ListBullet"/>
      </w:pPr>
      <w:r>
        <w:rPr>
          <w:rFonts w:ascii="Noto Sans CJK SC" w:hAnsi="Noto Sans CJK SC" w:eastAsia="Noto Sans CJK SC"/>
        </w:rPr>
        <w:t>CAS: %LOCALAPPDATA%/SandTree/objects/&lt;prefix&gt;/&lt;blake3&gt;。</w:t>
      </w:r>
    </w:p>
    <w:p>
      <w:pPr>
        <w:pStyle w:val="ListBullet"/>
      </w:pPr>
      <w:r>
        <w:rPr>
          <w:rFonts w:ascii="Noto Sans CJK SC" w:hAnsi="Noto Sans CJK SC" w:eastAsia="Noto Sans CJK SC"/>
        </w:rPr>
        <w:t>Plugin local state 可采用 redb，禁止直接修改 Core DB schema。</w:t>
      </w:r>
    </w:p>
    <w:p>
      <w:pPr>
        <w:pStyle w:val="ListBullet"/>
      </w:pPr>
      <w:r>
        <w:rPr>
          <w:rFonts w:ascii="Noto Sans CJK SC" w:hAnsi="Noto Sans CJK SC" w:eastAsia="Noto Sans CJK SC"/>
        </w:rPr>
        <w:t>Tantivy 为 Optional Search Plugin，自有 index 目录。</w:t>
      </w:r>
    </w:p>
    <w:p>
      <w:pPr>
        <w:pStyle w:val="Heading1"/>
      </w:pPr>
      <w:r>
        <w:t>9. Security View</w:t>
      </w:r>
    </w:p>
    <w:p>
      <w:pPr>
        <w:jc w:val="center"/>
      </w:pPr>
      <w:r/>
    </w:p>
    <w:p>
      <w:pPr>
        <w:jc w:val="center"/>
      </w:pPr>
      <w:r>
        <w:rPr>
          <w:rFonts w:ascii="Noto Sans CJK SC" w:hAnsi="Noto Sans CJK SC" w:eastAsia="Noto Sans CJK SC"/>
          <w:b w:val="0"/>
          <w:color w:val="666666"/>
          <w:sz w:val="17"/>
        </w:rPr>
        <w:t>图 9-1 Trust/Capability Boundary</w:t>
      </w:r>
    </w:p>
    <w:p>
      <w:pPr>
        <w:pStyle w:val="Heading1"/>
      </w:pPr>
      <w:r>
        <w:t>10. Operations View</w:t>
      </w:r>
    </w:p>
    <w:p>
      <w:pPr>
        <w:pStyle w:val="ListBullet"/>
      </w:pPr>
      <w:r>
        <w:rPr>
          <w:rFonts w:ascii="Noto Sans CJK SC" w:hAnsi="Noto Sans CJK SC" w:eastAsia="Noto Sans CJK SC"/>
        </w:rPr>
        <w:t>Daemon per-user 非管理员；startup 可配置。</w:t>
      </w:r>
    </w:p>
    <w:p>
      <w:pPr>
        <w:pStyle w:val="ListBullet"/>
      </w:pPr>
      <w:r>
        <w:rPr>
          <w:rFonts w:ascii="Noto Sans CJK SC" w:hAnsi="Noto Sans CJK SC" w:eastAsia="Noto Sans CJK SC"/>
        </w:rPr>
        <w:t>Provider health/reconcile 周期运行；外部 event stream 断线指数退避。</w:t>
      </w:r>
    </w:p>
    <w:p>
      <w:pPr>
        <w:pStyle w:val="ListBullet"/>
      </w:pPr>
      <w:r>
        <w:rPr>
          <w:rFonts w:ascii="Noto Sans CJK SC" w:hAnsi="Noto Sans CJK SC" w:eastAsia="Noto Sans CJK SC"/>
        </w:rPr>
        <w:t>diagnostics bundle 脱敏后输出。</w:t>
      </w:r>
    </w:p>
    <w:p>
      <w:pPr>
        <w:pStyle w:val="ListBullet"/>
      </w:pPr>
      <w:r>
        <w:rPr>
          <w:rFonts w:ascii="Noto Sans CJK SC" w:hAnsi="Noto Sans CJK SC" w:eastAsia="Noto Sans CJK SC"/>
        </w:rPr>
        <w:t>DB migration 前创建 backup metadata；失败回滚。</w:t>
      </w:r>
    </w:p>
    <w:p>
      <w:pPr>
        <w:pStyle w:val="Heading1"/>
      </w:pPr>
      <w:r>
        <w:t>11. Development View</w:t>
      </w:r>
    </w:p>
    <w:p>
      <w:pPr>
        <w:pStyle w:val="CodeBlock"/>
      </w:pPr>
      <w:r>
        <w:rPr>
          <w:rFonts w:ascii="Consolas" w:hAnsi="Consolas" w:eastAsia="Consolas"/>
          <w:b w:val="0"/>
          <w:color w:val="333333"/>
          <w:sz w:val="16"/>
        </w:rPr>
        <w:t>sandtree/</w:t>
      </w:r>
    </w:p>
    <w:p>
      <w:pPr>
        <w:pStyle w:val="CodeBlock"/>
      </w:pPr>
      <w:r>
        <w:rPr>
          <w:rFonts w:ascii="Consolas" w:hAnsi="Consolas" w:eastAsia="Consolas"/>
          <w:b w:val="0"/>
          <w:color w:val="333333"/>
          <w:sz w:val="16"/>
        </w:rPr>
        <w:t xml:space="preserve">  crates/{model,kernel,resource-graph,plugin-host,policy,event,store,vfs,ipc,sdk}</w:t>
      </w:r>
    </w:p>
    <w:p>
      <w:pPr>
        <w:pStyle w:val="CodeBlock"/>
      </w:pPr>
      <w:r>
        <w:rPr>
          <w:rFonts w:ascii="Consolas" w:hAnsi="Consolas" w:eastAsia="Consolas"/>
          <w:b w:val="0"/>
          <w:color w:val="333333"/>
          <w:sz w:val="16"/>
        </w:rPr>
        <w:t xml:space="preserve">  plugins/{provider-docker,feature-compose,provider-windows-sandbox,provider-docker-sandbox,provider-multipass}</w:t>
      </w:r>
    </w:p>
    <w:p>
      <w:pPr>
        <w:pStyle w:val="CodeBlock"/>
      </w:pPr>
      <w:r>
        <w:rPr>
          <w:rFonts w:ascii="Consolas" w:hAnsi="Consolas" w:eastAsia="Consolas"/>
          <w:b w:val="0"/>
          <w:color w:val="333333"/>
          <w:sz w:val="16"/>
        </w:rPr>
        <w:t xml:space="preserve">  optional/{search-tantivy,git-gix,integration-mcp,agent-observer}</w:t>
      </w:r>
    </w:p>
    <w:p>
      <w:pPr>
        <w:pStyle w:val="CodeBlock"/>
      </w:pPr>
      <w:r>
        <w:rPr>
          <w:rFonts w:ascii="Consolas" w:hAnsi="Consolas" w:eastAsia="Consolas"/>
          <w:b w:val="0"/>
          <w:color w:val="333333"/>
          <w:sz w:val="16"/>
        </w:rPr>
        <w:t xml:space="preserve">  apps/{daemon,desktop,cli,plugin-worker}</w:t>
      </w:r>
    </w:p>
    <w:p>
      <w:pPr>
        <w:pStyle w:val="CodeBlock"/>
      </w:pPr>
      <w:r>
        <w:rPr>
          <w:rFonts w:ascii="Consolas" w:hAnsi="Consolas" w:eastAsia="Consolas"/>
          <w:b w:val="0"/>
          <w:color w:val="333333"/>
          <w:sz w:val="16"/>
        </w:rPr>
        <w:t xml:space="preserve">  wit/</w:t>
      </w:r>
    </w:p>
    <w:p>
      <w:pPr>
        <w:pStyle w:val="CodeBlock"/>
      </w:pPr>
      <w:r>
        <w:rPr>
          <w:rFonts w:ascii="Consolas" w:hAnsi="Consolas" w:eastAsia="Consolas"/>
          <w:b w:val="0"/>
          <w:color w:val="333333"/>
          <w:sz w:val="16"/>
        </w:rPr>
        <w:t xml:space="preserve">  tests/{contract,integration,system}</w:t>
      </w:r>
    </w:p>
    <w:p>
      <w:pPr>
        <w:pStyle w:val="Heading1"/>
      </w:pPr>
      <w:r>
        <w:t>12. Key ADR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417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ADR</w:t>
            </w:r>
          </w:p>
        </w:tc>
        <w:tc>
          <w:tcPr>
            <w:tcW w:type="dxa" w:w="3402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Decision</w:t>
            </w:r>
          </w:p>
        </w:tc>
        <w:tc>
          <w:tcPr>
            <w:tcW w:type="dxa" w:w="4819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Reason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ADR-001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Sandbox &amp; Docker Control Plane</w:t>
            </w:r>
          </w:p>
        </w:tc>
        <w:tc>
          <w:tcPr>
            <w:tcW w:type="dxa" w:w="481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防止产品膨胀为通用 AI OS。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ADR-002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WASM Component/WIT public plugin ABI</w:t>
            </w:r>
          </w:p>
        </w:tc>
        <w:tc>
          <w:tcPr>
            <w:tcW w:type="dxa" w:w="481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Rust ABI 不稳定；隔离第三方插件。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ADR-003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Docker Engine API/Moby-compatible endpoint</w:t>
            </w:r>
          </w:p>
        </w:tc>
        <w:tc>
          <w:tcPr>
            <w:tcW w:type="dxa" w:w="481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避免 Docker Desktop 商业许可成为产品前提。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ADR-004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Bollard in Docker Provider</w:t>
            </w:r>
          </w:p>
        </w:tc>
        <w:tc>
          <w:tcPr>
            <w:tcW w:type="dxa" w:w="481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Rust async、Windows named pipe/Unix socket、API negotiation。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ADR-005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SQLite/rusqlite + CAS</w:t>
            </w:r>
          </w:p>
        </w:tc>
        <w:tc>
          <w:tcPr>
            <w:tcW w:type="dxa" w:w="481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本地 control plane 成熟、简单、可恢复。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ADR-006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Plugin Cluster→App Generation</w:t>
            </w:r>
          </w:p>
        </w:tc>
        <w:tc>
          <w:tcPr>
            <w:tcW w:type="dxa" w:w="481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原子热切换、组合不同产品 profile。</w:t>
            </w:r>
          </w:p>
        </w:tc>
      </w:tr>
    </w:tbl>
    <w:p>
      <w:pPr>
        <w:pStyle w:val="Heading1"/>
      </w:pPr>
      <w:r>
        <w:t>参考资料与许可核对来源</w:t>
      </w:r>
    </w:p>
    <w:p>
      <w:r>
        <w:rPr>
          <w:rFonts w:ascii="Noto Sans CJK SC" w:hAnsi="Noto Sans CJK SC" w:eastAsia="Noto Sans CJK SC"/>
        </w:rPr>
        <w:t>IPA 资料用于过程/成果物组织；Architecture View 使用 ISO 42010 的 viewpoint/view 思路作为项目补充。OSS 许可清单是工程基线，不替代法律意见；发行时必须以锁定版本、SBOM 与 cargo-deny/前端依赖扫描结果为准。</w:t>
      </w:r>
    </w:p>
    <w:p>
      <w:r>
        <w:rPr>
          <w:rFonts w:ascii="Noto Sans CJK SC" w:hAnsi="Noto Sans CJK SC" w:eastAsia="Noto Sans CJK SC"/>
        </w:rPr>
        <w:t>IPA 共通フレーム2013: https://www.ipa.go.jp/publish/secbooks20130304.html — 系统/软件/服务从构想到废弃的生命周期活动、任务与角色的共通框架。</w:t>
      </w:r>
    </w:p>
    <w:p>
      <w:r>
        <w:rPr>
          <w:rFonts w:ascii="Noto Sans CJK SC" w:hAnsi="Noto Sans CJK SC" w:eastAsia="Noto Sans CJK SC"/>
        </w:rPr>
        <w:t>IPA ユーザのための要件定義ガイド 第2版: https://www.ipa.go.jp/archive/publish/tn20191220.html — 需求定义、需求管理、主要成果物与问题解决实践。</w:t>
      </w:r>
    </w:p>
    <w:p>
      <w:r>
        <w:rPr>
          <w:rFonts w:ascii="Noto Sans CJK SC" w:hAnsi="Noto Sans CJK SC" w:eastAsia="Noto Sans CJK SC"/>
        </w:rPr>
        <w:t>IPA 非機能要求グレード2018: https://www.ipa.go.jp/archive/digital/iot-en-ci/jyouryuu/hikinou/ent03-b.html — 以六大类组织非功能需求并形成用户/开发方共识。</w:t>
      </w:r>
    </w:p>
    <w:p>
      <w:r>
        <w:rPr>
          <w:rFonts w:ascii="Noto Sans CJK SC" w:hAnsi="Noto Sans CJK SC" w:eastAsia="Noto Sans CJK SC"/>
        </w:rPr>
        <w:t>ISO/IEC/IEEE 42010:2022: https://www.iso.org/standard/74393.html — Architecture Description 的 Viewpoint/View 概念；用于补充 IPA 系统方式设计的表达。</w:t>
      </w:r>
    </w:p>
    <w:p>
      <w:r>
        <w:rPr>
          <w:rFonts w:ascii="Noto Sans CJK SC" w:hAnsi="Noto Sans CJK SC" w:eastAsia="Noto Sans CJK SC"/>
        </w:rPr>
        <w:t>WIT Reference / WebAssembly Component Model: https://component-model.bytecodealliance.org/design/wit.html — WIT 定义组件之间的接口契约；用于 SandTree Plugin ABI。</w:t>
      </w:r>
    </w:p>
    <w:p>
      <w:r>
        <w:rPr>
          <w:rFonts w:ascii="Noto Sans CJK SC" w:hAnsi="Noto Sans CJK SC" w:eastAsia="Noto Sans CJK SC"/>
        </w:rPr>
        <w:t>Moby / Docker Engine: https://github.com/moby/moby — Moby/Docker Engine 开源实现，Apache-2.0。</w:t>
      </w:r>
    </w:p>
    <w:p>
      <w:r>
        <w:rPr>
          <w:rFonts w:ascii="Noto Sans CJK SC" w:hAnsi="Noto Sans CJK SC" w:eastAsia="Noto Sans CJK SC"/>
        </w:rPr>
        <w:t>Docker CLI: https://github.com/docker/cli — Docker CLI，Apache-2.0。</w:t>
      </w:r>
    </w:p>
    <w:p>
      <w:r>
        <w:rPr>
          <w:rFonts w:ascii="Noto Sans CJK SC" w:hAnsi="Noto Sans CJK SC" w:eastAsia="Noto Sans CJK SC"/>
        </w:rPr>
        <w:t>Docker Compose: https://github.com/docker/compose — Docker Compose v2，Apache-2.0。</w:t>
      </w:r>
    </w:p>
    <w:p>
      <w:r>
        <w:rPr>
          <w:rFonts w:ascii="Noto Sans CJK SC" w:hAnsi="Noto Sans CJK SC" w:eastAsia="Noto Sans CJK SC"/>
        </w:rPr>
        <w:t>Docker Desktop License: https://docs.docker.com/subscription-billing/desktop-license/ — Docker Desktop 有单独商业许可边界；SandTree 不将其作为必需或可再分发依赖。</w:t>
      </w:r>
    </w:p>
    <w:p>
      <w:r>
        <w:rPr>
          <w:rFonts w:ascii="Noto Sans CJK SC" w:hAnsi="Noto Sans CJK SC" w:eastAsia="Noto Sans CJK SC"/>
        </w:rPr>
        <w:t>Bollard: https://github.com/fussybeaver/bollard — Rust Docker/Podman API client，Apache-2.0；支持 Unix Socket/Windows Named Pipe。</w:t>
      </w:r>
    </w:p>
    <w:p>
      <w:r>
        <w:rPr>
          <w:rFonts w:ascii="Noto Sans CJK SC" w:hAnsi="Noto Sans CJK SC" w:eastAsia="Noto Sans CJK SC"/>
        </w:rPr>
        <w:t>gitoxide / gix: https://github.com/GitoxideLabs/gitoxide — Rust 实现 Git；MIT OR Apache-2.0。</w:t>
      </w:r>
    </w:p>
    <w:p>
      <w:r>
        <w:rPr>
          <w:rFonts w:ascii="Noto Sans CJK SC" w:hAnsi="Noto Sans CJK SC" w:eastAsia="Noto Sans CJK SC"/>
        </w:rPr>
        <w:t>Tantivy: https://github.com/quickwit-oss/tantivy — Rust 全文检索库；MIT；作为可选 Search Plugin。</w:t>
      </w:r>
    </w:p>
    <w:p>
      <w:r>
        <w:rPr>
          <w:rFonts w:ascii="Noto Sans CJK SC" w:hAnsi="Noto Sans CJK SC" w:eastAsia="Noto Sans CJK SC"/>
        </w:rPr>
        <w:t>SQLite Public Domain: https://www.sqlite.org/copyright.html — SQLite 核心代码 Public Domain，可用于商业产品。</w:t>
      </w:r>
    </w:p>
    <w:p>
      <w:r>
        <w:rPr>
          <w:rFonts w:ascii="Noto Sans CJK SC" w:hAnsi="Noto Sans CJK SC" w:eastAsia="Noto Sans CJK SC"/>
        </w:rPr>
        <w:t>cargo-deny: https://github.com/EmbarkStudios/cargo-deny — Rust 依赖许可证/来源/漏洞策略门禁；MIT OR Apache-2.0。</w:t>
      </w:r>
    </w:p>
    <w:p>
      <w:r>
        <w:br w:type="page"/>
      </w:r>
    </w:p>
    <w:p>
      <w:pPr>
        <w:pStyle w:val="Heading1"/>
      </w:pPr>
      <w:r>
        <w:t>13. Observation Plane View</w:t>
      </w:r>
    </w:p>
    <w:p>
      <w:r>
        <w:rPr>
          <w:b/>
        </w:rPr>
        <w:t>本节为 v1.1 正式设计增量，与前述 v1.0 Sandbox &amp; Docker Control Plane 基线共同构成当前有效设计。发生冲突时，本节优先。</w:t>
      </w:r>
    </w:p>
    <w:p>
      <w:pPr>
        <w:pStyle w:val="Heading2"/>
      </w:pPr>
      <w:r>
        <w:t>13.1 三平面模型</w:t>
      </w:r>
    </w:p>
    <w:p>
      <w:r>
        <w:t>SandTree v1.1 将运行时责任明确拆为 Control Plane、Observation Plane、Data Plane。三者通过 ResourceId/Capability/Event 关联，但不共享 provider-specific 类型。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7445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servation_plan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4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7"/>
        </w:rPr>
        <w:t>图 13-1 Control / Observation / Data Plane</w:t>
      </w:r>
    </w:p>
    <w:p>
      <w:pPr>
        <w:pStyle w:val="Heading2"/>
      </w:pPr>
      <w:r>
        <w:t>13.2 Observation Strategy 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120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servation_strateg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7"/>
        </w:rPr>
        <w:t>图 13-2 Observation Strategy Negotiation</w:t>
      </w:r>
    </w:p>
    <w:p>
      <w:r>
        <w:t>选择原则：能用权威原生 API 就不注入 Probe；能以受控 exec 获取结构化输出就不长期运行 guest agent；只有在平台能力不足时才使用 disposable Probe；最终仍不可观测时退化为 host-visible metadata。</w:t>
      </w:r>
    </w:p>
    <w:p>
      <w:pPr>
        <w:pStyle w:val="Heading2"/>
      </w:pPr>
      <w:r>
        <w:t>13.3 Trust / Provenance 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62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venance_trus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7"/>
        </w:rPr>
        <w:t>图 13-3 Provenance Trust Ladder</w:t>
      </w:r>
    </w:p>
    <w:p>
      <w:pPr>
        <w:pStyle w:val="Heading2"/>
      </w:pPr>
      <w:r>
        <w:t>13.4 Docker-in-Sandbox 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1114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in_sandbox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111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7"/>
        </w:rPr>
        <w:t>图 13-4 Nested Docker Resource Topology</w:t>
      </w:r>
    </w:p>
    <w:sectPr w:rsidR="00FC693F" w:rsidRPr="0006063C" w:rsidSect="00034616">
      <w:headerReference w:type="default" r:id="rId10"/>
      <w:footerReference w:type="default" r:id="rId11"/>
      <w:headerReference w:type="first" r:id="rId25"/>
      <w:footerReference w:type="first" r:id="rId26"/>
      <w:headerReference w:type="even" r:id="rId27"/>
      <w:footerReference w:type="even" r:id="rId28"/>
      <w:pgSz w:w="12240" w:h="15840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888888"/>
        <w:sz w:val="16"/>
      </w:rPr>
      <w:t>2026-10-07  |  SandTree v1.1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777777"/>
        <w:sz w:val="16"/>
      </w:rPr>
      <w:t>SandTree | システムアーキテクチャ設計書 | 1.1 Baseline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9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72551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5555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333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22222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60"/>
      <w:ind w:left="198"/>
    </w:pPr>
    <w:rPr>
      <w:rFonts w:ascii="Consolas" w:hAnsi="Consolas" w:eastAsia="Noto Sans Mono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header" Target="header2.xml"/><Relationship Id="rId26" Type="http://schemas.openxmlformats.org/officeDocument/2006/relationships/footer" Target="footer2.xml"/><Relationship Id="rId27" Type="http://schemas.openxmlformats.org/officeDocument/2006/relationships/header" Target="header3.xml"/><Relationship Id="rId28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