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基本設計書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Basic Design / External &amp; Internal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ST-V11-BD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将 v1.1 要件转换为画面、功能、资源、接口、数据、Provider、生命周期、安全和运维的基本设计。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系统构成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画面设计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功能基本设计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Resource/Relation Model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Sandbox 基本设计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Docker 基本设计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7. Workspace/VFS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8. Plugin/App Cluster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9. IPC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10. 数据逻辑设计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11. Snapshot/CAS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12. 事件/错误/操作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13. 安全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14. 配置/安装/升级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15. 运维诊断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16. 详细设计输入</w:t>
      </w:r>
    </w:p>
    <w:p>
      <w:r/>
    </w:p>
    <w:p>
      <w:pPr>
        <w:pStyle w:val="Heading1"/>
      </w:pPr>
      <w:r>
        <w:t>1. 系统构成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1-1 System Composition</w:t>
      </w:r>
    </w:p>
    <w:p>
      <w:pPr>
        <w:pStyle w:val="Heading1"/>
      </w:pPr>
      <w:r>
        <w:t>2. 画面设计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View</w:t>
            </w:r>
          </w:p>
        </w:tc>
        <w:tc>
          <w:tcPr>
            <w:tcW w:type="dxa" w:w="45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主要内容</w:t>
            </w:r>
          </w:p>
        </w:tc>
        <w:tc>
          <w:tcPr>
            <w:tcW w:type="dxa" w:w="34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主操作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Topology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Host/Sandbox/Docker/Container/Compose/Workspace tree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refresh/filter/open inspector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Containers/Images/Volumes/Networks/Compose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lifecycle/logs/exec/pull/remove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Sandbox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 instances/sessions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start/stop/exec/open workspace/destroy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Workspace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stfs tree/file metadata/snapshot/diff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read/write(if allowed)/snapshot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Operations &amp; Events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operation jobs/provider health/audit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cancel/export/diagnose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Plugins &amp; Settings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plugin/app generation/provider profiles/policy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install/enable/hotswap/rollback</w:t>
            </w:r>
          </w:p>
        </w:tc>
      </w:tr>
    </w:tbl>
    <w:p>
      <w:pPr>
        <w:pStyle w:val="Heading1"/>
      </w:pPr>
      <w:r>
        <w:t>3. 功能基本设计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Function Group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Input</w:t>
            </w:r>
          </w:p>
        </w:tc>
        <w:tc>
          <w:tcPr>
            <w:tcW w:type="dxa" w:w="3969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Processing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Output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Discovery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 trigger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并行 discover→normalize→upsert resource→relations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 graph/events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Lifecycle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 + operation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capability/policy→operation job→provider invoke→reconcile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result/state/audit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Logs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container + opts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 stream→bounded channel→UI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stream chunks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Snapshot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resource/workspace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enumerate→hash reuse→CAS temp+rename→DB transaction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snapshot id/diff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HotSwap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 package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verify→stage→health/migrate→atomic route swap→drain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new generation or rollback</w:t>
            </w:r>
          </w:p>
        </w:tc>
      </w:tr>
    </w:tbl>
    <w:p>
      <w:pPr>
        <w:pStyle w:val="Heading1"/>
      </w:pPr>
      <w:r>
        <w:t>4. Resource / Relation Model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4-1 Resource Tree/Relations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Field</w:t>
            </w:r>
          </w:p>
        </w:tc>
        <w:tc>
          <w:tcPr>
            <w:tcW w:type="dxa" w:w="7370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Meaning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opaque stable id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kind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host/sandbox/docker-runtime/container/image/volume/network/compose/workspace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provider_id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plugin/provider owner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state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normalized state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capabilities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allowed operation set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metadata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provider-specific non-secret JSON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parent_id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primary tree parent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relations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additional typed edges</w:t>
            </w:r>
          </w:p>
        </w:tc>
      </w:tr>
    </w:tbl>
    <w:p>
      <w:pPr>
        <w:pStyle w:val="Heading1"/>
      </w:pPr>
      <w:r>
        <w:t>5. Sandbox 基本设计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5-1 Sandbox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Provider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Discovery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Lifecycle</w:t>
            </w:r>
          </w:p>
        </w:tc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Exec</w:t>
            </w:r>
          </w:p>
        </w:tc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Files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Windows Sandbox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configured WSB/session registry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start/destroy session-oriented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bridge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mapped bridge/file API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Sandbox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 API/CLI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 capability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 capability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 file API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Multipass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multipass list/info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start/stop/delete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multipass exec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transfer/mount/exec adapter</w:t>
            </w:r>
          </w:p>
        </w:tc>
      </w:tr>
    </w:tbl>
    <w:p>
      <w:pPr>
        <w:pStyle w:val="Heading1"/>
      </w:pPr>
      <w:r>
        <w:t>6. Docker 基本设计</w:t>
      </w:r>
    </w:p>
    <w:p>
      <w:pPr>
        <w:pStyle w:val="ListBullet"/>
      </w:pPr>
      <w:r>
        <w:rPr>
          <w:rFonts w:ascii="Noto Sans CJK SC" w:hAnsi="Noto Sans CJK SC" w:eastAsia="Noto Sans CJK SC"/>
        </w:rPr>
        <w:t>Provider 优先使用 Bollard 连接 Docker/Moby API；endpoint 支持 Windows named pipe、Unix socket、TLS remote。</w:t>
      </w:r>
    </w:p>
    <w:p>
      <w:pPr>
        <w:pStyle w:val="ListBullet"/>
      </w:pPr>
      <w:r>
        <w:rPr>
          <w:rFonts w:ascii="Noto Sans CJK SC" w:hAnsi="Noto Sans CJK SC" w:eastAsia="Noto Sans CJK SC"/>
        </w:rPr>
        <w:t>Compose discovery 以 container labels 为基础；Compose CLI 仅作为可选 lifecycle adapter。</w:t>
      </w:r>
    </w:p>
    <w:p>
      <w:pPr>
        <w:pStyle w:val="ListBullet"/>
      </w:pPr>
      <w:r>
        <w:rPr>
          <w:rFonts w:ascii="Noto Sans CJK SC" w:hAnsi="Noto Sans CJK SC" w:eastAsia="Noto Sans CJK SC"/>
        </w:rPr>
        <w:t>Container/Image/Volume/Network 统一映射 ResourceNode，并保留 Docker ID/digest/name 作为 metadata。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event stream 用于增量更新；周期 reconcile 纠正遗漏/断线。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6-1 Docker Operation</w:t>
      </w:r>
    </w:p>
    <w:p>
      <w:pPr>
        <w:pStyle w:val="Heading1"/>
      </w:pPr>
      <w:r>
        <w:t>7. Workspace / VFS</w:t>
      </w:r>
    </w:p>
    <w:p>
      <w:r>
        <w:rPr>
          <w:rFonts w:ascii="Noto Sans CJK SC" w:hAnsi="Noto Sans CJK SC" w:eastAsia="Noto Sans CJK SC"/>
        </w:rPr>
        <w:t>Canonical URI 固定为 stfs://&lt;resource-id&gt;/&lt;path&gt;。Provider 内部负责映射到 Windows path、container path 或 sandbox path。Core 禁止直接拼接 provider OS path。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Operation</w:t>
            </w:r>
          </w:p>
        </w:tc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MUST/SHOULD</w:t>
            </w:r>
          </w:p>
        </w:tc>
        <w:tc>
          <w:tcPr>
            <w:tcW w:type="dxa" w:w="51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Policy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list/stat/read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read capability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write/upload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write capability + root confinement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move/remove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SHOULD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mutation capability + audit + confirmation if destructive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watch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OPTIONAL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native event or polling fallback</w:t>
            </w:r>
          </w:p>
        </w:tc>
      </w:tr>
    </w:tbl>
    <w:p>
      <w:pPr>
        <w:pStyle w:val="Heading1"/>
      </w:pPr>
      <w:r>
        <w:t>8. Plugin / App Cluster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8-1 Plugin Cluster</w:t>
      </w:r>
    </w:p>
    <w:p>
      <w:pPr>
        <w:pStyle w:val="ListBullet"/>
      </w:pPr>
      <w:r>
        <w:rPr>
          <w:rFonts w:ascii="Noto Sans CJK SC" w:hAnsi="Noto Sans CJK SC" w:eastAsia="Noto Sans CJK SC"/>
        </w:rPr>
        <w:t>Plugin manifest 声明 kind/capabilities/license/state schema/hot_swap。</w:t>
      </w:r>
    </w:p>
    <w:p>
      <w:pPr>
        <w:pStyle w:val="ListBullet"/>
      </w:pPr>
      <w:r>
        <w:rPr>
          <w:rFonts w:ascii="Noto Sans CJK SC" w:hAnsi="Noto Sans CJK SC" w:eastAsia="Noto Sans CJK SC"/>
        </w:rPr>
        <w:t>App Manifest 只引用 plugin ID/cluster；App Generation immutable。</w:t>
      </w:r>
    </w:p>
    <w:p>
      <w:pPr>
        <w:pStyle w:val="ListBullet"/>
      </w:pPr>
      <w:r>
        <w:rPr>
          <w:rFonts w:ascii="Noto Sans CJK SC" w:hAnsi="Noto Sans CJK SC" w:eastAsia="Noto Sans CJK SC"/>
        </w:rPr>
        <w:t>HotSwap 只在 health + migration 成功后修改 route table。</w:t>
      </w:r>
    </w:p>
    <w:p>
      <w:pPr>
        <w:pStyle w:val="ListBullet"/>
      </w:pPr>
      <w:r>
        <w:rPr>
          <w:rFonts w:ascii="Noto Sans CJK SC" w:hAnsi="Noto Sans CJK SC" w:eastAsia="Noto Sans CJK SC"/>
        </w:rPr>
        <w:t>第三方 UI 不直接注入主 WebView 任意 JS；采用声明式 action/panel contribution（v1 可后置）。</w:t>
      </w:r>
    </w:p>
    <w:p>
      <w:pPr>
        <w:pStyle w:val="Heading1"/>
      </w:pPr>
      <w:r>
        <w:t>9. IPC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Item</w:t>
            </w:r>
          </w:p>
        </w:tc>
        <w:tc>
          <w:tcPr>
            <w:tcW w:type="dxa" w:w="7370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Baseline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Transport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Windows Named Pipe: \\.\pipe\sandtree-&lt;sid-hash&gt;-v1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Framing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u32 little-endian length + UTF-8 JSON payload；max frame 8 MiB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Pattern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JSON-RPC-like request/response + server event stream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Auth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Pipe ACL current user；daemon validates session token/correlation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Large data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日志/文件 chunk stream 或 temp artifact；不塞入单一 frame</w:t>
            </w:r>
          </w:p>
        </w:tc>
      </w:tr>
    </w:tbl>
    <w:p>
      <w:pPr>
        <w:pStyle w:val="Heading1"/>
      </w:pPr>
      <w:r>
        <w:t>10. 数据逻辑设计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10-1 Core ERD</w:t>
      </w:r>
    </w:p>
    <w:p>
      <w:r>
        <w:rPr>
          <w:rFonts w:ascii="Noto Sans CJK SC" w:hAnsi="Noto Sans CJK SC" w:eastAsia="Noto Sans CJK SC"/>
        </w:rPr>
        <w:t>核心表 DDL 位于 schemas/001_init.sql。Core DB 只保存通用 metadata；插件不得任意增加 Core 表，插件私有 state 使用自己的 namespace/redb。</w:t>
      </w:r>
    </w:p>
    <w:p>
      <w:pPr>
        <w:pStyle w:val="Heading1"/>
      </w:pPr>
      <w:r>
        <w:t>11. Snapshot / CAS</w:t>
      </w:r>
    </w:p>
    <w:p>
      <w:pPr>
        <w:pStyle w:val="ListNumber"/>
      </w:pPr>
      <w:r>
        <w:rPr>
          <w:rFonts w:ascii="Noto Sans CJK SC" w:hAnsi="Noto Sans CJK SC" w:eastAsia="Noto Sans CJK SC"/>
        </w:rPr>
        <w:t>enumerate workspace manifest；mtime/size 未变且 index 有 hash 时复用</w:t>
      </w:r>
    </w:p>
    <w:p>
      <w:pPr>
        <w:pStyle w:val="ListNumber"/>
      </w:pPr>
      <w:r>
        <w:rPr>
          <w:rFonts w:ascii="Noto Sans CJK SC" w:hAnsi="Noto Sans CJK SC" w:eastAsia="Noto Sans CJK SC"/>
        </w:rPr>
        <w:t>变化文件流式计算 BLAKE3</w:t>
      </w:r>
    </w:p>
    <w:p>
      <w:pPr>
        <w:pStyle w:val="ListNumber"/>
      </w:pPr>
      <w:r>
        <w:rPr>
          <w:rFonts w:ascii="Noto Sans CJK SC" w:hAnsi="Noto Sans CJK SC" w:eastAsia="Noto Sans CJK SC"/>
        </w:rPr>
        <w:t>object 写 temp，flush/fsync 策略后 atomic rename</w:t>
      </w:r>
    </w:p>
    <w:p>
      <w:pPr>
        <w:pStyle w:val="ListNumber"/>
      </w:pPr>
      <w:r>
        <w:rPr>
          <w:rFonts w:ascii="Noto Sans CJK SC" w:hAnsi="Noto Sans CJK SC" w:eastAsia="Noto Sans CJK SC"/>
        </w:rPr>
        <w:t>SQLite transaction 插入 snapshot + entries</w:t>
      </w:r>
    </w:p>
    <w:p>
      <w:pPr>
        <w:pStyle w:val="ListNumber"/>
      </w:pPr>
      <w:r>
        <w:rPr>
          <w:rFonts w:ascii="Noto Sans CJK SC" w:hAnsi="Noto Sans CJK SC" w:eastAsia="Noto Sans CJK SC"/>
        </w:rPr>
        <w:t>commit 后 emit SnapshotCreated；失败删除 temp，不暴露 snapshot</w:t>
      </w:r>
    </w:p>
    <w:p>
      <w:pPr>
        <w:pStyle w:val="Heading1"/>
      </w:pPr>
      <w:r>
        <w:t>12. Event / Error / Operation</w:t>
      </w:r>
    </w:p>
    <w:p>
      <w:pPr>
        <w:pStyle w:val="ListBullet"/>
      </w:pPr>
      <w:r>
        <w:rPr>
          <w:rFonts w:ascii="Noto Sans CJK SC" w:hAnsi="Noto Sans CJK SC" w:eastAsia="Noto Sans CJK SC"/>
        </w:rPr>
        <w:t>operation_job 是所有 mutation/长操作的状态记录。</w:t>
      </w:r>
    </w:p>
    <w:p>
      <w:pPr>
        <w:pStyle w:val="ListBullet"/>
      </w:pPr>
      <w:r>
        <w:rPr>
          <w:rFonts w:ascii="Noto Sans CJK SC" w:hAnsi="Noto Sans CJK SC" w:eastAsia="Noto Sans CJK SC"/>
        </w:rPr>
        <w:t>error code 使用稳定 namespace；provider 原始错误放 detail，不作为 UI 稳定逻辑。</w:t>
      </w:r>
    </w:p>
    <w:p>
      <w:pPr>
        <w:pStyle w:val="ListBullet"/>
      </w:pPr>
      <w:r>
        <w:rPr>
          <w:rFonts w:ascii="Noto Sans CJK SC" w:hAnsi="Noto Sans CJK SC" w:eastAsia="Noto Sans CJK SC"/>
        </w:rPr>
        <w:t>event 包含 event_id/type/resource_id/correlation_id/timestamp/payload。</w:t>
      </w:r>
    </w:p>
    <w:p>
      <w:pPr>
        <w:pStyle w:val="ListBullet"/>
      </w:pPr>
      <w:r>
        <w:rPr>
          <w:rFonts w:ascii="Noto Sans CJK SC" w:hAnsi="Noto Sans CJK SC" w:eastAsia="Noto Sans CJK SC"/>
        </w:rPr>
        <w:t>logs/exec/event stream 统一支持 cancellation。</w:t>
      </w:r>
    </w:p>
    <w:p>
      <w:pPr>
        <w:pStyle w:val="Heading1"/>
      </w:pPr>
      <w:r>
        <w:t>13. Security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13-1 Security Boundary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socket/pipe 等价于高权限入口：只由授权 plugin worker 使用，不暴露给 UI/webview。</w:t>
      </w:r>
    </w:p>
    <w:p>
      <w:pPr>
        <w:pStyle w:val="ListBullet"/>
      </w:pPr>
      <w:r>
        <w:rPr>
          <w:rFonts w:ascii="Noto Sans CJK SC" w:hAnsi="Noto Sans CJK SC" w:eastAsia="Noto Sans CJK SC"/>
        </w:rPr>
        <w:t>remote tcp Docker endpoint 非 TLS 默认拒绝或强警告。</w:t>
      </w:r>
    </w:p>
    <w:p>
      <w:pPr>
        <w:pStyle w:val="ListBullet"/>
      </w:pPr>
      <w:r>
        <w:rPr>
          <w:rFonts w:ascii="Noto Sans CJK SC" w:hAnsi="Noto Sans CJK SC" w:eastAsia="Noto Sans CJK SC"/>
        </w:rPr>
        <w:t>VFS 路径 normalize + symlink/reparse confinement。</w:t>
      </w:r>
    </w:p>
    <w:p>
      <w:pPr>
        <w:pStyle w:val="ListBullet"/>
      </w:pPr>
      <w:r>
        <w:rPr>
          <w:rFonts w:ascii="Noto Sans CJK SC" w:hAnsi="Noto Sans CJK SC" w:eastAsia="Noto Sans CJK SC"/>
        </w:rPr>
        <w:t>secret 只存 OS Credential reference。</w:t>
      </w:r>
    </w:p>
    <w:p>
      <w:pPr>
        <w:pStyle w:val="Heading1"/>
      </w:pPr>
      <w:r>
        <w:t>14. 配置/安装/升级</w:t>
      </w:r>
    </w:p>
    <w:p>
      <w:pPr>
        <w:pStyle w:val="ListBullet"/>
      </w:pPr>
      <w:r>
        <w:rPr>
          <w:rFonts w:ascii="Noto Sans CJK SC" w:hAnsi="Noto Sans CJK SC" w:eastAsia="Noto Sans CJK SC"/>
        </w:rPr>
        <w:t>%LOCALAPPDATA%/SandTree/{sandtree.db,objects,plugins,logs,tmp}</w:t>
      </w:r>
    </w:p>
    <w:p>
      <w:pPr>
        <w:pStyle w:val="ListBullet"/>
      </w:pPr>
      <w:r>
        <w:rPr>
          <w:rFonts w:ascii="Noto Sans CJK SC" w:hAnsi="Noto Sans CJK SC" w:eastAsia="Noto Sans CJK SC"/>
        </w:rPr>
        <w:t>daemon per-user；Desktop/CLI 可启动/连接 daemon。</w:t>
      </w:r>
    </w:p>
    <w:p>
      <w:pPr>
        <w:pStyle w:val="ListBullet"/>
      </w:pPr>
      <w:r>
        <w:rPr>
          <w:rFonts w:ascii="Noto Sans CJK SC" w:hAnsi="Noto Sans CJK SC" w:eastAsia="Noto Sans CJK SC"/>
        </w:rPr>
        <w:t>Plugin 安装到 content-addressed package dir；新 generation side-by-side。</w:t>
      </w:r>
    </w:p>
    <w:p>
      <w:pPr>
        <w:pStyle w:val="ListBullet"/>
      </w:pPr>
      <w:r>
        <w:rPr>
          <w:rFonts w:ascii="Noto Sans CJK SC" w:hAnsi="Noto Sans CJK SC" w:eastAsia="Noto Sans CJK SC"/>
        </w:rPr>
        <w:t>Core DB migration 独占锁 + backup metadata + rollback。</w:t>
      </w:r>
    </w:p>
    <w:p>
      <w:pPr>
        <w:pStyle w:val="Heading1"/>
      </w:pPr>
      <w:r>
        <w:t>15. 运维诊断</w:t>
      </w:r>
    </w:p>
    <w:p>
      <w:pPr>
        <w:pStyle w:val="ListBullet"/>
      </w:pPr>
      <w:r>
        <w:rPr>
          <w:rFonts w:ascii="Noto Sans CJK SC" w:hAnsi="Noto Sans CJK SC" w:eastAsia="Noto Sans CJK SC"/>
        </w:rPr>
        <w:t>provider health dashboard</w:t>
      </w:r>
    </w:p>
    <w:p>
      <w:pPr>
        <w:pStyle w:val="ListBullet"/>
      </w:pPr>
      <w:r>
        <w:rPr>
          <w:rFonts w:ascii="Noto Sans CJK SC" w:hAnsi="Noto Sans CJK SC" w:eastAsia="Noto Sans CJK SC"/>
        </w:rPr>
        <w:t>operation/event audit</w:t>
      </w:r>
    </w:p>
    <w:p>
      <w:pPr>
        <w:pStyle w:val="ListBullet"/>
      </w:pPr>
      <w:r>
        <w:rPr>
          <w:rFonts w:ascii="Noto Sans CJK SC" w:hAnsi="Noto Sans CJK SC" w:eastAsia="Noto Sans CJK SC"/>
        </w:rPr>
        <w:t>diagnostic bundle</w:t>
      </w:r>
    </w:p>
    <w:p>
      <w:pPr>
        <w:pStyle w:val="ListBullet"/>
      </w:pPr>
      <w:r>
        <w:rPr>
          <w:rFonts w:ascii="Noto Sans CJK SC" w:hAnsi="Noto Sans CJK SC" w:eastAsia="Noto Sans CJK SC"/>
        </w:rPr>
        <w:t>plugin generation/rollback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endpoint health/API version</w:t>
      </w:r>
    </w:p>
    <w:p>
      <w:pPr>
        <w:pStyle w:val="ListBullet"/>
      </w:pPr>
      <w:r>
        <w:rPr>
          <w:rFonts w:ascii="Noto Sans CJK SC" w:hAnsi="Noto Sans CJK SC" w:eastAsia="Noto Sans CJK SC"/>
        </w:rPr>
        <w:t>storage/CAS usage</w:t>
      </w:r>
    </w:p>
    <w:p>
      <w:pPr>
        <w:pStyle w:val="Heading1"/>
      </w:pPr>
      <w:r>
        <w:t>16. 详细设计输入</w:t>
      </w:r>
    </w:p>
    <w:p>
      <w:pPr>
        <w:pStyle w:val="ListBullet"/>
      </w:pPr>
      <w:r>
        <w:rPr>
          <w:rFonts w:ascii="Noto Sans CJK SC" w:hAnsi="Noto Sans CJK SC" w:eastAsia="Noto Sans CJK SC"/>
        </w:rPr>
        <w:t>Rust crate/module boundaries</w:t>
      </w:r>
    </w:p>
    <w:p>
      <w:pPr>
        <w:pStyle w:val="ListBullet"/>
      </w:pPr>
      <w:r>
        <w:rPr>
          <w:rFonts w:ascii="Noto Sans CJK SC" w:hAnsi="Noto Sans CJK SC" w:eastAsia="Noto Sans CJK SC"/>
        </w:rPr>
        <w:t>WIT signatures + manifest schema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provider mapping/error translation</w:t>
      </w:r>
    </w:p>
    <w:p>
      <w:pPr>
        <w:pStyle w:val="ListBullet"/>
      </w:pPr>
      <w:r>
        <w:rPr>
          <w:rFonts w:ascii="Noto Sans CJK SC" w:hAnsi="Noto Sans CJK SC" w:eastAsia="Noto Sans CJK SC"/>
        </w:rPr>
        <w:t>Named Pipe frame/API methods</w:t>
      </w:r>
    </w:p>
    <w:p>
      <w:pPr>
        <w:pStyle w:val="ListBullet"/>
      </w:pPr>
      <w:r>
        <w:rPr>
          <w:rFonts w:ascii="Noto Sans CJK SC" w:hAnsi="Noto Sans CJK SC" w:eastAsia="Noto Sans CJK SC"/>
        </w:rPr>
        <w:t>SQLite schema/index/transaction</w:t>
      </w:r>
    </w:p>
    <w:p>
      <w:pPr>
        <w:pStyle w:val="ListBullet"/>
      </w:pPr>
      <w:r>
        <w:rPr>
          <w:rFonts w:ascii="Noto Sans CJK SC" w:hAnsi="Noto Sans CJK SC" w:eastAsia="Noto Sans CJK SC"/>
        </w:rPr>
        <w:t>HotSwap supervisor algorithm</w:t>
      </w:r>
    </w:p>
    <w:p>
      <w:pPr>
        <w:pStyle w:val="ListBullet"/>
      </w:pPr>
      <w:r>
        <w:rPr>
          <w:rFonts w:ascii="Noto Sans CJK SC" w:hAnsi="Noto Sans CJK SC" w:eastAsia="Noto Sans CJK SC"/>
        </w:rPr>
        <w:t>Windows Sandbox Bridge contract</w:t>
      </w:r>
    </w:p>
    <w:p>
      <w:pPr>
        <w:pStyle w:val="ListBullet"/>
      </w:pPr>
      <w:r>
        <w:rPr>
          <w:rFonts w:ascii="Noto Sans CJK SC" w:hAnsi="Noto Sans CJK SC" w:eastAsia="Noto Sans CJK SC"/>
        </w:rPr>
        <w:t>UT/IT/ST/UAT traceability</w:t>
      </w:r>
    </w:p>
    <w:p>
      <w:pPr>
        <w:pStyle w:val="Heading1"/>
      </w:pPr>
      <w:r>
        <w:t>参考资料与许可核对来源</w:t>
      </w:r>
    </w:p>
    <w:p>
      <w:r>
        <w:rPr>
          <w:rFonts w:ascii="Noto Sans CJK SC" w:hAnsi="Noto Sans CJK SC" w:eastAsia="Noto Sans CJK SC"/>
        </w:rPr>
        <w:t>IPA 资料用于过程/成果物组织；Architecture View 使用 ISO 42010 的 viewpoint/view 思路作为项目补充。OSS 许可清单是工程基线，不替代法律意见；发行时必须以锁定版本、SBOM 与 cargo-deny/前端依赖扫描结果为准。</w:t>
      </w:r>
    </w:p>
    <w:p>
      <w:r>
        <w:rPr>
          <w:rFonts w:ascii="Noto Sans CJK SC" w:hAnsi="Noto Sans CJK SC" w:eastAsia="Noto Sans CJK SC"/>
        </w:rPr>
        <w:t>IPA 共通フレーム2013: https://www.ipa.go.jp/publish/secbooks20130304.html — 系统/软件/服务从构想到废弃的生命周期活动、任务与角色的共通框架。</w:t>
      </w:r>
    </w:p>
    <w:p>
      <w:r>
        <w:rPr>
          <w:rFonts w:ascii="Noto Sans CJK SC" w:hAnsi="Noto Sans CJK SC" w:eastAsia="Noto Sans CJK SC"/>
        </w:rPr>
        <w:t>IPA ユーザのための要件定義ガイド 第2版: https://www.ipa.go.jp/archive/publish/tn20191220.html — 需求定义、需求管理、主要成果物与问题解决实践。</w:t>
      </w:r>
    </w:p>
    <w:p>
      <w:r>
        <w:rPr>
          <w:rFonts w:ascii="Noto Sans CJK SC" w:hAnsi="Noto Sans CJK SC" w:eastAsia="Noto Sans CJK SC"/>
        </w:rPr>
        <w:t>IPA 非機能要求グレード2018: https://www.ipa.go.jp/archive/digital/iot-en-ci/jyouryuu/hikinou/ent03-b.html — 以六大类组织非功能需求并形成用户/开发方共识。</w:t>
      </w:r>
    </w:p>
    <w:p>
      <w:r>
        <w:rPr>
          <w:rFonts w:ascii="Noto Sans CJK SC" w:hAnsi="Noto Sans CJK SC" w:eastAsia="Noto Sans CJK SC"/>
        </w:rPr>
        <w:t>ISO/IEC/IEEE 42010:2022: https://www.iso.org/standard/74393.html — Architecture Description 的 Viewpoint/View 概念；用于补充 IPA 系统方式设计的表达。</w:t>
      </w:r>
    </w:p>
    <w:p>
      <w:r>
        <w:rPr>
          <w:rFonts w:ascii="Noto Sans CJK SC" w:hAnsi="Noto Sans CJK SC" w:eastAsia="Noto Sans CJK SC"/>
        </w:rPr>
        <w:t>WIT Reference / WebAssembly Component Model: https://component-model.bytecodealliance.org/design/wit.html — WIT 定义组件之间的接口契约；用于 SandTree Plugin ABI。</w:t>
      </w:r>
    </w:p>
    <w:p>
      <w:r>
        <w:rPr>
          <w:rFonts w:ascii="Noto Sans CJK SC" w:hAnsi="Noto Sans CJK SC" w:eastAsia="Noto Sans CJK SC"/>
        </w:rPr>
        <w:t>Moby / Docker Engine: https://github.com/moby/moby — Moby/Docker Engine 开源实现，Apache-2.0。</w:t>
      </w:r>
    </w:p>
    <w:p>
      <w:r>
        <w:rPr>
          <w:rFonts w:ascii="Noto Sans CJK SC" w:hAnsi="Noto Sans CJK SC" w:eastAsia="Noto Sans CJK SC"/>
        </w:rPr>
        <w:t>Docker CLI: https://github.com/docker/cli — Docker CLI，Apache-2.0。</w:t>
      </w:r>
    </w:p>
    <w:p>
      <w:r>
        <w:rPr>
          <w:rFonts w:ascii="Noto Sans CJK SC" w:hAnsi="Noto Sans CJK SC" w:eastAsia="Noto Sans CJK SC"/>
        </w:rPr>
        <w:t>Docker Compose: https://github.com/docker/compose — Docker Compose v2，Apache-2.0。</w:t>
      </w:r>
    </w:p>
    <w:p>
      <w:r>
        <w:rPr>
          <w:rFonts w:ascii="Noto Sans CJK SC" w:hAnsi="Noto Sans CJK SC" w:eastAsia="Noto Sans CJK SC"/>
        </w:rPr>
        <w:t>Docker Desktop License: https://docs.docker.com/subscription-billing/desktop-license/ — Docker Desktop 有单独商业许可边界；SandTree 不将其作为必需或可再分发依赖。</w:t>
      </w:r>
    </w:p>
    <w:p>
      <w:r>
        <w:rPr>
          <w:rFonts w:ascii="Noto Sans CJK SC" w:hAnsi="Noto Sans CJK SC" w:eastAsia="Noto Sans CJK SC"/>
        </w:rPr>
        <w:t>Bollard: https://github.com/fussybeaver/bollard — Rust Docker/Podman API client，Apache-2.0；支持 Unix Socket/Windows Named Pipe。</w:t>
      </w:r>
    </w:p>
    <w:p>
      <w:r>
        <w:rPr>
          <w:rFonts w:ascii="Noto Sans CJK SC" w:hAnsi="Noto Sans CJK SC" w:eastAsia="Noto Sans CJK SC"/>
        </w:rPr>
        <w:t>gitoxide / gix: https://github.com/GitoxideLabs/gitoxide — Rust 实现 Git；MIT OR Apache-2.0。</w:t>
      </w:r>
    </w:p>
    <w:p>
      <w:r>
        <w:rPr>
          <w:rFonts w:ascii="Noto Sans CJK SC" w:hAnsi="Noto Sans CJK SC" w:eastAsia="Noto Sans CJK SC"/>
        </w:rPr>
        <w:t>Tantivy: https://github.com/quickwit-oss/tantivy — Rust 全文检索库；MIT；作为可选 Search Plugin。</w:t>
      </w:r>
    </w:p>
    <w:p>
      <w:r>
        <w:rPr>
          <w:rFonts w:ascii="Noto Sans CJK SC" w:hAnsi="Noto Sans CJK SC" w:eastAsia="Noto Sans CJK SC"/>
        </w:rPr>
        <w:t>SQLite Public Domain: https://www.sqlite.org/copyright.html — SQLite 核心代码 Public Domain，可用于商业产品。</w:t>
      </w:r>
    </w:p>
    <w:p>
      <w:r>
        <w:rPr>
          <w:rFonts w:ascii="Noto Sans CJK SC" w:hAnsi="Noto Sans CJK SC" w:eastAsia="Noto Sans CJK SC"/>
        </w:rPr>
        <w:t>cargo-deny: https://github.com/EmbarkStudios/cargo-deny — Rust 依赖许可证/来源/漏洞策略门禁；MIT OR Apache-2.0。</w:t>
      </w:r>
    </w:p>
    <w:p>
      <w:r>
        <w:br w:type="page"/>
      </w:r>
    </w:p>
    <w:p>
      <w:pPr>
        <w:pStyle w:val="Heading1"/>
      </w:pPr>
      <w:r>
        <w:t>17. Observation Plane 基本设计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p>
      <w:pPr>
        <w:pStyle w:val="Heading2"/>
      </w:pPr>
      <w:r>
        <w:t>17.1 Observation 功能分解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80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216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4032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2592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Strategy Negotiation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Resource + capability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native→exec→probe→metadata 选择；记录理由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ObservationPlan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Collect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ObservationPlan + domain set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有界采集；timeout/cancel/output limit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RawObservation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Normalize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provider payload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转换为 domain DTO；不泄漏 provider SDK type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ObservationSnapshot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Provenance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source/time/evidence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计算 trust/freshness/partial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ObservedValue&lt;T&gt;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Cache/Reconcile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snapshot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max-age + event invalidation + periodic reconcile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Resource/Event update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Lazy File Read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stfs URI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metadata first；content on demand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bytes/hash/diff</w:t>
            </w:r>
          </w:p>
        </w:tc>
      </w:tr>
    </w:tbl>
    <w:p>
      <w:pPr>
        <w:pStyle w:val="Heading2"/>
      </w:pPr>
      <w:r>
        <w:t>17.2 Provider Observation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216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144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Preferred</w:t>
            </w:r>
          </w:p>
        </w:tc>
        <w:tc>
          <w:tcPr>
            <w:tcW w:type="dxa" w:w="144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Fallback</w:t>
            </w:r>
          </w:p>
        </w:tc>
        <w:tc>
          <w:tcPr>
            <w:tcW w:type="dxa" w:w="216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Files</w:t>
            </w:r>
          </w:p>
        </w:tc>
        <w:tc>
          <w:tcPr>
            <w:tcW w:type="dxa" w:w="216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Processes</w:t>
            </w:r>
          </w:p>
        </w:tc>
        <w:tc>
          <w:tcPr>
            <w:tcW w:type="dxa" w:w="216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Docker child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Docker Sandbox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Native API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Metadata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Native file API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Native process API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Detect/expose nested runtime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Multipass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Exec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Metadata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transfer/exec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collector via exec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collector/endpoint discovery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Windows Sandbox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Probe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Metadata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probe or controlled mapping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probe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optional discovery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Docker Engine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Native API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Metadata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container copy/exec as feature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container/runtime API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self</w:t>
            </w:r>
          </w:p>
        </w:tc>
      </w:tr>
    </w:tbl>
    <w:p>
      <w:pPr>
        <w:pStyle w:val="Heading2"/>
      </w:pPr>
      <w:r>
        <w:t>17.3 UI 基本表示</w:t>
      </w:r>
    </w:p>
    <w:p>
      <w:pPr>
        <w:pStyle w:val="ListBullet"/>
      </w:pPr>
      <w:r>
        <w:t>Inspector 显示 Observation Mode、Health、Last Observed、Freshness、Trust。</w:t>
      </w:r>
    </w:p>
    <w:p>
      <w:pPr>
        <w:pStyle w:val="ListBullet"/>
      </w:pPr>
      <w:r>
        <w:t>值为 stale/partial/guest-reported 时必须有非颜色唯一标识（文本/图标）。</w:t>
      </w:r>
    </w:p>
    <w:p>
      <w:pPr>
        <w:pStyle w:val="ListBullet"/>
      </w:pPr>
      <w:r>
        <w:t>Metadata-only 状态仍允许 lifecycle 操作；UI 不应把“看不见”误判为“资源不存在”。</w:t>
      </w:r>
    </w:p>
    <w:p>
      <w:pPr>
        <w:pStyle w:val="ListBullet"/>
      </w:pPr>
      <w:r>
        <w:t>展开 Sandbox 下的 Docker Runtime 时，资源树明确保持 Sandbox→Docker Runtime→Container 层级。</w:t>
      </w:r>
    </w:p>
    <w:sectPr w:rsidR="00FC693F" w:rsidRPr="0006063C" w:rsidSect="00034616">
      <w:headerReference w:type="default" r:id="rId10"/>
      <w:footerReference w:type="default" r:id="rId11"/>
      <w:headerReference w:type="first" r:id="rId19"/>
      <w:footerReference w:type="first" r:id="rId20"/>
      <w:headerReference w:type="even" r:id="rId21"/>
      <w:footerReference w:type="even" r:id="rId22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基本設計書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header" Target="header3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