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/>
          <w:color w:val="72551F"/>
          <w:sz w:val="56"/>
        </w:rPr>
        <w:t>SandTree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A2A2A"/>
          <w:sz w:val="42"/>
        </w:rPr>
        <w:t>詳細設計書 — Data・Interface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77777"/>
          <w:sz w:val="21"/>
        </w:rPr>
        <w:t>SQLite / IPC / VFS / Events / Schemas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版本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1.1 Baseline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基准日期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2026-10-07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文档代码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ST-V11-DD-DATA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产品定位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Sandbox &amp; Docker Control Plane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状态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Approved Design Baseline (project internal)</w:t>
            </w:r>
          </w:p>
        </w:tc>
      </w:tr>
    </w:tbl>
    <w:p>
      <w:r/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8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65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目的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冻结核心数据结构、事务、IPC、VFS URI、事件和机器可读 schema。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适用范围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SandTree v1.1：Sandbox &amp; Docker Control Plane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变更控制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FR/NFR、基本设计、详细设计、测试用例均使用 ID 追踪；语义变化必须更新 traceability。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核心原则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Rust-first；商业友好 OSS；原子化解耦；Plugin Cluster→App Cluster；MCP/Agent 为 Optional Integration。</w:t>
            </w:r>
          </w:p>
        </w:tc>
      </w:tr>
    </w:tbl>
    <w:p>
      <w:pPr>
        <w:pStyle w:val="Heading1"/>
      </w:pPr>
      <w:r>
        <w:t>目录（静态）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1. SQLite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2. Transactions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3. CAS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4. VFS URI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5. IPC frame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6. API methods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7. Event schema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8. Error codes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9. Retention/GC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10. Migration</w:t>
      </w:r>
    </w:p>
    <w:p>
      <w:r/>
    </w:p>
    <w:p>
      <w:pPr>
        <w:pStyle w:val="Heading1"/>
      </w:pPr>
      <w:r>
        <w:t>1. SQLite Core Store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1-1 Core ERD</w:t>
      </w:r>
    </w:p>
    <w:p>
      <w:r>
        <w:rPr>
          <w:rFonts w:ascii="Noto Sans CJK SC" w:hAnsi="Noto Sans CJK SC" w:eastAsia="Noto Sans CJK SC"/>
        </w:rPr>
        <w:t>DDL：schemas/001_init.sql。SQLite WAL；foreign_keys=ON；busy_timeout=5s；一个专用写连接，最多 4 个读连接（基线，可基准后调整）。</w:t>
      </w:r>
    </w:p>
    <w:p>
      <w:pPr>
        <w:pStyle w:val="Heading1"/>
      </w:pPr>
      <w:r>
        <w:t>2. Transaction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Use case</w:t>
            </w:r>
          </w:p>
        </w:tc>
        <w:tc>
          <w:tcPr>
            <w:tcW w:type="dxa" w:w="6803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Transaction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discovery batch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resource/relation upsert + stale marks in one write transaction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operation start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insert job before provider dispatch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operation result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job final + audit/event metadata; resource final state via reconcile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snapshot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snapshot + entries one transaction after CAS objects available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 install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package row only after package/schema/hash/license verify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app generation activation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insert generation then atomic active generation metadata update</w:t>
            </w:r>
          </w:p>
        </w:tc>
      </w:tr>
    </w:tbl>
    <w:p>
      <w:pPr>
        <w:pStyle w:val="Heading1"/>
      </w:pPr>
      <w:r>
        <w:t>3. CAS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objects/&lt;h0h1&gt;/&lt;full-blake3&gt;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tmp/cas-&lt;uuid&gt;.part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write temp -&gt; flush -&gt; optional fsync -&gt; rename if target absent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DB references digest only after object success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GC = mark all snapshot_entry hashes -&gt; sweep unmarked older-than-grace</w:t>
      </w:r>
    </w:p>
    <w:p>
      <w:pPr>
        <w:pStyle w:val="Heading1"/>
      </w:pPr>
      <w:r>
        <w:t>4. VFS URI</w:t>
      </w:r>
    </w:p>
    <w:p>
      <w:r>
        <w:rPr>
          <w:rFonts w:ascii="Noto Sans CJK SC" w:hAnsi="Noto Sans CJK SC" w:eastAsia="Noto Sans CJK SC"/>
        </w:rPr>
        <w:t>详细规范见 schemas/workspace_uri_v1.md。Core storage/index/snapshot 只使用 stfs canonical URI；provider-specific alias 只用于 UI。</w:t>
      </w:r>
    </w:p>
    <w:p>
      <w:pPr>
        <w:pStyle w:val="Heading1"/>
      </w:pPr>
      <w:r>
        <w:t>5. IPC Frame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[4 bytes little-endian payload_len][payload_len bytes UTF-8 JSON]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max payload = 8 MiB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request: {id, method, params, correlation_id}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response: {id, result} | {id, error:{code,message,detail}}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event: {event, payload, correlation_id}</w:t>
      </w:r>
    </w:p>
    <w:p>
      <w:pPr>
        <w:pStyle w:val="Heading1"/>
      </w:pPr>
      <w:r>
        <w:t>6. API Method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Family</w:t>
            </w:r>
          </w:p>
        </w:tc>
        <w:tc>
          <w:tcPr>
            <w:tcW w:type="dxa" w:w="6803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Methods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resource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list/tree/inspect/relations/refresh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operation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invoke/status/cancel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logs.open/exec.open/stats.open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workspace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list/stat/read/write/move/remove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snapshot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create/list/diff/delete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list/install/enable/disable/hotswap/rollback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event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subscribe/unsubscribe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diagnostic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health/export_bundle</w:t>
            </w:r>
          </w:p>
        </w:tc>
      </w:tr>
    </w:tbl>
    <w:p>
      <w:pPr>
        <w:pStyle w:val="Heading1"/>
      </w:pPr>
      <w:r>
        <w:t>7. Event Schema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{ event_id, event_type, ts, resource_id?, provider_id?, plugin_id?,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correlation_id, severity, payload }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Types: ResourceAdded/Changed/Removed, ProviderHealthChanged,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OperationProgress/Completed, PluginGenerationChanged, AuditRecorded</w:t>
      </w:r>
    </w:p>
    <w:p>
      <w:pPr>
        <w:pStyle w:val="Heading1"/>
      </w:pPr>
      <w:r>
        <w:t>8. Error Codes</w:t>
      </w:r>
    </w:p>
    <w:p>
      <w:r>
        <w:rPr>
          <w:rFonts w:ascii="Noto Sans CJK SC" w:hAnsi="Noto Sans CJK SC" w:eastAsia="Noto Sans CJK SC"/>
        </w:rPr>
        <w:t>稳定错误码见 schemas/error_codes.csv。UI 不通过字符串匹配 provider 原始错误做逻辑。</w:t>
      </w:r>
    </w:p>
    <w:p>
      <w:pPr>
        <w:pStyle w:val="Heading1"/>
      </w:pPr>
      <w:r>
        <w:t>9. Retention / GC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Data</w:t>
            </w:r>
          </w:p>
        </w:tc>
        <w:tc>
          <w:tcPr>
            <w:tcW w:type="dxa" w:w="6803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Default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event_log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30 days or 200k rows, whichever first; configurable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operation_job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90 days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daemon logs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rolling 7x20MiB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CAS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referenced indefinitely; orphan GC grace 7 days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diagnostic bundles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user-created; no automatic retention</w:t>
            </w:r>
          </w:p>
        </w:tc>
      </w:tr>
    </w:tbl>
    <w:p>
      <w:pPr>
        <w:pStyle w:val="Heading1"/>
      </w:pPr>
      <w:r>
        <w:t>10. Migration</w:t>
      </w:r>
    </w:p>
    <w:p>
      <w:pPr>
        <w:pStyle w:val="ListBullet"/>
      </w:pPr>
      <w:r>
        <w:rPr>
          <w:rFonts w:ascii="Noto Sans CJK SC" w:hAnsi="Noto Sans CJK SC" w:eastAsia="Noto Sans CJK SC"/>
        </w:rPr>
        <w:t>PRAGMA user_version/schema_version table 双重记录。</w:t>
      </w:r>
    </w:p>
    <w:p>
      <w:pPr>
        <w:pStyle w:val="ListBullet"/>
      </w:pPr>
      <w:r>
        <w:rPr>
          <w:rFonts w:ascii="Noto Sans CJK SC" w:hAnsi="Noto Sans CJK SC" w:eastAsia="Noto Sans CJK SC"/>
        </w:rPr>
        <w:t>migration 文件单向编号；每个 migration 提供 precheck 和 failure behavior。</w:t>
      </w:r>
    </w:p>
    <w:p>
      <w:pPr>
        <w:pStyle w:val="ListBullet"/>
      </w:pPr>
      <w:r>
        <w:rPr>
          <w:rFonts w:ascii="Noto Sans CJK SC" w:hAnsi="Noto Sans CJK SC" w:eastAsia="Noto Sans CJK SC"/>
        </w:rPr>
        <w:t>升级前备份 DB metadata/file；migration 失败恢复旧 binary + DB backup。</w:t>
      </w:r>
    </w:p>
    <w:p>
      <w:pPr>
        <w:pStyle w:val="ListBullet"/>
      </w:pPr>
      <w:r>
        <w:rPr>
          <w:rFonts w:ascii="Noto Sans CJK SC" w:hAnsi="Noto Sans CJK SC" w:eastAsia="Noto Sans CJK SC"/>
        </w:rPr>
        <w:t>插件 state migration 不在 Core DB transaction 中，由 HotSwap protocol 单独处理。</w:t>
      </w:r>
    </w:p>
    <w:p>
      <w:r>
        <w:br w:type="page"/>
      </w:r>
    </w:p>
    <w:p>
      <w:pPr>
        <w:pStyle w:val="Heading1"/>
      </w:pPr>
      <w:r>
        <w:t>11. Observation Data / Interface 详细设计</w:t>
      </w:r>
    </w:p>
    <w:p>
      <w:r>
        <w:rPr>
          <w:b/>
        </w:rPr>
        <w:t>本节为 v1.1 正式设计增量，与前述 v1.0 Sandbox &amp; Docker Control Plane 基线共同构成当前有效设计。发生冲突时，本节优先。</w:t>
      </w:r>
    </w:p>
    <w:p>
      <w:pPr>
        <w:pStyle w:val="Heading2"/>
      </w:pPr>
      <w:r>
        <w:t>11.1 ObservationSnapshot</w:t>
      </w:r>
    </w:p>
    <w:p>
      <w:pPr>
        <w:pStyle w:val="NoSpacing"/>
        <w:spacing w:after="40"/>
        <w:ind w:left="360"/>
      </w:pPr>
      <w:r>
        <w:rPr>
          <w:rFonts w:ascii="Consolas" w:hAnsi="Consolas"/>
          <w:color w:val="1F2937"/>
          <w:sz w:val="17"/>
        </w:rPr>
        <w:t>ObservationSnapshot { resource_id, observed_at, mode, health, collector_version, values }</w:t>
      </w:r>
    </w:p>
    <w:p>
      <w:pPr>
        <w:pStyle w:val="NoSpacing"/>
        <w:spacing w:after="40"/>
        <w:ind w:left="360"/>
      </w:pPr>
      <w:r>
        <w:rPr>
          <w:rFonts w:ascii="Consolas" w:hAnsi="Consolas"/>
          <w:color w:val="1F2937"/>
          <w:sz w:val="17"/>
        </w:rPr>
        <w:t>ObservedValue&lt;T&gt; { value, provenance { source, trust, observed_at, freshness_ms, evidence_hash, partial } }</w:t>
      </w:r>
    </w:p>
    <w:p>
      <w:r>
        <w:t>机器契约：schemas/observation_snapshot_v1.schema.json；WIT：schemas/sandtree_observation_v1.wit。</w:t>
      </w:r>
    </w:p>
    <w:p>
      <w:pPr>
        <w:pStyle w:val="Heading2"/>
      </w:pPr>
      <w:r>
        <w:t>11.2 持久化策略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592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1728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默认持久化</w:t>
            </w:r>
          </w:p>
        </w:tc>
        <w:tc>
          <w:tcPr>
            <w:tcW w:type="dxa" w:w="6048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current observation summary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是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Resource metadata/observation_state；仅最新值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high-volume process list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否/短期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默认内存缓存；诊断时可采样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file metadata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是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索引 path/size/mtime/type/hash_state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file content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按需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仅 Snapshot/CAS 或用户明确缓存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raw probe envelope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短期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验证后默认删除；失败样本按脱敏诊断策略保留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provenance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是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与值或摘要绑定，支持审计/可信度显示</w:t>
            </w:r>
          </w:p>
        </w:tc>
      </w:tr>
    </w:tbl>
    <w:p>
      <w:pPr>
        <w:pStyle w:val="Heading2"/>
      </w:pPr>
      <w:r>
        <w:t>11.3 Error Contract</w:t>
      </w:r>
    </w:p>
    <w:p>
      <w:r>
        <w:t>新增错误码定义见 schemas/observation_error_codes.csv。Observation error 不直接转换为 Resource NotFound；必须区分 unavailable/degraded/stale/partial。</w:t>
      </w:r>
    </w:p>
    <w:sectPr w:rsidR="00FC693F" w:rsidRPr="0006063C" w:rsidSect="00034616">
      <w:headerReference w:type="default" r:id="rId10"/>
      <w:footerReference w:type="default" r:id="rId11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2026-10-07  |  SandTree v1.1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77777"/>
        <w:sz w:val="16"/>
      </w:rPr>
      <w:t>SandTree | 詳細設計書 — Data・Interface | 1.1 Baseline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255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55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198"/>
    </w:pPr>
    <w:rPr>
      <w:rFonts w:ascii="Consolas" w:hAnsi="Consolas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