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詳細設計書 — Security・Operations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Threat Boundaries / Policy /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ST-V11-DD-SECOPS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冻结本地安全边界、Docker 高权限入口保护、插件权限、运维恢复与诊断。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Threat Model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Privilege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Docker Endpoint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Plugin Policy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VFS Security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Secrets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Audit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Recovery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Diagnostics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Release Security</w:t>
      </w:r>
    </w:p>
    <w:p>
      <w:r/>
    </w:p>
    <w:p>
      <w:pPr>
        <w:pStyle w:val="Heading1"/>
      </w:pPr>
      <w:r>
        <w:t>1. Threat Model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1-1 Trust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Threat</w:t>
            </w:r>
          </w:p>
        </w:tc>
        <w:tc>
          <w:tcPr>
            <w:tcW w:type="dxa" w:w="6236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Control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Malicious/buggy plugin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WASM/worker isolation + deny-by-default capabilities + timeout/fuel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socket privilege escalation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only Docker Provider worker; never UI/webview; user must own endpoint access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Path traversal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stfs normalize + provider canonical confinement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Secret leakage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OS secret store references + structured redaction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Destructive operation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capability + policy + explicit confirmation + audit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Compromised remote Docker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TLS/host verification; plaintext TCP warning/deny policy</w:t>
            </w:r>
          </w:p>
        </w:tc>
      </w:tr>
    </w:tbl>
    <w:p>
      <w:pPr>
        <w:pStyle w:val="Heading1"/>
      </w:pPr>
      <w:r>
        <w:t>2. Privilege</w:t>
      </w:r>
    </w:p>
    <w:p>
      <w:pPr>
        <w:pStyle w:val="ListBullet"/>
      </w:pPr>
      <w:r>
        <w:rPr>
          <w:rFonts w:ascii="Noto Sans CJK SC" w:hAnsi="Noto Sans CJK SC" w:eastAsia="Noto Sans CJK SC"/>
        </w:rPr>
        <w:t>daemon/desktop/cli 不以管理员常驻。</w:t>
      </w:r>
    </w:p>
    <w:p>
      <w:pPr>
        <w:pStyle w:val="ListBullet"/>
      </w:pPr>
      <w:r>
        <w:rPr>
          <w:rFonts w:ascii="Noto Sans CJK SC" w:hAnsi="Noto Sans CJK SC" w:eastAsia="Noto Sans CJK SC"/>
        </w:rPr>
        <w:t>Windows feature enable/installer 等需要管理员的动作通过显式外部流程。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worker inherits only required user rights；capability 不等于 OS 提权。</w:t>
      </w:r>
    </w:p>
    <w:p>
      <w:pPr>
        <w:pStyle w:val="Heading1"/>
      </w:pPr>
      <w:r>
        <w:t>3. Docker Endpoint Security</w:t>
      </w:r>
    </w:p>
    <w:p>
      <w:pPr>
        <w:pStyle w:val="ListBullet"/>
      </w:pPr>
      <w:r>
        <w:rPr>
          <w:rFonts w:ascii="Noto Sans CJK SC" w:hAnsi="Noto Sans CJK SC" w:eastAsia="Noto Sans CJK SC"/>
        </w:rPr>
        <w:t>local named pipe/socket 优先。</w:t>
      </w:r>
    </w:p>
    <w:p>
      <w:pPr>
        <w:pStyle w:val="ListBullet"/>
      </w:pPr>
      <w:r>
        <w:rPr>
          <w:rFonts w:ascii="Noto Sans CJK SC" w:hAnsi="Noto Sans CJK SC" w:eastAsia="Noto Sans CJK SC"/>
        </w:rPr>
        <w:t>tcp:// without TLS 默认标记 Critical；policy 可拒绝连接。</w:t>
      </w:r>
    </w:p>
    <w:p>
      <w:pPr>
        <w:pStyle w:val="ListBullet"/>
      </w:pPr>
      <w:r>
        <w:rPr>
          <w:rFonts w:ascii="Noto Sans CJK SC" w:hAnsi="Noto Sans CJK SC" w:eastAsia="Noto Sans CJK SC"/>
        </w:rPr>
        <w:t>TLS credentials stored as secret references/path refs with ACL；不复制 private key 到 DB。</w:t>
      </w:r>
    </w:p>
    <w:p>
      <w:pPr>
        <w:pStyle w:val="ListBullet"/>
      </w:pPr>
      <w:r>
        <w:rPr>
          <w:rFonts w:ascii="Noto Sans CJK SC" w:hAnsi="Noto Sans CJK SC" w:eastAsia="Noto Sans CJK SC"/>
        </w:rPr>
        <w:t>remote endpoint action 与 local endpoint action 在 UI 显示 endpoint identity。</w:t>
      </w:r>
    </w:p>
    <w:p>
      <w:pPr>
        <w:pStyle w:val="Heading1"/>
      </w:pPr>
      <w:r>
        <w:t>4. Plugin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Phase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Checks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Install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manifest schema/hash/license/source/signature(if configured)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Enable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capability grants/resource scopes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host API checks every privileged call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Upgrade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new manifest diff + state migration permission + health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Rollback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old package retained per retention until generation stable</w:t>
            </w:r>
          </w:p>
        </w:tc>
      </w:tr>
    </w:tbl>
    <w:p>
      <w:pPr>
        <w:pStyle w:val="Heading1"/>
      </w:pPr>
      <w:r>
        <w:t>5. VFS Security</w:t>
      </w:r>
    </w:p>
    <w:p>
      <w:pPr>
        <w:pStyle w:val="ListBullet"/>
      </w:pPr>
      <w:r>
        <w:rPr>
          <w:rFonts w:ascii="Noto Sans CJK SC" w:hAnsi="Noto Sans CJK SC" w:eastAsia="Noto Sans CJK SC"/>
        </w:rPr>
        <w:t>no raw host path in external DTO where avoidable</w:t>
      </w:r>
    </w:p>
    <w:p>
      <w:pPr>
        <w:pStyle w:val="ListBullet"/>
      </w:pPr>
      <w:r>
        <w:rPr>
          <w:rFonts w:ascii="Noto Sans CJK SC" w:hAnsi="Noto Sans CJK SC" w:eastAsia="Noto Sans CJK SC"/>
        </w:rPr>
        <w:t>normalize before routing + canonicalize before mutation</w:t>
      </w:r>
    </w:p>
    <w:p>
      <w:pPr>
        <w:pStyle w:val="ListBullet"/>
      </w:pPr>
      <w:r>
        <w:rPr>
          <w:rFonts w:ascii="Noto Sans CJK SC" w:hAnsi="Noto Sans CJK SC" w:eastAsia="Noto Sans CJK SC"/>
        </w:rPr>
        <w:t>junction/reparse/symlink final target must remain root</w:t>
      </w:r>
    </w:p>
    <w:p>
      <w:pPr>
        <w:pStyle w:val="ListBullet"/>
      </w:pPr>
      <w:r>
        <w:rPr>
          <w:rFonts w:ascii="Noto Sans CJK SC" w:hAnsi="Noto Sans CJK SC" w:eastAsia="Noto Sans CJK SC"/>
        </w:rPr>
        <w:t>read/write size quotas and timeout</w:t>
      </w:r>
    </w:p>
    <w:p>
      <w:pPr>
        <w:pStyle w:val="Heading1"/>
      </w:pPr>
      <w:r>
        <w:t>6. Secrets</w:t>
      </w:r>
    </w:p>
    <w:p>
      <w:pPr>
        <w:pStyle w:val="ListBullet"/>
      </w:pPr>
      <w:r>
        <w:rPr>
          <w:rFonts w:ascii="Noto Sans CJK SC" w:hAnsi="Noto Sans CJK SC" w:eastAsia="Noto Sans CJK SC"/>
        </w:rPr>
        <w:t>Windows Credential Manager/DPAPI-backed provider baseline；DB only secret_ref。</w:t>
      </w:r>
    </w:p>
    <w:p>
      <w:pPr>
        <w:pStyle w:val="ListBullet"/>
      </w:pPr>
      <w:r>
        <w:rPr>
          <w:rFonts w:ascii="Noto Sans CJK SC" w:hAnsi="Noto Sans CJK SC" w:eastAsia="Noto Sans CJK SC"/>
        </w:rPr>
        <w:t>logs redact; diagnostics bundle re-runs redaction。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secret capability scope by key namespace，never “all secrets” default。</w:t>
      </w:r>
    </w:p>
    <w:p>
      <w:pPr>
        <w:pStyle w:val="Heading1"/>
      </w:pPr>
      <w:r>
        <w:t>7. Audit</w:t>
      </w:r>
    </w:p>
    <w:p>
      <w:r>
        <w:rPr>
          <w:rFonts w:ascii="Noto Sans CJK SC" w:hAnsi="Noto Sans CJK SC" w:eastAsia="Noto Sans CJK SC"/>
        </w:rPr>
        <w:t>Audit events include actor(current user/session)、resource、operation、parameters summary (redacted)、result、timestamp、correlation_id。</w:t>
      </w:r>
    </w:p>
    <w:p>
      <w:pPr>
        <w:pStyle w:val="Heading1"/>
      </w:pPr>
      <w:r>
        <w:t>8. Recovery Runbook</w:t>
      </w:r>
    </w:p>
    <w:p>
      <w:pPr>
        <w:pStyle w:val="ListNumber"/>
      </w:pPr>
      <w:r>
        <w:rPr>
          <w:rFonts w:ascii="Noto Sans CJK SC" w:hAnsi="Noto Sans CJK SC" w:eastAsia="Noto Sans CJK SC"/>
        </w:rPr>
        <w:t>stop new mutations</w:t>
      </w:r>
    </w:p>
    <w:p>
      <w:pPr>
        <w:pStyle w:val="ListNumber"/>
      </w:pPr>
      <w:r>
        <w:rPr>
          <w:rFonts w:ascii="Noto Sans CJK SC" w:hAnsi="Noto Sans CJK SC" w:eastAsia="Noto Sans CJK SC"/>
        </w:rPr>
        <w:t>collect diagnostics + DB integrity_check</w:t>
      </w:r>
    </w:p>
    <w:p>
      <w:pPr>
        <w:pStyle w:val="ListNumber"/>
      </w:pPr>
      <w:r>
        <w:rPr>
          <w:rFonts w:ascii="Noto Sans CJK SC" w:hAnsi="Noto Sans CJK SC" w:eastAsia="Noto Sans CJK SC"/>
        </w:rPr>
        <w:t>restart daemon and provider reconcile</w:t>
      </w:r>
    </w:p>
    <w:p>
      <w:pPr>
        <w:pStyle w:val="ListNumber"/>
      </w:pPr>
      <w:r>
        <w:rPr>
          <w:rFonts w:ascii="Noto Sans CJK SC" w:hAnsi="Noto Sans CJK SC" w:eastAsia="Noto Sans CJK SC"/>
        </w:rPr>
        <w:t>if DB migration failure restore backup</w:t>
      </w:r>
    </w:p>
    <w:p>
      <w:pPr>
        <w:pStyle w:val="ListNumber"/>
      </w:pPr>
      <w:r>
        <w:rPr>
          <w:rFonts w:ascii="Noto Sans CJK SC" w:hAnsi="Noto Sans CJK SC" w:eastAsia="Noto Sans CJK SC"/>
        </w:rPr>
        <w:t>if plugin generation failure rollback previous generation</w:t>
      </w:r>
    </w:p>
    <w:p>
      <w:pPr>
        <w:pStyle w:val="ListNumber"/>
      </w:pPr>
      <w:r>
        <w:rPr>
          <w:rFonts w:ascii="Noto Sans CJK SC" w:hAnsi="Noto Sans CJK SC" w:eastAsia="Noto Sans CJK SC"/>
        </w:rPr>
        <w:t>if CAS issue verify snapshot references and run non-destructive GC scan</w:t>
      </w:r>
    </w:p>
    <w:p>
      <w:pPr>
        <w:pStyle w:val="Heading1"/>
      </w:pPr>
      <w:r>
        <w:t>9.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Bundle Item</w:t>
            </w:r>
          </w:p>
        </w:tc>
        <w:tc>
          <w:tcPr>
            <w:tcW w:type="dxa" w:w="6236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Redaction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version/build/plugin manifests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none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health/error summaries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tokens/URLs credentials redacted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recent logs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secret-pattern redaction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config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secret_ref only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summary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 file content by default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info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endpoint hostname allowed; TLS/private key excluded</w:t>
            </w:r>
          </w:p>
        </w:tc>
      </w:tr>
    </w:tbl>
    <w:p>
      <w:pPr>
        <w:pStyle w:val="Heading1"/>
      </w:pPr>
      <w:r>
        <w:t>10. Release Security</w:t>
      </w:r>
    </w:p>
    <w:p>
      <w:pPr>
        <w:pStyle w:val="ListBullet"/>
      </w:pPr>
      <w:r>
        <w:rPr>
          <w:rFonts w:ascii="Noto Sans CJK SC" w:hAnsi="Noto Sans CJK SC" w:eastAsia="Noto Sans CJK SC"/>
        </w:rPr>
        <w:t>cargo deny licenses/bans/advisories/sources</w:t>
      </w:r>
    </w:p>
    <w:p>
      <w:pPr>
        <w:pStyle w:val="ListBullet"/>
      </w:pPr>
      <w:r>
        <w:rPr>
          <w:rFonts w:ascii="Noto Sans CJK SC" w:hAnsi="Noto Sans CJK SC" w:eastAsia="Noto Sans CJK SC"/>
        </w:rPr>
        <w:t>frontend dependency license scan if web frontend deps are shipped</w:t>
      </w:r>
    </w:p>
    <w:p>
      <w:pPr>
        <w:pStyle w:val="ListBullet"/>
      </w:pPr>
      <w:r>
        <w:rPr>
          <w:rFonts w:ascii="Noto Sans CJK SC" w:hAnsi="Noto Sans CJK SC" w:eastAsia="Noto Sans CJK SC"/>
        </w:rPr>
        <w:t>SBOM SPDX/CycloneDX</w:t>
      </w:r>
    </w:p>
    <w:p>
      <w:pPr>
        <w:pStyle w:val="ListBullet"/>
      </w:pPr>
      <w:r>
        <w:rPr>
          <w:rFonts w:ascii="Noto Sans CJK SC" w:hAnsi="Noto Sans CJK SC" w:eastAsia="Noto Sans CJK SC"/>
        </w:rPr>
        <w:t>binary provenance + checksum</w:t>
      </w:r>
    </w:p>
    <w:p>
      <w:pPr>
        <w:pStyle w:val="ListBullet"/>
      </w:pPr>
      <w:r>
        <w:rPr>
          <w:rFonts w:ascii="Noto Sans CJK SC" w:hAnsi="Noto Sans CJK SC" w:eastAsia="Noto Sans CJK SC"/>
        </w:rPr>
        <w:t>no paid/proprietary runtime bundled unless separately approved</w:t>
      </w:r>
    </w:p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11. Observation Security / Operations 详细设计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pPr>
        <w:pStyle w:val="Heading2"/>
      </w:pPr>
      <w:r>
        <w:t>11.1 Trust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0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_tru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11-1 Observation Trust Ladder</w:t>
      </w:r>
    </w:p>
    <w:p>
      <w:pPr>
        <w:pStyle w:val="ListBullet"/>
      </w:pPr>
      <w:r>
        <w:t>Guest 能欺骗 guest 内部 Probe，因此 guest-probe 数据仅代表“guest reported”，不能用来证明宿主真实状态。</w:t>
      </w:r>
    </w:p>
    <w:p>
      <w:pPr>
        <w:pStyle w:val="ListBullet"/>
      </w:pPr>
      <w:r>
        <w:t>安全决策优先使用 HostNative/ProviderNative；若 policy 要求高可信数据而仅有 GuestProbe，则拒绝或要求人工确认。</w:t>
      </w:r>
    </w:p>
    <w:p>
      <w:pPr>
        <w:pStyle w:val="ListBullet"/>
      </w:pPr>
      <w:r>
        <w:t>时间、新鲜度和 partial 状态参与 UI 与 policy；陈旧数据不得用于 destructive precondition 判断。</w:t>
      </w:r>
    </w:p>
    <w:p>
      <w:pPr>
        <w:pStyle w:val="Heading2"/>
      </w:pPr>
      <w:r>
        <w:t>11.2 Windows Sandbox Mapped Folder 防护</w:t>
      </w:r>
    </w:p>
    <w:p>
      <w:pPr>
        <w:pStyle w:val="ListBullet"/>
      </w:pPr>
      <w:r>
        <w:t>Microsoft 明确提示可写 mapped folder 会让 Sandbox 内应用修改宿主持久数据，因此不得映射开发根目录作为 telemetry bridge。</w:t>
      </w:r>
    </w:p>
    <w:p>
      <w:pPr>
        <w:pStyle w:val="ListBullet"/>
      </w:pPr>
      <w:r>
        <w:t>Bootstrap=RO；Outbox=独立、空目录、大小限额、Host 只解析数据不执行内容。</w:t>
      </w:r>
    </w:p>
    <w:p>
      <w:pPr>
        <w:pStyle w:val="ListBullet"/>
      </w:pPr>
      <w:r>
        <w:t>若安全级别要求更高，可将 Outbox 替换为受认证本地 broker/虚拟通道；Provider contract 不变。</w:t>
      </w:r>
    </w:p>
    <w:p>
      <w:pPr>
        <w:pStyle w:val="Heading2"/>
      </w:pPr>
      <w:r>
        <w:t>11.3 Operational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6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Labels</w:t>
            </w:r>
          </w:p>
        </w:tc>
        <w:tc>
          <w:tcPr>
            <w:tcW w:type="dxa" w:w="432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observation_duration_ms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provider,mode,domain,result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延迟与 timeout 调优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observation_snapshot_age_ms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provider,domain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freshness/stale 告警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observation_failures_total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provider,mode,code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兼容/权限/Probe 故障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probe_envelope_rejected_total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reason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安全监控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observation_bytes_total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provider,domain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控制扫描/输出成本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observation_mode_active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provider,mode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确认是否意外退化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4"/>
      <w:footerReference w:type="first" r:id="rId15"/>
      <w:headerReference w:type="even" r:id="rId16"/>
      <w:footerReference w:type="even" r:id="rId17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詳細設計書 — Security・Operations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