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OSS・Rust技術選定・License基準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Commercial-friendly / Rust-first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ST-V11-OSS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v1.1 技术选型、Rust-first 原则、商业友好许可策略和外部 runtime 边界。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原则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技术基线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Docker 许可策略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许可证白名单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例外流程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Release Gate</w:t>
      </w:r>
    </w:p>
    <w:p>
      <w:r/>
    </w:p>
    <w:p>
      <w:pPr>
        <w:pStyle w:val="Heading1"/>
      </w:pPr>
      <w:r>
        <w:t>1. 原则</w:t>
      </w:r>
    </w:p>
    <w:p>
      <w:pPr>
        <w:pStyle w:val="ListBullet"/>
      </w:pPr>
      <w:r>
        <w:rPr>
          <w:rFonts w:ascii="Noto Sans CJK SC" w:hAnsi="Noto Sans CJK SC" w:eastAsia="Noto Sans CJK SC"/>
        </w:rPr>
        <w:t>Rust-first：Core/Daemon/CLI/Provider Host/Docker Provider 优先 Rust。</w:t>
      </w:r>
    </w:p>
    <w:p>
      <w:pPr>
        <w:pStyle w:val="ListBullet"/>
      </w:pPr>
      <w:r>
        <w:rPr>
          <w:rFonts w:ascii="Noto Sans CJK SC" w:hAnsi="Noto Sans CJK SC" w:eastAsia="Noto Sans CJK SC"/>
        </w:rPr>
        <w:t>功能依赖优先商业友好开源；外部产品尽量通过 API/CLI adapter 使用而非再分发。</w:t>
      </w:r>
    </w:p>
    <w:p>
      <w:pPr>
        <w:pStyle w:val="ListBullet"/>
      </w:pPr>
      <w:r>
        <w:rPr>
          <w:rFonts w:ascii="Noto Sans CJK SC" w:hAnsi="Noto Sans CJK SC" w:eastAsia="Noto Sans CJK SC"/>
        </w:rPr>
        <w:t>“免费可商用”不等于“无义务”；保留 NOTICE/attribution/SBOM。</w:t>
      </w:r>
    </w:p>
    <w:p>
      <w:pPr>
        <w:pStyle w:val="ListBullet"/>
      </w:pPr>
      <w:r>
        <w:rPr>
          <w:rFonts w:ascii="Noto Sans CJK SC" w:hAnsi="Noto Sans CJK SC" w:eastAsia="Noto Sans CJK SC"/>
        </w:rPr>
        <w:t>许可结论基于版本；每次 release 重新扫描。</w:t>
      </w:r>
    </w:p>
    <w:p>
      <w:pPr>
        <w:pStyle w:val="Heading1"/>
      </w:pPr>
      <w:r>
        <w:t>2. 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Layer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Technology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Role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License / commercial stance</w:t>
            </w:r>
          </w:p>
        </w:tc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Baseline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Language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Rust stable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Core/daemon/plugins/CLI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 ecosystem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Desktop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Tauri 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Desktop shell; business logic stays Rust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per upstream; release gate verifies bundled deps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Async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Tokio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runtime/concurrency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Serialization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Serde/serde_json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DTO/config/protocol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ABI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Wasmtime + Component Model + WIT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stable plugin isolation/ABI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Apache-2.0 WITH LLVM-exception family; verify lock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API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Bollard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Engine/Podman-compatible API client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 for Docker cluster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Runtime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Moby/Docker Engine compatible endpoint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external runtime, not redistributed by default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Moby 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 interface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Compose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Compose v2 CLI if installed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lifecycle compatibility adapter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Apache-2.0; external binary preferred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DB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SQLite + rusqlite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core relational metadata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SQLite public domain; rusqlite MIT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 KV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redb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isolated plugin local state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Git optional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gix/gitoxide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workspace metadata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Search optional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Tantivy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full-text search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Hash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BLAKE3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CAS/content identity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CC0-1.0 OR Apache-2.0 variants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Logging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tracing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structured logs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clap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CLI parsing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License gate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cargo-deny + SBOM generator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dependency policy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MIT OR Apache-2.0 for cargo-deny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 CI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Docker Desktop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User-provided only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Windows Docker endpoint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separate subscription terms; NOT required/bundled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external</w:t>
            </w:r>
          </w:p>
        </w:tc>
      </w:tr>
    </w:tbl>
    <w:p>
      <w:pPr>
        <w:pStyle w:val="Heading1"/>
      </w:pPr>
      <w:r>
        <w:t>3. Docker 许可策略</w:t>
      </w:r>
    </w:p>
    <w:p>
      <w:pPr>
        <w:pStyle w:val="ListBullet"/>
      </w:pPr>
      <w:r>
        <w:rPr>
          <w:rFonts w:ascii="Noto Sans CJK SC" w:hAnsi="Noto Sans CJK SC" w:eastAsia="Noto Sans CJK SC"/>
        </w:rPr>
        <w:t>SandTree 的核心对接对象是 Docker Engine/Moby-compatible API。Moby 与 Docker CLI/Compose 开源项目使用 Apache-2.0。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Desktop 使用 Docker Subscription Service Agreement，较大组织的商业使用可能需要付费；因此 SandTree 不把 Docker Desktop 作为必需/捆绑依赖。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用户可以自行将 SandTree 连接到其合法使用的 Docker Desktop endpoint；SandTree 的许可不因此替代 Docker Desktop 条款。</w:t>
      </w:r>
    </w:p>
    <w:p>
      <w:pPr>
        <w:pStyle w:val="Heading1"/>
      </w:pPr>
      <w:r>
        <w:t>4. License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Class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Examples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Policy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Allow default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MIT, Apache-2.0, BSD-2/3, ISC, Zlib, CC0-1.0, 0BSD, Unicode-3.0, Public Domain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可进入默认发行，仍需 NOTICE/SBOM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Review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MPL-2.0, LGPL with dynamic boundary, OpenSSL/custom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按是否分发/链接/修改做法律+架构评审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 default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GPL/AGPL/SSPL/BSL/source-available/noncommercial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不进入默认发行；只有批准例外才可用</w:t>
            </w:r>
          </w:p>
        </w:tc>
      </w:tr>
    </w:tbl>
    <w:p>
      <w:pPr>
        <w:pStyle w:val="Heading1"/>
      </w:pPr>
      <w:r>
        <w:t>5. Exception Process</w:t>
      </w:r>
    </w:p>
    <w:p>
      <w:pPr>
        <w:pStyle w:val="ListNumber"/>
      </w:pPr>
      <w:r>
        <w:rPr>
          <w:rFonts w:ascii="Noto Sans CJK SC" w:hAnsi="Noto Sans CJK SC" w:eastAsia="Noto Sans CJK SC"/>
        </w:rPr>
        <w:t>提出依赖、版本、用途、是否再分发/链接</w:t>
      </w:r>
    </w:p>
    <w:p>
      <w:pPr>
        <w:pStyle w:val="ListNumber"/>
      </w:pPr>
      <w:r>
        <w:rPr>
          <w:rFonts w:ascii="Noto Sans CJK SC" w:hAnsi="Noto Sans CJK SC" w:eastAsia="Noto Sans CJK SC"/>
        </w:rPr>
        <w:t>列出替代 Rust/permissive 方案与成本</w:t>
      </w:r>
    </w:p>
    <w:p>
      <w:pPr>
        <w:pStyle w:val="ListNumber"/>
      </w:pPr>
      <w:r>
        <w:rPr>
          <w:rFonts w:ascii="Noto Sans CJK SC" w:hAnsi="Noto Sans CJK SC" w:eastAsia="Noto Sans CJK SC"/>
        </w:rPr>
        <w:t>License/Security review</w:t>
      </w:r>
    </w:p>
    <w:p>
      <w:pPr>
        <w:pStyle w:val="ListNumber"/>
      </w:pPr>
      <w:r>
        <w:rPr>
          <w:rFonts w:ascii="Noto Sans CJK SC" w:hAnsi="Noto Sans CJK SC" w:eastAsia="Noto Sans CJK SC"/>
        </w:rPr>
        <w:t>记录 ADR + exception owner + expiry</w:t>
      </w:r>
    </w:p>
    <w:p>
      <w:pPr>
        <w:pStyle w:val="ListNumber"/>
      </w:pPr>
      <w:r>
        <w:rPr>
          <w:rFonts w:ascii="Noto Sans CJK SC" w:hAnsi="Noto Sans CJK SC" w:eastAsia="Noto Sans CJK SC"/>
        </w:rPr>
        <w:t>CI cargo-deny/packaging rule 中精确例外，不使用宽泛 allow</w:t>
      </w:r>
    </w:p>
    <w:p>
      <w:pPr>
        <w:pStyle w:val="Heading1"/>
      </w:pPr>
      <w:r>
        <w:t>6. Release Gate</w:t>
      </w:r>
    </w:p>
    <w:p>
      <w:pPr>
        <w:pStyle w:val="ListBullet"/>
      </w:pPr>
      <w:r>
        <w:rPr>
          <w:rFonts w:ascii="Noto Sans CJK SC" w:hAnsi="Noto Sans CJK SC" w:eastAsia="Noto Sans CJK SC"/>
        </w:rPr>
        <w:t>cargo deny check licenses bans advisories sources</w:t>
      </w:r>
    </w:p>
    <w:p>
      <w:pPr>
        <w:pStyle w:val="ListBullet"/>
      </w:pPr>
      <w:r>
        <w:rPr>
          <w:rFonts w:ascii="Noto Sans CJK SC" w:hAnsi="Noto Sans CJK SC" w:eastAsia="Noto Sans CJK SC"/>
        </w:rPr>
        <w:t>cargo tree / lockfile archived</w:t>
      </w:r>
    </w:p>
    <w:p>
      <w:pPr>
        <w:pStyle w:val="ListBullet"/>
      </w:pPr>
      <w:r>
        <w:rPr>
          <w:rFonts w:ascii="Noto Sans CJK SC" w:hAnsi="Noto Sans CJK SC" w:eastAsia="Noto Sans CJK SC"/>
        </w:rPr>
        <w:t>SBOM generated</w:t>
      </w:r>
    </w:p>
    <w:p>
      <w:pPr>
        <w:pStyle w:val="ListBullet"/>
      </w:pPr>
      <w:r>
        <w:rPr>
          <w:rFonts w:ascii="Noto Sans CJK SC" w:hAnsi="Noto Sans CJK SC" w:eastAsia="Noto Sans CJK SC"/>
        </w:rPr>
        <w:t>bundled binary/source license inventory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Desktop/Multipass 等外部依赖仅文档声明，不打包除非单独批准</w:t>
      </w:r>
    </w:p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追加：Observation 实现选型原则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r>
        <w:t>Windows Probe 必须优先采用 Rust 单 binary、最小依赖；新增 crate 继续受 cargo-deny/SBOM/商业友好许可证 Gate。Observation Contract 不绑定 sysinfo/windows-rs 等具体 crate，允许后续按 license/security/benchmark 替换。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OSS・Rust技術選定・License基準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