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</w:p>
    <w:p>
      <w:pPr>
        <w:jc w:val="center"/>
      </w:pPr>
      <w:r>
        <w:rPr>
          <w:rFonts w:ascii="Noto Sans CJK SC" w:hAnsi="Noto Sans CJK SC" w:eastAsia="Noto Sans CJK SC"/>
          <w:b/>
          <w:color w:val="72551F"/>
          <w:sz w:val="56"/>
        </w:rPr>
        <w:t>SandTree</w:t>
      </w:r>
    </w:p>
    <w:p>
      <w:pPr>
        <w:jc w:val="center"/>
      </w:pPr>
      <w:r>
        <w:rPr>
          <w:rFonts w:ascii="Noto Sans CJK SC" w:hAnsi="Noto Sans CJK SC" w:eastAsia="Noto Sans CJK SC"/>
          <w:b/>
          <w:color w:val="2A2A2A"/>
          <w:sz w:val="42"/>
        </w:rPr>
        <w:t>総合テスト計画書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777777"/>
          <w:sz w:val="21"/>
        </w:rPr>
        <w:t>UT / IT / ST / UAT Master Test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版本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1.1 Baseline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基准日期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2026-10-07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文档代码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ST-V11-TP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产品定位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Sandbox &amp; Docker Control Plane</w:t>
            </w:r>
          </w:p>
        </w:tc>
      </w:tr>
      <w:tr>
        <w:tc>
          <w:tcPr>
            <w:tcW w:type="dxa" w:w="5043"/>
            <w:shd w:fill="F4EBD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状态</w:t>
            </w:r>
          </w:p>
        </w:tc>
        <w:tc>
          <w:tcPr>
            <w:tcW w:type="dxa" w:w="50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Approved Design Baseline (project internal)</w:t>
            </w:r>
          </w:p>
        </w:tc>
      </w:tr>
    </w:tbl>
    <w:p>
      <w:r/>
    </w:p>
    <w:p>
      <w:pPr>
        <w:pStyle w:val="Heading1"/>
      </w:pPr>
      <w:r>
        <w:t>文档控制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1984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项目</w:t>
            </w:r>
          </w:p>
        </w:tc>
        <w:tc>
          <w:tcPr>
            <w:tcW w:type="dxa" w:w="7654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7"/>
              </w:rPr>
              <w:t>内容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目的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定义 v1.1 测试层级、环境、数据、Gate、缺陷和追踪策略。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适用范围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t>SandTree v1.1：Sandbox &amp; Docker Control Plane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变更控制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FR/NFR、基本设计、详细设计、测试用例均使用 ID 追踪；语义变化必须更新 traceability。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核心原则</w:t>
            </w:r>
          </w:p>
        </w:tc>
        <w:tc>
          <w:tcPr>
            <w:tcW w:type="dxa" w:w="765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7"/>
              </w:rPr>
              <w:t>Rust-first；商业友好 OSS；原子化解耦；Plugin Cluster→App Cluster；MCP/Agent 为 Optional Integration。</w:t>
            </w:r>
          </w:p>
        </w:tc>
      </w:tr>
    </w:tbl>
    <w:p>
      <w:pPr>
        <w:pStyle w:val="Heading1"/>
      </w:pPr>
      <w:r>
        <w:t>目录（静态）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1. 测试策略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2. Level 定义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3. 环境矩阵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4. 数据/fixture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5. 自动化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6. Gate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7. 缺陷管理</w:t>
      </w:r>
    </w:p>
    <w:p>
      <w:pPr>
        <w:spacing w:after="0"/>
      </w:pPr>
      <w:r>
        <w:rPr>
          <w:rFonts w:ascii="Noto Sans CJK SC" w:hAnsi="Noto Sans CJK SC" w:eastAsia="Noto Sans CJK SC"/>
          <w:sz w:val="18"/>
        </w:rPr>
        <w:t>8. 追踪/报告</w:t>
      </w:r>
    </w:p>
    <w:p>
      <w:r/>
    </w:p>
    <w:p>
      <w:pPr>
        <w:pStyle w:val="Heading1"/>
      </w:pPr>
      <w:r>
        <w:t>1. 测试策略</w:t>
      </w:r>
    </w:p>
    <w:p>
      <w:r>
        <w:rPr>
          <w:rFonts w:ascii="Noto Sans CJK SC" w:hAnsi="Noto Sans CJK SC" w:eastAsia="Noto Sans CJK SC"/>
        </w:rPr>
        <w:t>采用风险优先和需求追踪。Sandbox/Docker lifecycle、Docker 高权限 endpoint、plugin hot swap、VFS confinement、DB/CAS atomicity 是高风险域，需跨多个测试级别覆盖。</w:t>
      </w:r>
    </w:p>
    <w:p>
      <w:pPr>
        <w:jc w:val="center"/>
      </w:pPr>
      <w:r/>
    </w:p>
    <w:p>
      <w:pPr>
        <w:jc w:val="center"/>
      </w:pPr>
      <w:r>
        <w:rPr>
          <w:rFonts w:ascii="Noto Sans CJK SC" w:hAnsi="Noto Sans CJK SC" w:eastAsia="Noto Sans CJK SC"/>
          <w:b w:val="0"/>
          <w:color w:val="666666"/>
          <w:sz w:val="17"/>
        </w:rPr>
        <w:t>图 1-1 Test Level Architecture</w:t>
      </w:r>
    </w:p>
    <w:p>
      <w:pPr>
        <w:pStyle w:val="Heading1"/>
      </w:pPr>
      <w:r>
        <w:t>2. Level 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rPr>
          <w:tblHeader w:val="true"/>
        </w:trPr>
        <w:tc>
          <w:tcPr>
            <w:tcW w:type="dxa" w:w="1417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Level</w:t>
            </w:r>
          </w:p>
        </w:tc>
        <w:tc>
          <w:tcPr>
            <w:tcW w:type="dxa" w:w="3402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Target</w:t>
            </w:r>
          </w:p>
        </w:tc>
        <w:tc>
          <w:tcPr>
            <w:tcW w:type="dxa" w:w="3402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External Dependency</w:t>
            </w:r>
          </w:p>
        </w:tc>
        <w:tc>
          <w:tcPr>
            <w:tcW w:type="dxa" w:w="1701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Owner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UT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crate/module/algorithm/WIT DTO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fake only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Developer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IT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Kernel↔Plugin↔DB↔Docker/Sandbox adapters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real/local lab runtime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Developer/QA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ST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Release candidate E2E + NFR/security/recovery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system lab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QA</w:t>
            </w:r>
          </w:p>
        </w:tc>
      </w:tr>
      <w:tr>
        <w:tc>
          <w:tcPr>
            <w:tcW w:type="dxa" w:w="141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UAT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operator/business acceptance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UAT environment</w:t>
            </w:r>
          </w:p>
        </w:tc>
        <w:tc>
          <w:tcPr>
            <w:tcW w:type="dxa" w:w="170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Product Owner/Operator</w:t>
            </w:r>
          </w:p>
        </w:tc>
      </w:tr>
    </w:tbl>
    <w:p>
      <w:pPr>
        <w:pStyle w:val="Heading1"/>
      </w:pPr>
      <w:r>
        <w:t>3. 环境矩阵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rPr>
          <w:tblHeader w:val="true"/>
        </w:trPr>
        <w:tc>
          <w:tcPr>
            <w:tcW w:type="dxa" w:w="1984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Profile</w:t>
            </w:r>
          </w:p>
        </w:tc>
        <w:tc>
          <w:tcPr>
            <w:tcW w:type="dxa" w:w="4535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Components</w:t>
            </w:r>
          </w:p>
        </w:tc>
        <w:tc>
          <w:tcPr>
            <w:tcW w:type="dxa" w:w="3402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Purpose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E-UT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Rust stable + fake providers + temp SQLite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unit/property/contract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E-IT-DKR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Windows 11 + Moby/Docker endpoint + local registry fixtures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Docker provider integration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E-IT-SBX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Windows Sandbox feature / Multipass / Docker Sandbox where available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sandbox provider contract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E-ST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clean Windows 11 test machine + Docker endpoint + seeded compose + plugin packages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end-to-end/NFR</w:t>
            </w:r>
          </w:p>
        </w:tc>
      </w:tr>
      <w:t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E-UAT</w:t>
            </w:r>
          </w:p>
        </w:tc>
        <w:tc>
          <w:tcPr>
            <w:tcW w:type="dxa" w:w="4535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release-like user machine</w:t>
            </w:r>
          </w:p>
        </w:tc>
        <w:tc>
          <w:tcPr>
            <w:tcW w:type="dxa" w:w="340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acceptance</w:t>
            </w:r>
          </w:p>
        </w:tc>
      </w:tr>
    </w:tbl>
    <w:p>
      <w:pPr>
        <w:pStyle w:val="Heading1"/>
      </w:pPr>
      <w:r>
        <w:t>4. 数据/Fixtures</w:t>
      </w:r>
    </w:p>
    <w:p>
      <w:pPr>
        <w:pStyle w:val="ListBullet"/>
      </w:pPr>
      <w:r>
        <w:rPr>
          <w:rFonts w:ascii="Noto Sans CJK SC" w:hAnsi="Noto Sans CJK SC" w:eastAsia="Noto Sans CJK SC"/>
        </w:rPr>
        <w:t>alpine-like small test image / local registry fixture</w:t>
      </w:r>
    </w:p>
    <w:p>
      <w:pPr>
        <w:pStyle w:val="ListBullet"/>
      </w:pPr>
      <w:r>
        <w:rPr>
          <w:rFonts w:ascii="Noto Sans CJK SC" w:hAnsi="Noto Sans CJK SC" w:eastAsia="Noto Sans CJK SC"/>
        </w:rPr>
        <w:t>3-service compose project (web/api/db)</w:t>
      </w:r>
    </w:p>
    <w:p>
      <w:pPr>
        <w:pStyle w:val="ListBullet"/>
      </w:pPr>
      <w:r>
        <w:rPr>
          <w:rFonts w:ascii="Noto Sans CJK SC" w:hAnsi="Noto Sans CJK SC" w:eastAsia="Noto Sans CJK SC"/>
        </w:rPr>
        <w:t>volumes/networks with in-use/unused cases</w:t>
      </w:r>
    </w:p>
    <w:p>
      <w:pPr>
        <w:pStyle w:val="ListBullet"/>
      </w:pPr>
      <w:r>
        <w:rPr>
          <w:rFonts w:ascii="Noto Sans CJK SC" w:hAnsi="Noto Sans CJK SC" w:eastAsia="Noto Sans CJK SC"/>
        </w:rPr>
        <w:t>workspace files including large/binary/symlink/reparse/path traversal fixtures</w:t>
      </w:r>
    </w:p>
    <w:p>
      <w:pPr>
        <w:pStyle w:val="ListBullet"/>
      </w:pPr>
      <w:r>
        <w:rPr>
          <w:rFonts w:ascii="Noto Sans CJK SC" w:hAnsi="Noto Sans CJK SC" w:eastAsia="Noto Sans CJK SC"/>
        </w:rPr>
        <w:t>good/bad plugin packages and state migration fixtures</w:t>
      </w:r>
    </w:p>
    <w:p>
      <w:pPr>
        <w:pStyle w:val="ListBullet"/>
      </w:pPr>
      <w:r>
        <w:rPr>
          <w:rFonts w:ascii="Noto Sans CJK SC" w:hAnsi="Noto Sans CJK SC" w:eastAsia="Noto Sans CJK SC"/>
        </w:rPr>
        <w:t>canary secret for leakage tests</w:t>
      </w:r>
    </w:p>
    <w:p>
      <w:pPr>
        <w:pStyle w:val="Heading1"/>
      </w:pPr>
      <w:r>
        <w:t>5. 自动化</w:t>
      </w:r>
    </w:p>
    <w:p>
      <w:pPr>
        <w:pStyle w:val="ListBullet"/>
      </w:pPr>
      <w:r>
        <w:rPr>
          <w:rFonts w:ascii="Noto Sans CJK SC" w:hAnsi="Noto Sans CJK SC" w:eastAsia="Noto Sans CJK SC"/>
        </w:rPr>
        <w:t>cargo test / optional cargo-nextest</w:t>
      </w:r>
    </w:p>
    <w:p>
      <w:pPr>
        <w:pStyle w:val="ListBullet"/>
      </w:pPr>
      <w:r>
        <w:rPr>
          <w:rFonts w:ascii="Noto Sans CJK SC" w:hAnsi="Noto Sans CJK SC" w:eastAsia="Noto Sans CJK SC"/>
        </w:rPr>
        <w:t>contract tests for WIT/schema/manifest</w:t>
      </w:r>
    </w:p>
    <w:p>
      <w:pPr>
        <w:pStyle w:val="ListBullet"/>
      </w:pPr>
      <w:r>
        <w:rPr>
          <w:rFonts w:ascii="Noto Sans CJK SC" w:hAnsi="Noto Sans CJK SC" w:eastAsia="Noto Sans CJK SC"/>
        </w:rPr>
        <w:t>Docker integration test harness creates/cleans named resources</w:t>
      </w:r>
    </w:p>
    <w:p>
      <w:pPr>
        <w:pStyle w:val="ListBullet"/>
      </w:pPr>
      <w:r>
        <w:rPr>
          <w:rFonts w:ascii="Noto Sans CJK SC" w:hAnsi="Noto Sans CJK SC" w:eastAsia="Noto Sans CJK SC"/>
        </w:rPr>
        <w:t>ST benchmark scripts output JSON</w:t>
      </w:r>
    </w:p>
    <w:p>
      <w:pPr>
        <w:pStyle w:val="ListBullet"/>
      </w:pPr>
      <w:r>
        <w:rPr>
          <w:rFonts w:ascii="Noto Sans CJK SC" w:hAnsi="Noto Sans CJK SC" w:eastAsia="Noto Sans CJK SC"/>
        </w:rPr>
        <w:t>license/SBOM checks in release pipeline</w:t>
      </w:r>
    </w:p>
    <w:p>
      <w:pPr>
        <w:pStyle w:val="Heading1"/>
      </w:pPr>
      <w:r>
        <w:t>6. Quality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rPr>
          <w:tblHeader w:val="true"/>
        </w:trPr>
        <w:tc>
          <w:tcPr>
            <w:tcW w:type="dxa" w:w="2268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Gate</w:t>
            </w:r>
          </w:p>
        </w:tc>
        <w:tc>
          <w:tcPr>
            <w:tcW w:type="dxa" w:w="7370"/>
            <w:shd w:fill="E9DDBF"/>
          </w:tcPr>
          <w:p>
            <w:r>
              <w:rPr>
                <w:rFonts w:ascii="Noto Sans CJK SC" w:hAnsi="Noto Sans CJK SC" w:eastAsia="Noto Sans CJK SC"/>
                <w:b/>
                <w:sz w:val="16"/>
              </w:rPr>
              <w:t>Criteria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UT Gate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all P0/P1 UT pass; no S1/S2; core line coverage target &gt;=80% on pure logic crates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IT Gate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all MUST provider/DB/IPC integration pass; no resource leaks after cleanup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ST Gate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all P1 ST pass; NFR thresholds pass; security/recovery pass; no S1/S2</w:t>
            </w:r>
          </w:p>
        </w:tc>
      </w:tr>
      <w:tr>
        <w:tc>
          <w:tcPr>
            <w:tcW w:type="dxa" w:w="2268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UAT Gate</w:t>
            </w:r>
          </w:p>
        </w:tc>
        <w:tc>
          <w:tcPr>
            <w:tcW w:type="dxa" w:w="737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r>
              <w:rPr>
                <w:rFonts w:ascii="Noto Sans CJK SC" w:hAnsi="Noto Sans CJK SC" w:eastAsia="Noto Sans CJK SC"/>
                <w:sz w:val="16"/>
              </w:rPr>
              <w:t>all mandatory UAT pass or approved waiver; release owner signs</w:t>
            </w:r>
          </w:p>
        </w:tc>
      </w:tr>
    </w:tbl>
    <w:p>
      <w:pPr>
        <w:pStyle w:val="Heading1"/>
      </w:pPr>
      <w:r>
        <w:t>7. Defect Management</w:t>
      </w:r>
    </w:p>
    <w:p>
      <w:r>
        <w:rPr>
          <w:rFonts w:ascii="Noto Sans CJK SC" w:hAnsi="Noto Sans CJK SC" w:eastAsia="Noto Sans CJK SC"/>
        </w:rPr>
        <w:t>Defect 与 test case / requirement / build / environment / evidence 关联。S1/S2 不允许带入下一 Gate；S3 需 release owner waiver。</w:t>
      </w:r>
    </w:p>
    <w:p>
      <w:pPr>
        <w:pStyle w:val="Heading1"/>
      </w:pPr>
      <w:r>
        <w:t>8. Traceability / Reporting</w:t>
      </w:r>
    </w:p>
    <w:p>
      <w:r>
        <w:rPr>
          <w:rFonts w:ascii="Noto Sans CJK SC" w:hAnsi="Noto Sans CJK SC" w:eastAsia="Noto Sans CJK SC"/>
        </w:rPr>
        <w:t>Workbook 的 Traceability sheet 是执行视图；traceability/requirements_to_tests.csv 为机器可读基线。</w:t>
      </w:r>
    </w:p>
    <w:p>
      <w:r>
        <w:br w:type="page"/>
      </w:r>
    </w:p>
    <w:p>
      <w:pPr>
        <w:pStyle w:val="Heading1"/>
      </w:pPr>
      <w:r>
        <w:t>v1.1 Observation Plane 测试增量</w:t>
      </w:r>
    </w:p>
    <w:p>
      <w:r>
        <w:rPr>
          <w:b/>
        </w:rPr>
        <w:t>本节为 v1.1 正式设计增量，与前述 v1.0 Sandbox &amp; Docker Control Plane 基线共同构成当前有效设计。发生冲突时，本节优先。</w:t>
      </w:r>
    </w:p>
    <w:p>
      <w:r>
        <w:t>测试总数从 134 条扩展为 159 条：UT +6、IT +10、ST +6、UAT +3。Observation Plane 进入 release gate。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728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Gate</w:t>
            </w:r>
          </w:p>
        </w:tc>
        <w:tc>
          <w:tcPr>
            <w:tcW w:type="dxa" w:w="8352"/>
            <w:vAlign w:val="center"/>
            <w:shd w:fill="1F2937"/>
          </w:tcPr>
          <w:p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新增重点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UT</w:t>
            </w:r>
          </w:p>
        </w:tc>
        <w:tc>
          <w:tcPr>
            <w:tcW w:type="dxa" w:w="835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strategy/trust/freshness/envelope/lazy state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IT</w:t>
            </w:r>
          </w:p>
        </w:tc>
        <w:tc>
          <w:tcPr>
            <w:tcW w:type="dxa" w:w="835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Native/Exec/Probe/fallback/nested Docker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ST</w:t>
            </w:r>
          </w:p>
        </w:tc>
        <w:tc>
          <w:tcPr>
            <w:tcW w:type="dxa" w:w="835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E2E/security/performance/degradation</w:t>
            </w:r>
          </w:p>
        </w:tc>
      </w:tr>
      <w:tr>
        <w:tc>
          <w:tcPr>
            <w:tcW w:type="dxa" w:w="1728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UAT</w:t>
            </w:r>
          </w:p>
        </w:tc>
        <w:tc>
          <w:tcPr>
            <w:tcW w:type="dxa" w:w="8352"/>
            <w:vAlign w:val="center"/>
          </w:tcPr>
          <w:p>
            <w:r>
              <w:rPr>
                <w:rFonts w:ascii="Noto Sans CJK JP" w:hAnsi="Noto Sans CJK JP" w:eastAsia="Noto Sans CJK JP"/>
                <w:sz w:val="17"/>
              </w:rPr>
              <w:t>可理解内部观测、trust/freshness、归属关系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headerReference w:type="first" r:id="rId13"/>
      <w:footerReference w:type="first" r:id="rId14"/>
      <w:headerReference w:type="even" r:id="rId15"/>
      <w:footerReference w:type="even" r:id="rId16"/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888888"/>
        <w:sz w:val="16"/>
      </w:rPr>
      <w:t>2026-10-07  |  SandTree v1.1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777777"/>
        <w:sz w:val="16"/>
      </w:rPr>
      <w:t>SandTree | 総合テスト計画書 | 1.1 Baseline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72551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5555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333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2222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/>
      <w:ind w:left="198"/>
    </w:pPr>
    <w:rPr>
      <w:rFonts w:ascii="Consolas" w:hAnsi="Consolas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header" Target="header2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