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280" w:after="280"/>
        <w:shd w:val="clear" w:color="auto" w:fill="1F3864"/>
        <w:ind w:left="-288" w:right="-288"/>
      </w:pPr>
      <w:r>
        <w:rPr>
          <w:rFonts w:ascii="Calibri" w:hAnsi="Calibri"/>
          <w:b/>
          <w:color w:val="FFFFFF"/>
          <w:sz w:val="44"/>
        </w:rPr>
        <w:t xml:space="preserve">  Database Tables &amp; Views — Reference Guide</w:t>
      </w:r>
    </w:p>
    <w:p>
      <w:pPr>
        <w:shd w:val="clear" w:color="auto" w:fill="2E75B6"/>
        <w:spacing w:before="0" w:after="400"/>
        <w:ind w:left="-288" w:right="-288"/>
      </w:pPr>
      <w:r>
        <w:rPr>
          <w:rFonts w:ascii="Calibri" w:hAnsi="Calibri"/>
          <w:b w:val="0"/>
          <w:color w:val="DCE6F1"/>
          <w:sz w:val="24"/>
        </w:rPr>
        <w:t xml:space="preserve">  Utility Data Management System — Schema Documentation</w:t>
      </w:r>
    </w:p>
    <w:p/>
    <w:p>
      <w:pPr>
        <w:spacing w:before="0" w:after="240"/>
      </w:pPr>
      <w:r>
        <w:rPr>
          <w:rFonts w:ascii="Calibri" w:hAnsi="Calibri"/>
          <w:b w:val="0"/>
          <w:color w:val="323232"/>
          <w:sz w:val="22"/>
        </w:rPr>
        <w:t>This document provides a structured reference for the database tables and views used within the Utility Data Management System. Each entry includes the table or view name and a description of the data it contains.</w:t>
      </w:r>
    </w:p>
    <w:p>
      <w:pPr>
        <w:spacing w:before="280" w:after="80"/>
        <w:pBdr>
          <w:bottom w:val="single" w:sz="12" w:space="1" w:color="2E75B6"/>
        </w:pBdr>
      </w:pPr>
      <w:r>
        <w:rPr>
          <w:rFonts w:ascii="Calibri" w:hAnsi="Calibri"/>
          <w:b/>
          <w:color w:val="1E5499"/>
          <w:sz w:val="26"/>
        </w:rPr>
        <w:t>Customer &amp; Premise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45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Table / View Name</w:t>
            </w:r>
          </w:p>
        </w:tc>
        <w:tc>
          <w:tcPr>
            <w:tcW w:type="dxa" w:w="648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  <w:shd w:val="clear" w:color="auto" w:fill="D6E4F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PREMSIE_ALL</w:t>
            </w:r>
          </w:p>
        </w:tc>
        <w:tc>
          <w:tcPr>
            <w:tcW w:type="dxa" w:w="6480"/>
            <w:shd w:val="clear" w:color="auto" w:fill="F7FB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customer details and customer address details.</w:t>
            </w:r>
          </w:p>
        </w:tc>
      </w:tr>
      <w:tr>
        <w:tc>
          <w:tcPr>
            <w:tcW w:type="dxa" w:w="3456"/>
            <w:shd w:val="clear" w:color="auto" w:fill="EAF2F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PREMISE_METER_ALL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meter configuration details.</w:t>
            </w:r>
          </w:p>
        </w:tc>
      </w:tr>
      <w:tr>
        <w:tc>
          <w:tcPr>
            <w:tcW w:type="dxa" w:w="3456"/>
            <w:shd w:val="clear" w:color="auto" w:fill="D6E4F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css_mtrd_envrnmt_all_vw</w:t>
            </w:r>
          </w:p>
        </w:tc>
        <w:tc>
          <w:tcPr>
            <w:tcW w:type="dxa" w:w="6480"/>
            <w:shd w:val="clear" w:color="auto" w:fill="F7FB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premise-to-transformer relation data.</w:t>
            </w:r>
          </w:p>
        </w:tc>
      </w:tr>
    </w:tbl>
    <w:p/>
    <w:p>
      <w:pPr>
        <w:spacing w:before="280" w:after="80"/>
        <w:pBdr>
          <w:bottom w:val="single" w:sz="12" w:space="1" w:color="2E75B6"/>
        </w:pBdr>
      </w:pPr>
      <w:r>
        <w:rPr>
          <w:rFonts w:ascii="Calibri" w:hAnsi="Calibri"/>
          <w:b/>
          <w:color w:val="1E5499"/>
          <w:sz w:val="26"/>
        </w:rPr>
        <w:t>Transformer Configuration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45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Table / View Name</w:t>
            </w:r>
          </w:p>
        </w:tc>
        <w:tc>
          <w:tcPr>
            <w:tcW w:type="dxa" w:w="648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  <w:shd w:val="clear" w:color="auto" w:fill="D6E4F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MV_WMS_SNE_VIEW</w:t>
            </w:r>
          </w:p>
        </w:tc>
        <w:tc>
          <w:tcPr>
            <w:tcW w:type="dxa" w:w="6480"/>
            <w:shd w:val="clear" w:color="auto" w:fill="F7FB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transformer configuration details such as equipment ID, manufacturer, rated KVA, crew quarter, point ID, and GIS point ID.</w:t>
            </w:r>
          </w:p>
        </w:tc>
      </w:tr>
      <w:tr>
        <w:tc>
          <w:tcPr>
            <w:tcW w:type="dxa" w:w="3456"/>
            <w:shd w:val="clear" w:color="auto" w:fill="EAF2F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mv_ohtransformer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the location, phase, pole number, rated KVA, and connected feeder ID of overhead transformers.</w:t>
            </w:r>
          </w:p>
        </w:tc>
      </w:tr>
      <w:tr>
        <w:tc>
          <w:tcPr>
            <w:tcW w:type="dxa" w:w="3456"/>
            <w:shd w:val="clear" w:color="auto" w:fill="D6E4F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mv_ugtransformer</w:t>
            </w:r>
          </w:p>
        </w:tc>
        <w:tc>
          <w:tcPr>
            <w:tcW w:type="dxa" w:w="6480"/>
            <w:shd w:val="clear" w:color="auto" w:fill="F7FB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the location, phase, pad number, rated KVA, and connected feeder ID of underground transformers.</w:t>
            </w:r>
          </w:p>
        </w:tc>
      </w:tr>
      <w:tr>
        <w:tc>
          <w:tcPr>
            <w:tcW w:type="dxa" w:w="3456"/>
            <w:shd w:val="clear" w:color="auto" w:fill="EAF2F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MV_TRANSFORMER_KVA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GIS point ID ratings.</w:t>
            </w:r>
          </w:p>
        </w:tc>
      </w:tr>
      <w:tr>
        <w:tc>
          <w:tcPr>
            <w:tcW w:type="dxa" w:w="3456"/>
            <w:shd w:val="clear" w:color="auto" w:fill="D6E4F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MV_TRANSFORMERCLASSIFICATION</w:t>
            </w:r>
          </w:p>
        </w:tc>
        <w:tc>
          <w:tcPr>
            <w:tcW w:type="dxa" w:w="6480"/>
            <w:shd w:val="clear" w:color="auto" w:fill="F7FB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classification data based on interval type (daily, weekly, monthly, or yearly) or rating type (Immediate, Overloaded, Watchlist, Normal, or Underloaded).</w:t>
            </w:r>
          </w:p>
        </w:tc>
      </w:tr>
      <w:tr>
        <w:tc>
          <w:tcPr>
            <w:tcW w:type="dxa" w:w="3456"/>
            <w:shd w:val="clear" w:color="auto" w:fill="EAF2F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mv_sne_pcb_indicator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PCB index values and their corresponding text descriptions.</w:t>
            </w:r>
          </w:p>
        </w:tc>
      </w:tr>
    </w:tbl>
    <w:p/>
    <w:p>
      <w:pPr>
        <w:spacing w:before="280" w:after="80"/>
        <w:pBdr>
          <w:bottom w:val="single" w:sz="12" w:space="1" w:color="2E75B6"/>
        </w:pBdr>
      </w:pPr>
      <w:r>
        <w:rPr>
          <w:rFonts w:ascii="Calibri" w:hAnsi="Calibri"/>
          <w:b/>
          <w:color w:val="1E5499"/>
          <w:sz w:val="26"/>
        </w:rPr>
        <w:t>GIS &amp; Network Topology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45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Table / View Name</w:t>
            </w:r>
          </w:p>
        </w:tc>
        <w:tc>
          <w:tcPr>
            <w:tcW w:type="dxa" w:w="648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  <w:shd w:val="clear" w:color="auto" w:fill="D6E4F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mv_css_pim_point</w:t>
            </w:r>
          </w:p>
        </w:tc>
        <w:tc>
          <w:tcPr>
            <w:tcW w:type="dxa" w:w="6480"/>
            <w:shd w:val="clear" w:color="auto" w:fill="F7FB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GIS point ID details for each transformer, including columns for area ID, tag name, substation, and circuit IDs.</w:t>
            </w:r>
          </w:p>
        </w:tc>
      </w:tr>
      <w:tr>
        <w:tc>
          <w:tcPr>
            <w:tcW w:type="dxa" w:w="3456"/>
            <w:shd w:val="clear" w:color="auto" w:fill="EAF2F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mv_circuitsource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circuit ID, connected substation, and nominal voltage.</w:t>
            </w:r>
          </w:p>
        </w:tc>
      </w:tr>
      <w:tr>
        <w:tc>
          <w:tcPr>
            <w:tcW w:type="dxa" w:w="3456"/>
            <w:shd w:val="clear" w:color="auto" w:fill="D6E4F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MV_SUBSTN_CIRCUIT</w:t>
            </w:r>
          </w:p>
        </w:tc>
        <w:tc>
          <w:tcPr>
            <w:tcW w:type="dxa" w:w="6480"/>
            <w:shd w:val="clear" w:color="auto" w:fill="F7FB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Master table containing circuit, crew quarter, and substation information.</w:t>
            </w:r>
          </w:p>
        </w:tc>
      </w:tr>
      <w:tr>
        <w:tc>
          <w:tcPr>
            <w:tcW w:type="dxa" w:w="3456"/>
            <w:shd w:val="clear" w:color="auto" w:fill="EAF2F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mv_substation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station name, number, phase, and nominal voltage.</w:t>
            </w:r>
          </w:p>
        </w:tc>
      </w:tr>
    </w:tbl>
    <w:p/>
    <w:p>
      <w:pPr>
        <w:spacing w:before="280" w:after="80"/>
        <w:pBdr>
          <w:bottom w:val="single" w:sz="12" w:space="1" w:color="2E75B6"/>
        </w:pBdr>
      </w:pPr>
      <w:r>
        <w:rPr>
          <w:rFonts w:ascii="Calibri" w:hAnsi="Calibri"/>
          <w:b/>
          <w:color w:val="1E5499"/>
          <w:sz w:val="26"/>
        </w:rPr>
        <w:t>Load &amp; Peak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45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Table / View Name</w:t>
            </w:r>
          </w:p>
        </w:tc>
        <w:tc>
          <w:tcPr>
            <w:tcW w:type="dxa" w:w="648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  <w:shd w:val="clear" w:color="auto" w:fill="D6E4F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DA_TRANSFORMER_HOURLY_LOAD</w:t>
            </w:r>
          </w:p>
        </w:tc>
        <w:tc>
          <w:tcPr>
            <w:tcW w:type="dxa" w:w="6480"/>
            <w:shd w:val="clear" w:color="auto" w:fill="F7FB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hourly summation data for a transformer, including KVA, KWH, and hourly peak KVA.</w:t>
            </w:r>
          </w:p>
        </w:tc>
      </w:tr>
      <w:tr>
        <w:tc>
          <w:tcPr>
            <w:tcW w:type="dxa" w:w="3456"/>
            <w:shd w:val="clear" w:color="auto" w:fill="EAF2FA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DA_CHANNEL_PEAK_DATA</w:t>
            </w:r>
          </w:p>
        </w:tc>
        <w:tc>
          <w:tcPr>
            <w:tcW w:type="dxa" w:w="6480"/>
            <w:shd w:val="clear" w:color="auto" w:fill="FFFF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peak KVA and KWH data across two years for each transformer.</w:t>
            </w:r>
          </w:p>
        </w:tc>
      </w:tr>
    </w:tbl>
    <w:p/>
    <w:p>
      <w:pPr>
        <w:spacing w:before="280" w:after="80"/>
        <w:pBdr>
          <w:bottom w:val="single" w:sz="12" w:space="1" w:color="2E75B6"/>
        </w:pBdr>
      </w:pPr>
      <w:r>
        <w:rPr>
          <w:rFonts w:ascii="Calibri" w:hAnsi="Calibri"/>
          <w:b/>
          <w:color w:val="1E5499"/>
          <w:sz w:val="26"/>
        </w:rPr>
        <w:t>Grid &amp; Correlation Data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92"/>
        <w:gridCol w:w="4392"/>
      </w:tblGrid>
      <w:tr>
        <w:tc>
          <w:tcPr>
            <w:tcW w:type="dxa" w:w="3456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Table / View Name</w:t>
            </w:r>
          </w:p>
        </w:tc>
        <w:tc>
          <w:tcPr>
            <w:tcW w:type="dxa" w:w="6480"/>
            <w:shd w:val="clear" w:color="auto" w:fill="1F3864"/>
            <w:tcBorders>
              <w:top w:val="single" w:sz="4" w:space="0" w:color="1F3864"/>
              <w:left w:val="single" w:sz="4" w:space="0" w:color="1F3864"/>
              <w:bottom w:val="single" w:sz="4" w:space="0" w:color="1F3864"/>
              <w:right w:val="single" w:sz="4" w:space="0" w:color="1F3864"/>
            </w:tcBorders>
          </w:tcPr>
          <w:p>
            <w:pPr>
              <w:spacing w:before="80" w:after="80"/>
            </w:pPr>
            <w:r>
              <w:rPr>
                <w:rFonts w:ascii="Calibri" w:hAnsi="Calibri"/>
                <w:b/>
                <w:color w:val="FFFFFF"/>
                <w:sz w:val="20"/>
              </w:rPr>
              <w:t>Description</w:t>
            </w:r>
          </w:p>
        </w:tc>
      </w:tr>
      <w:tr>
        <w:tc>
          <w:tcPr>
            <w:tcW w:type="dxa" w:w="3456"/>
            <w:shd w:val="clear" w:color="auto" w:fill="D6E4F0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ourier New" w:hAnsi="Courier New"/>
                <w:b/>
                <w:color w:val="154278"/>
                <w:sz w:val="18"/>
              </w:rPr>
              <w:t>DA_MISSGRID</w:t>
            </w:r>
          </w:p>
        </w:tc>
        <w:tc>
          <w:tcPr>
            <w:tcW w:type="dxa" w:w="6480"/>
            <w:shd w:val="clear" w:color="auto" w:fill="F7FBFF"/>
            <w:tcBorders>
              <w:top w:val="single" w:sz="4" w:space="0" w:color="BDD7EE"/>
              <w:left w:val="single" w:sz="4" w:space="0" w:color="BDD7EE"/>
              <w:bottom w:val="single" w:sz="4" w:space="0" w:color="BDD7EE"/>
              <w:right w:val="single" w:sz="4" w:space="0" w:color="BDD7EE"/>
            </w:tcBorders>
          </w:tcPr>
          <w:p>
            <w:pPr>
              <w:spacing w:before="60" w:after="60"/>
            </w:pPr>
            <w:r>
              <w:rPr>
                <w:rFonts w:ascii="Calibri" w:hAnsi="Calibri"/>
                <w:b w:val="0"/>
                <w:color w:val="323232"/>
                <w:sz w:val="20"/>
              </w:rPr>
              <w:t>Contains SPIDs and the correlation coefficient between them.</w:t>
            </w:r>
          </w:p>
        </w:tc>
      </w:tr>
    </w:tbl>
    <w:p/>
    <w:p>
      <w:pPr>
        <w:spacing w:before="320"/>
        <w:shd w:val="clear" w:color="auto" w:fill="EAF2FA"/>
        <w:ind w:left="-288" w:right="-288"/>
      </w:pPr>
      <w:r>
        <w:rPr>
          <w:rFonts w:ascii="Calibri" w:hAnsi="Calibri"/>
          <w:b w:val="0"/>
          <w:color w:val="505050"/>
          <w:sz w:val="18"/>
        </w:rPr>
        <w:t xml:space="preserve">  Note: Table and view names are preserved exactly as defined in the system schema.</w:t>
      </w:r>
    </w:p>
    <w:sectPr w:rsidR="00FC693F" w:rsidRPr="0006063C" w:rsidSect="00034616">
      <w:pgSz w:w="12240" w:h="15840"/>
      <w:pgMar w:top="1440" w:right="1728" w:bottom="1440" w:left="172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