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4"/>
          <w:szCs w:val="24"/>
        </w:rPr>
        <w:t xml:space="preserve">REVA UNIVERSITY</w:t>
      </w:r>
    </w:p>
    <w:p>
      <w:pPr>
        <w:spacing w:after="40"/>
      </w:pPr>
      <w:r>
        <w:rPr>
          <w:color w:val="595959"/>
          <w:sz w:val="22"/>
          <w:szCs w:val="22"/>
        </w:rPr>
        <w:t xml:space="preserve">School of Computer Science &amp; Engineering</w:t>
      </w:r>
    </w:p>
    <w:p>
      <w:pPr>
        <w:pStyle w:val="Title"/>
        <w:spacing w:after="60"/>
      </w:pPr>
      <w:r>
        <w:t xml:space="preserve">Course Design Document (CDD)</w:t>
      </w:r>
    </w:p>
    <w:p>
      <w:pPr>
        <w:pBdr>
          <w:bottom w:val="single" w:color="2E75B6" w:sz="12" w:space="6"/>
        </w:pBdr>
        <w:spacing w:after="120"/>
      </w:pPr>
      <w:r>
        <w:rPr>
          <w:i/>
          <w:iCs/>
          <w:color w:val="595959"/>
          <w:sz w:val="20"/>
          <w:szCs w:val="20"/>
        </w:rPr>
        <w:t xml:space="preserve">AI-Era Outcome-Based Course Design Template  •  Version 1.0  •  2026 revision cycle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How to use: every course owner completes one CDD per course. Replace all grey italic prompts with your content. The Board of Studies reviews the CDD before the course is approved. Fields marked ★ are mandatory for AI-era compliance and cannot be left blank.</w:t>
      </w:r>
    </w:p>
    <w:p>
      <w:pPr>
        <w:spacing w:after="60"/>
      </w:pPr>
      <w:r>
        <w:t xml:space="preserve"/>
      </w:r>
    </w:p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1. Course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e.g., Large Language Models, RAG &amp; Agents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e.g., AIML601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L–T–P–C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Lecture–Tutorial–Practical–Credits, e.g., 3–0–2–4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Semester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e.g., 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Programme(s)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CSE / CSE-AIML / CSE-AIDS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Foundation / PCC / PEC / Industry-Skill / Open Elective / Project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Course Owner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Name, designation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List course codes that MUST be cleared first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Co-requisites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If any</w:t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2. Course Description &amp; Rationale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Course description (3–5 sentences)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What the course covers and the competency a student leaves with. Write in plain language a recruiter would understand.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Why this course exists — placement / competency rationale ★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State the specific placement skill or downstream course this enables (e.g., “builds the production-ML competency screened in ML-engineer interviews; prerequisite for the Sem-7 Capstone Studio”).</w:t>
      </w:r>
    </w:p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3. Course Outcomes (COs) — Bloom-Tagged ★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Write 5–6 measurable COs. Tag each with its Bloom level (L1 Remember … L6 Create). Bloom levels MUST rise with seniority: Sems 1–2 lean L1–L2, Sems 3–4 L2–L3, Sems 5–6 L3–L4, Sems 7–8 L4–L6. A graduating-year CO at L2 is a red flag.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60"/>
        <w:gridCol w:w="10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 #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completion, the student will be able to…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Bloom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CO1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 measurable outcome verb + content 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L_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CO2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L_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CO3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L_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CO4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L_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CO5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L_</w:t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4. CO–PO–PSO Mapping Matrix ★ (NBA OBE)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Enter correlation strength: 3 = strong, 2 = moderate, 1 = slight, blank = none. PO1–PO12 are the standard NBA POs; PSO1–PSO3 are REVA's programme-specific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60"/>
        <w:gridCol w:w="560"/>
        <w:gridCol w:w="560"/>
        <w:gridCol w:w="560"/>
        <w:gridCol w:w="560"/>
        <w:gridCol w:w="540"/>
      </w:tblGrid>
      <w:tr>
        <w:trPr>
          <w:tblHeader/>
        </w:trP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PO1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PO3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PO4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PO5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PO6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PO7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PO8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PO9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PO10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PO11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PO12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PSO1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PSO2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PSO3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CO1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CO2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CO3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CO4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CO5</w:t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5. AI-Currency Check ★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Every course — not only AI courses — completes this. It forces a deliberate decision about modern-stack relevance. Mark each item Covered / Touched / Out-of-scope, and justify any “out-of-scope”.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60"/>
        <w:gridCol w:w="420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Modern-AI element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why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LLMs / foundation models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RAG &amp; vector retrieval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Agentic / tool-using AI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 &amp; evaluation engineering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MLOps / deployment / monitoring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Responsible &amp; safe AI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AI-assisted development tooling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For AI/ML courses only — cluster fit: </w:t>
      </w:r>
      <w:r>
        <w:rPr>
          <w:i/>
          <w:iCs/>
          <w:color w:val="9A9A9A"/>
          <w:sz w:val="19"/>
          <w:szCs w:val="19"/>
        </w:rPr>
        <w:t xml:space="preserve">state which cluster this course belongs to — Machine Learning / Perception &amp; Language / Decision-Making &amp; Robotics / Human-AI Interaction.</w:t>
      </w:r>
    </w:p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6. GenAI-Use Policy for This Course ★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Declare, per assessment type, whether generative-AI assistance is Permitted, Permitted-with-disclosure, or Prohibited. This is the integrity backbone of AI-era assessment — ambiguity here is what erodes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Assessment / activity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GenAI policy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Disclosure &amp; verification method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Labs / programming assignments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work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Written reports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Quizzes / in-class tests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End-semester examination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7. Pedagogy &amp; Delivery Plan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Describe the teaching approach. AI-era courses should be build-first: every theory unit pairs with a lab/studio activity, and at least one integrative artifact runs across the term.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400"/>
        <w:gridCol w:w="700"/>
        <w:gridCol w:w="3440"/>
        <w:gridCol w:w="1000"/>
      </w:tblGrid>
      <w:tr>
        <w:trPr>
          <w:tblHeader/>
        </w:trP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Topics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Hrs</w:t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Lab / studio activity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CO(s)</w:t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before="100"/>
      </w:pPr>
      <w:r>
        <w:rPr>
          <w:b/>
          <w:bCs/>
          <w:sz w:val="20"/>
          <w:szCs w:val="20"/>
        </w:rPr>
        <w:t xml:space="preserve">Tooling used (industrial-grade): </w:t>
      </w:r>
      <w:r>
        <w:rPr>
          <w:i/>
          <w:iCs/>
          <w:color w:val="9A9A9A"/>
          <w:sz w:val="19"/>
          <w:szCs w:val="19"/>
        </w:rPr>
        <w:t xml:space="preserve">e.g., Git, Linux CLI, Docker, cloud endpoint, CI — name them explicitly.</w:t>
      </w:r>
    </w:p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8. Assessment Design — Process-Based ★</w:t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Weightings MUST NOT be 100% final-exam. Show how process (design decisions, iterations, demos, reviews) is graded, not only the final artifact. Each component maps to CO(s).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26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 %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 or product?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CO(s) assessed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Continuous internal (labs/reviews)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/ studio artifact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 / viva / presentation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Mid-semester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End-semester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9. Industry Relevance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Target roles / placement link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e.g., ML Engineer, Data Scientist, AI Product Engineer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Industry / GCC input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Reviewer name &amp; company, if any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Certification alignment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e.g., AWS ML, Azure AI — if applicable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Prescribed text(s)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Reference / online resources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Datasets / compute / lab needs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i/>
                <w:iCs/>
                <w:color w:val="9A9A9A"/>
                <w:sz w:val="19"/>
                <w:szCs w:val="19"/>
              </w:rPr>
              <w:t xml:space="preserve">GPUs, cloud credits, licences</w:t>
            </w:r>
          </w:p>
        </w:tc>
      </w:tr>
    </w:tbl>
    <w:p>
      <w:pPr>
        <w:pStyle w:val="Heading1"/>
        <w:shd w:fill="1F3864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10. Review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24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Course Owner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Module / Domain Coordinator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 of Department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BoS Chair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i/>
          <w:iCs/>
          <w:color w:val="8C8C8C"/>
          <w:sz w:val="19"/>
          <w:szCs w:val="19"/>
        </w:rPr>
        <w:t xml:space="preserve">Reviewer checklist before approval: COs measurable &amp; Bloom-progressive ☑  •  CO–PO–PSO complete ☑  •  AI-currency check done ☑  •  GenAI policy declared ☑  •  assessment is process-based ☑  •  prerequisites valid ☑  •  tooling named ☑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Template v1.0 • ★ = mandatory AI-era field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4" w:space="4"/>
      </w:pBdr>
    </w:pPr>
    <w:r>
      <w:rPr>
        <w:color w:val="595959"/>
        <w:sz w:val="16"/>
        <w:szCs w:val="16"/>
      </w:rPr>
      <w:t xml:space="preserve">REVA University — Course Design Document (CDD)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hd w:fill="1F3864" w:val="clear"/>
      <w:spacing w:after="120" w:before="260"/>
      <w:outlineLvl w:val="0"/>
    </w:pPr>
    <w:rPr>
      <w:rFonts w:ascii="Calibri" w:cs="Calibri" w:eastAsia="Calibri" w:hAnsi="Calibri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2026-06-04T10:02:26.086Z</dcterms:created>
  <dcterms:modified xsi:type="dcterms:W3CDTF">2026-06-04T10:02:26.086Z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