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7E0C9" w14:textId="77777777" w:rsidR="00364081" w:rsidRDefault="00000000">
      <w:pPr>
        <w:spacing w:after="55" w:line="259" w:lineRule="auto"/>
        <w:ind w:left="0" w:firstLine="0"/>
        <w:jc w:val="center"/>
      </w:pPr>
      <w:r>
        <w:rPr>
          <w:b/>
          <w:color w:val="2B3AA0"/>
          <w:sz w:val="34"/>
        </w:rPr>
        <w:t>LABOUR MARKET ANALYTICS:</w:t>
      </w:r>
    </w:p>
    <w:p w14:paraId="08C07E0A" w14:textId="7F41006E" w:rsidR="00364081" w:rsidRDefault="00000000">
      <w:pPr>
        <w:pBdr>
          <w:bottom w:val="single" w:sz="6" w:space="1" w:color="auto"/>
        </w:pBdr>
        <w:spacing w:after="235" w:line="259" w:lineRule="auto"/>
        <w:ind w:left="260" w:firstLine="0"/>
        <w:jc w:val="left"/>
        <w:rPr>
          <w:b/>
          <w:color w:val="2B3AA0"/>
          <w:sz w:val="34"/>
        </w:rPr>
      </w:pPr>
      <w:r>
        <w:rPr>
          <w:b/>
          <w:color w:val="2B3AA0"/>
          <w:sz w:val="34"/>
        </w:rPr>
        <w:t>EMPLOYMENT RESILIENCE ACROSS INDIAN STATES</w:t>
      </w:r>
    </w:p>
    <w:p w14:paraId="76B6A5D3" w14:textId="77777777" w:rsidR="00A25264" w:rsidRDefault="00A25264">
      <w:pPr>
        <w:spacing w:after="235" w:line="259" w:lineRule="auto"/>
        <w:ind w:left="260" w:firstLine="0"/>
        <w:jc w:val="left"/>
      </w:pPr>
    </w:p>
    <w:p w14:paraId="5BAFE89F" w14:textId="77777777" w:rsidR="00364081" w:rsidRDefault="00000000">
      <w:pPr>
        <w:pStyle w:val="Heading1"/>
        <w:ind w:left="-5"/>
      </w:pPr>
      <w:r>
        <w:t>1. Project Overview and Objective</w:t>
      </w:r>
    </w:p>
    <w:p w14:paraId="067C154D" w14:textId="7814BFD1" w:rsidR="00364081" w:rsidRDefault="00000000">
      <w:pPr>
        <w:spacing w:after="119"/>
      </w:pPr>
      <w:r>
        <w:t>This project analy</w:t>
      </w:r>
      <w:r w:rsidR="008701FB">
        <w:t>se</w:t>
      </w:r>
      <w:r>
        <w:t xml:space="preserve"> India's labour market using the </w:t>
      </w:r>
      <w:r>
        <w:rPr>
          <w:b/>
        </w:rPr>
        <w:t>Periodic Labour Force Survey (PLFS)</w:t>
      </w:r>
      <w:r>
        <w:t xml:space="preserve"> to understand how employment indicators changed across Indian states before, during and after the COVID-19 pandemic. Using Python, four PLFS datasets (Labour Force Participation Rate, Unemployment Rate, Worker Population Ratio and sector-wise employment) are merged, cleaned and explored, and the results are presented in an interactive Power BI dashboard.</w:t>
      </w:r>
    </w:p>
    <w:p w14:paraId="6149CFE9" w14:textId="77777777" w:rsidR="00364081" w:rsidRDefault="00000000">
      <w:pPr>
        <w:spacing w:after="119"/>
      </w:pPr>
      <w:r>
        <w:t xml:space="preserve">The analysis covers </w:t>
      </w:r>
      <w:r>
        <w:rPr>
          <w:b/>
        </w:rPr>
        <w:t>2019–2024</w:t>
      </w:r>
      <w:r>
        <w:t xml:space="preserve"> and focuses on three phases: </w:t>
      </w:r>
      <w:r>
        <w:rPr>
          <w:b/>
        </w:rPr>
        <w:t>pre-COVID (2019)</w:t>
      </w:r>
      <w:r>
        <w:t xml:space="preserve">, </w:t>
      </w:r>
      <w:r>
        <w:rPr>
          <w:b/>
        </w:rPr>
        <w:t>pandemic shock (2020)</w:t>
      </w:r>
      <w:r>
        <w:t xml:space="preserve"> and </w:t>
      </w:r>
      <w:r>
        <w:rPr>
          <w:b/>
        </w:rPr>
        <w:t>recovery (2022)</w:t>
      </w:r>
      <w:r>
        <w:t>. It is a descriptive and diagnostic analytics project that uses transparent, rule-based comparisons rather than machine learning.</w:t>
      </w:r>
    </w:p>
    <w:p w14:paraId="67BA0C89" w14:textId="77777777" w:rsidR="00364081" w:rsidRDefault="00000000">
      <w:pPr>
        <w:spacing w:after="129"/>
      </w:pPr>
      <w:r>
        <w:t>The primary objective is to identify which states were hit hardest by the pandemic, which recovered fastest, and how participation, unemployment and sector structure differ across states, genders and age groups.</w:t>
      </w:r>
    </w:p>
    <w:p w14:paraId="6D205814" w14:textId="77777777" w:rsidR="00C170DE" w:rsidRDefault="00C170DE">
      <w:pPr>
        <w:spacing w:after="129"/>
      </w:pPr>
    </w:p>
    <w:p w14:paraId="677FDD60" w14:textId="77777777" w:rsidR="00364081" w:rsidRDefault="00000000">
      <w:pPr>
        <w:spacing w:after="94" w:line="259" w:lineRule="auto"/>
        <w:ind w:left="-5"/>
        <w:jc w:val="left"/>
      </w:pPr>
      <w:r>
        <w:rPr>
          <w:b/>
          <w:color w:val="2B3AA0"/>
          <w:sz w:val="22"/>
        </w:rPr>
        <w:t>Objectives:</w:t>
      </w:r>
    </w:p>
    <w:p w14:paraId="2F5CA483" w14:textId="77777777" w:rsidR="00364081" w:rsidRDefault="00000000">
      <w:pPr>
        <w:numPr>
          <w:ilvl w:val="0"/>
          <w:numId w:val="1"/>
        </w:numPr>
        <w:ind w:hanging="240"/>
      </w:pPr>
      <w:r>
        <w:t>Merge the PLFS datasets (LFPR, UR, WPR, sector-wise employment) for 22 Indian states and the All-India aggregate into one clean dataset using Python.</w:t>
      </w:r>
    </w:p>
    <w:p w14:paraId="101FFA01" w14:textId="3FBF70F2" w:rsidR="00364081" w:rsidRDefault="00000000">
      <w:pPr>
        <w:numPr>
          <w:ilvl w:val="0"/>
          <w:numId w:val="1"/>
        </w:numPr>
        <w:ind w:hanging="240"/>
      </w:pPr>
      <w:r>
        <w:t>Analy</w:t>
      </w:r>
      <w:r w:rsidR="00A25264">
        <w:t>s</w:t>
      </w:r>
      <w:r>
        <w:t>e trends and disparities across states, gender and time, with a focus on the COVID-19 period.</w:t>
      </w:r>
    </w:p>
    <w:p w14:paraId="35C6A59F" w14:textId="77777777" w:rsidR="00364081" w:rsidRDefault="00000000">
      <w:pPr>
        <w:numPr>
          <w:ilvl w:val="0"/>
          <w:numId w:val="1"/>
        </w:numPr>
        <w:ind w:hanging="240"/>
      </w:pPr>
      <w:r>
        <w:t>Compute descriptive statistics (mean, percentage change, year-on-year movement) for each indicator.</w:t>
      </w:r>
    </w:p>
    <w:p w14:paraId="20CC9383" w14:textId="77777777" w:rsidR="00364081" w:rsidRDefault="00000000">
      <w:pPr>
        <w:numPr>
          <w:ilvl w:val="0"/>
          <w:numId w:val="1"/>
        </w:numPr>
        <w:ind w:hanging="240"/>
      </w:pPr>
      <w:r>
        <w:t>Rank states by employment shock and recovery using rule-based thresholds.</w:t>
      </w:r>
    </w:p>
    <w:p w14:paraId="6343DEC1" w14:textId="77777777" w:rsidR="00364081" w:rsidRDefault="00000000">
      <w:pPr>
        <w:numPr>
          <w:ilvl w:val="0"/>
          <w:numId w:val="1"/>
        </w:numPr>
        <w:ind w:hanging="240"/>
      </w:pPr>
      <w:r>
        <w:t>Study sector-wise shifts (agriculture, secondary, tertiary) to understand structural employment patterns.</w:t>
      </w:r>
    </w:p>
    <w:p w14:paraId="3DC58DF8" w14:textId="77777777" w:rsidR="00364081" w:rsidRDefault="00000000">
      <w:pPr>
        <w:numPr>
          <w:ilvl w:val="0"/>
          <w:numId w:val="1"/>
        </w:numPr>
        <w:spacing w:after="0"/>
        <w:ind w:hanging="240"/>
      </w:pPr>
      <w:r>
        <w:t>Present the findings in an interactive Power BI dashboard for stakeholders.</w:t>
      </w:r>
    </w:p>
    <w:p w14:paraId="5EE44699" w14:textId="77777777" w:rsidR="00364081" w:rsidRDefault="00000000">
      <w:pPr>
        <w:spacing w:after="236" w:line="259" w:lineRule="auto"/>
        <w:ind w:left="0" w:firstLine="0"/>
        <w:jc w:val="left"/>
      </w:pPr>
      <w:r>
        <w:rPr>
          <w:rFonts w:ascii="Calibri" w:eastAsia="Calibri" w:hAnsi="Calibri" w:cs="Calibri"/>
          <w:noProof/>
          <w:sz w:val="22"/>
        </w:rPr>
        <mc:AlternateContent>
          <mc:Choice Requires="wpg">
            <w:drawing>
              <wp:inline distT="0" distB="0" distL="0" distR="0" wp14:anchorId="0D0D1677" wp14:editId="4A237A7E">
                <wp:extent cx="5967601" cy="7620"/>
                <wp:effectExtent l="0" t="0" r="0" b="0"/>
                <wp:docPr id="6921" name="Group 6921"/>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43" name="Shape 43"/>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9A9A9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21" style="width:469.89pt;height:0.6pt;mso-position-horizontal-relative:char;mso-position-vertical-relative:line" coordsize="59676,76">
                <v:shape id="Shape 43" style="position:absolute;width:59676;height:0;left:0;top:0;" coordsize="5967601,0" path="m0,0l5967601,0">
                  <v:stroke weight="0.6pt" endcap="round" joinstyle="miter" miterlimit="10" on="true" color="#9a9a9a"/>
                  <v:fill on="false" color="#000000" opacity="0"/>
                </v:shape>
              </v:group>
            </w:pict>
          </mc:Fallback>
        </mc:AlternateContent>
      </w:r>
    </w:p>
    <w:p w14:paraId="76753DCF" w14:textId="77777777" w:rsidR="00364081" w:rsidRDefault="00000000">
      <w:pPr>
        <w:pStyle w:val="Heading1"/>
        <w:ind w:left="-5"/>
      </w:pPr>
      <w:r>
        <w:t>2. Data Sources</w:t>
      </w:r>
    </w:p>
    <w:p w14:paraId="0AD1336D" w14:textId="77777777" w:rsidR="00364081" w:rsidRDefault="00000000">
      <w:pPr>
        <w:numPr>
          <w:ilvl w:val="0"/>
          <w:numId w:val="2"/>
        </w:numPr>
        <w:ind w:hanging="240"/>
      </w:pPr>
      <w:r>
        <w:rPr>
          <w:b/>
        </w:rPr>
        <w:t>Source:</w:t>
      </w:r>
      <w:r>
        <w:t xml:space="preserve"> Periodic Labour Force Survey (PLFS), published by the Ministry of Statistics and Programme Implementation (MoSPI) and accessed through the India Data Portal (indiadataportal.com/p/employment).</w:t>
      </w:r>
    </w:p>
    <w:p w14:paraId="16AE8E94" w14:textId="77777777" w:rsidR="00364081" w:rsidRDefault="00000000">
      <w:pPr>
        <w:numPr>
          <w:ilvl w:val="0"/>
          <w:numId w:val="2"/>
        </w:numPr>
        <w:ind w:hanging="240"/>
      </w:pPr>
      <w:r>
        <w:rPr>
          <w:b/>
        </w:rPr>
        <w:t>Raw Data Files:</w:t>
      </w:r>
      <w:r>
        <w:t xml:space="preserve"> Four files – LFPR, Unemployment Rate (UR), Worker Population Ratio (WPR) and sector-wise employment (sectors).</w:t>
      </w:r>
    </w:p>
    <w:p w14:paraId="41A07D29" w14:textId="43AA417A" w:rsidR="00364081" w:rsidRDefault="00000000">
      <w:pPr>
        <w:numPr>
          <w:ilvl w:val="0"/>
          <w:numId w:val="2"/>
        </w:numPr>
        <w:ind w:hanging="240"/>
      </w:pPr>
      <w:r>
        <w:rPr>
          <w:b/>
        </w:rPr>
        <w:t>Source Timeline:</w:t>
      </w:r>
      <w:r>
        <w:t xml:space="preserve"> 2018–2024 (2018 was excluded during cleaning).</w:t>
      </w:r>
    </w:p>
    <w:p w14:paraId="44EE6CFB" w14:textId="77777777" w:rsidR="00364081" w:rsidRDefault="00000000">
      <w:pPr>
        <w:numPr>
          <w:ilvl w:val="0"/>
          <w:numId w:val="2"/>
        </w:numPr>
        <w:ind w:hanging="240"/>
      </w:pPr>
      <w:r>
        <w:rPr>
          <w:b/>
        </w:rPr>
        <w:t>Dataset Used for Analysis:</w:t>
      </w:r>
      <w:r>
        <w:t xml:space="preserve"> 2019–2024, quarterly data.</w:t>
      </w:r>
    </w:p>
    <w:p w14:paraId="09D79FEB" w14:textId="77777777" w:rsidR="00364081" w:rsidRDefault="00000000">
      <w:pPr>
        <w:numPr>
          <w:ilvl w:val="0"/>
          <w:numId w:val="2"/>
        </w:numPr>
        <w:ind w:hanging="240"/>
      </w:pPr>
      <w:r>
        <w:rPr>
          <w:b/>
        </w:rPr>
        <w:t>Merged Dataset Size:</w:t>
      </w:r>
      <w:r>
        <w:t xml:space="preserve"> 4,347 records × 12 columns (17 columns after feature engineering).</w:t>
      </w:r>
    </w:p>
    <w:p w14:paraId="301EBFD5" w14:textId="77777777" w:rsidR="00364081" w:rsidRDefault="00000000">
      <w:pPr>
        <w:numPr>
          <w:ilvl w:val="0"/>
          <w:numId w:val="2"/>
        </w:numPr>
        <w:ind w:hanging="240"/>
      </w:pPr>
      <w:r>
        <w:rPr>
          <w:b/>
        </w:rPr>
        <w:t>Coverage:</w:t>
      </w:r>
      <w:r>
        <w:t xml:space="preserve"> 22 Indian states plus the All-India aggregate.</w:t>
      </w:r>
    </w:p>
    <w:p w14:paraId="26B21078" w14:textId="77777777" w:rsidR="00364081" w:rsidRDefault="00000000">
      <w:pPr>
        <w:numPr>
          <w:ilvl w:val="0"/>
          <w:numId w:val="2"/>
        </w:numPr>
        <w:ind w:hanging="240"/>
      </w:pPr>
      <w:r>
        <w:rPr>
          <w:b/>
        </w:rPr>
        <w:t>Domain:</w:t>
      </w:r>
      <w:r>
        <w:t xml:space="preserve"> Government / Public Sector – Labour Market and Employment.</w:t>
      </w:r>
    </w:p>
    <w:p w14:paraId="182E8704" w14:textId="77777777" w:rsidR="00364081" w:rsidRDefault="00000000">
      <w:pPr>
        <w:numPr>
          <w:ilvl w:val="0"/>
          <w:numId w:val="2"/>
        </w:numPr>
        <w:spacing w:after="0" w:line="259" w:lineRule="auto"/>
        <w:ind w:hanging="240"/>
      </w:pPr>
      <w:r>
        <w:rPr>
          <w:b/>
        </w:rPr>
        <w:t>Dataset Format:</w:t>
      </w:r>
      <w:r>
        <w:t xml:space="preserve"> CSV.</w:t>
      </w:r>
    </w:p>
    <w:p w14:paraId="4BFE5981" w14:textId="77777777" w:rsidR="00364081" w:rsidRDefault="00000000">
      <w:pPr>
        <w:spacing w:after="236" w:line="259" w:lineRule="auto"/>
        <w:ind w:left="0" w:firstLine="0"/>
        <w:jc w:val="left"/>
      </w:pPr>
      <w:r>
        <w:rPr>
          <w:rFonts w:ascii="Calibri" w:eastAsia="Calibri" w:hAnsi="Calibri" w:cs="Calibri"/>
          <w:noProof/>
          <w:sz w:val="22"/>
        </w:rPr>
        <mc:AlternateContent>
          <mc:Choice Requires="wpg">
            <w:drawing>
              <wp:inline distT="0" distB="0" distL="0" distR="0" wp14:anchorId="4E1F1481" wp14:editId="196285D0">
                <wp:extent cx="5967601" cy="7620"/>
                <wp:effectExtent l="0" t="0" r="0" b="0"/>
                <wp:docPr id="6922" name="Group 6922"/>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71" name="Shape 71"/>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9A9A9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22" style="width:469.89pt;height:0.6pt;mso-position-horizontal-relative:char;mso-position-vertical-relative:line" coordsize="59676,76">
                <v:shape id="Shape 71" style="position:absolute;width:59676;height:0;left:0;top:0;" coordsize="5967601,0" path="m0,0l5967601,0">
                  <v:stroke weight="0.6pt" endcap="round" joinstyle="miter" miterlimit="10" on="true" color="#9a9a9a"/>
                  <v:fill on="false" color="#000000" opacity="0"/>
                </v:shape>
              </v:group>
            </w:pict>
          </mc:Fallback>
        </mc:AlternateContent>
      </w:r>
    </w:p>
    <w:p w14:paraId="77BC746A" w14:textId="77777777" w:rsidR="00364081" w:rsidRDefault="00000000">
      <w:pPr>
        <w:pStyle w:val="Heading1"/>
        <w:ind w:left="-5"/>
      </w:pPr>
      <w:r>
        <w:lastRenderedPageBreak/>
        <w:t>3. Problem Statement</w:t>
      </w:r>
    </w:p>
    <w:p w14:paraId="13CAFC73" w14:textId="5A119992" w:rsidR="00364081" w:rsidRDefault="00000000">
      <w:pPr>
        <w:numPr>
          <w:ilvl w:val="0"/>
          <w:numId w:val="3"/>
        </w:numPr>
        <w:ind w:hanging="240"/>
      </w:pPr>
      <w:r>
        <w:t>To analy</w:t>
      </w:r>
      <w:r w:rsidR="00A25264">
        <w:t xml:space="preserve">se </w:t>
      </w:r>
      <w:r>
        <w:t xml:space="preserve"> how unemployment, labour force participation and worker population ratio changed across Indian states before, during and after COVID-19.</w:t>
      </w:r>
    </w:p>
    <w:p w14:paraId="6D4377A7" w14:textId="77777777" w:rsidR="00364081" w:rsidRDefault="00000000">
      <w:pPr>
        <w:numPr>
          <w:ilvl w:val="0"/>
          <w:numId w:val="3"/>
        </w:numPr>
        <w:ind w:hanging="240"/>
      </w:pPr>
      <w:r>
        <w:t>To identify the states with the sharpest employment shocks and those that recovered fastest by 2022.</w:t>
      </w:r>
    </w:p>
    <w:p w14:paraId="5052447E" w14:textId="77777777" w:rsidR="00364081" w:rsidRDefault="00000000">
      <w:pPr>
        <w:numPr>
          <w:ilvl w:val="0"/>
          <w:numId w:val="3"/>
        </w:numPr>
        <w:ind w:hanging="240"/>
      </w:pPr>
      <w:r>
        <w:t>To compare labour market outcomes across genders and age groups, and measure the gender gap in participation and unemployment.</w:t>
      </w:r>
    </w:p>
    <w:p w14:paraId="7F1A754E" w14:textId="77777777" w:rsidR="00364081" w:rsidRDefault="00000000">
      <w:pPr>
        <w:ind w:left="370"/>
      </w:pPr>
      <w:r>
        <w:t>To study how sector structure (agriculture, secondary, tertiary) relates to participation and unemployment.</w:t>
      </w:r>
    </w:p>
    <w:p w14:paraId="351321E1" w14:textId="77777777" w:rsidR="00364081" w:rsidRDefault="00000000">
      <w:pPr>
        <w:numPr>
          <w:ilvl w:val="0"/>
          <w:numId w:val="3"/>
        </w:numPr>
        <w:ind w:hanging="240"/>
      </w:pPr>
      <w:r>
        <w:t>To rank and categorize states on resilience using simple, transparent, rule-based comparisons.</w:t>
      </w:r>
    </w:p>
    <w:p w14:paraId="3A0787FC" w14:textId="77777777" w:rsidR="00364081" w:rsidRDefault="00000000">
      <w:pPr>
        <w:numPr>
          <w:ilvl w:val="0"/>
          <w:numId w:val="3"/>
        </w:numPr>
        <w:spacing w:after="1"/>
        <w:ind w:hanging="240"/>
      </w:pPr>
      <w:r>
        <w:t>To present the results through an interactive dashboard and generate recommendations for policy discussion.</w:t>
      </w:r>
    </w:p>
    <w:p w14:paraId="4DF8A0D1" w14:textId="77777777" w:rsidR="00364081" w:rsidRDefault="00000000">
      <w:pPr>
        <w:spacing w:after="236" w:line="259" w:lineRule="auto"/>
        <w:ind w:left="0" w:firstLine="0"/>
        <w:jc w:val="left"/>
      </w:pPr>
      <w:r>
        <w:rPr>
          <w:rFonts w:ascii="Calibri" w:eastAsia="Calibri" w:hAnsi="Calibri" w:cs="Calibri"/>
          <w:noProof/>
          <w:sz w:val="22"/>
        </w:rPr>
        <mc:AlternateContent>
          <mc:Choice Requires="wpg">
            <w:drawing>
              <wp:inline distT="0" distB="0" distL="0" distR="0" wp14:anchorId="73B43415" wp14:editId="633EFA52">
                <wp:extent cx="5967601" cy="7620"/>
                <wp:effectExtent l="0" t="0" r="0" b="0"/>
                <wp:docPr id="9399" name="Group 9399"/>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97" name="Shape 97"/>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9A9A9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399" style="width:469.89pt;height:0.6pt;mso-position-horizontal-relative:char;mso-position-vertical-relative:line" coordsize="59676,76">
                <v:shape id="Shape 97" style="position:absolute;width:59676;height:0;left:0;top:0;" coordsize="5967601,0" path="m0,0l5967601,0">
                  <v:stroke weight="0.6pt" endcap="round" joinstyle="miter" miterlimit="10" on="true" color="#9a9a9a"/>
                  <v:fill on="false" color="#000000" opacity="0"/>
                </v:shape>
              </v:group>
            </w:pict>
          </mc:Fallback>
        </mc:AlternateContent>
      </w:r>
    </w:p>
    <w:p w14:paraId="563E5CB3" w14:textId="77777777" w:rsidR="00364081" w:rsidRDefault="00000000">
      <w:pPr>
        <w:spacing w:after="0" w:line="259" w:lineRule="auto"/>
        <w:ind w:left="-5"/>
        <w:jc w:val="left"/>
      </w:pPr>
      <w:r>
        <w:rPr>
          <w:b/>
          <w:color w:val="2B3AA0"/>
          <w:sz w:val="24"/>
        </w:rPr>
        <w:t>4. Attribute (Column / Features) Details:</w:t>
      </w:r>
    </w:p>
    <w:tbl>
      <w:tblPr>
        <w:tblStyle w:val="TableGrid"/>
        <w:tblW w:w="9751" w:type="dxa"/>
        <w:tblInd w:w="-177" w:type="dxa"/>
        <w:tblCellMar>
          <w:top w:w="120" w:type="dxa"/>
          <w:left w:w="120" w:type="dxa"/>
          <w:bottom w:w="0" w:type="dxa"/>
          <w:right w:w="175" w:type="dxa"/>
        </w:tblCellMar>
        <w:tblLook w:val="04A0" w:firstRow="1" w:lastRow="0" w:firstColumn="1" w:lastColumn="0" w:noHBand="0" w:noVBand="1"/>
      </w:tblPr>
      <w:tblGrid>
        <w:gridCol w:w="2041"/>
        <w:gridCol w:w="1928"/>
        <w:gridCol w:w="5782"/>
      </w:tblGrid>
      <w:tr w:rsidR="00364081" w14:paraId="2E2A271C" w14:textId="77777777">
        <w:trPr>
          <w:trHeight w:val="380"/>
        </w:trPr>
        <w:tc>
          <w:tcPr>
            <w:tcW w:w="2041" w:type="dxa"/>
            <w:tcBorders>
              <w:top w:val="single" w:sz="5" w:space="0" w:color="000000"/>
              <w:left w:val="single" w:sz="5" w:space="0" w:color="000000"/>
              <w:bottom w:val="single" w:sz="5" w:space="0" w:color="000000"/>
              <w:right w:val="single" w:sz="5" w:space="0" w:color="000000"/>
            </w:tcBorders>
            <w:shd w:val="clear" w:color="auto" w:fill="EDEFF8"/>
          </w:tcPr>
          <w:p w14:paraId="317712A6" w14:textId="77777777" w:rsidR="00364081" w:rsidRDefault="00000000">
            <w:pPr>
              <w:spacing w:after="0" w:line="259" w:lineRule="auto"/>
              <w:ind w:left="55" w:firstLine="0"/>
              <w:jc w:val="center"/>
            </w:pPr>
            <w:r>
              <w:rPr>
                <w:b/>
                <w:sz w:val="20"/>
              </w:rPr>
              <w:t>Attribute Name</w:t>
            </w:r>
          </w:p>
        </w:tc>
        <w:tc>
          <w:tcPr>
            <w:tcW w:w="1928" w:type="dxa"/>
            <w:tcBorders>
              <w:top w:val="single" w:sz="5" w:space="0" w:color="000000"/>
              <w:left w:val="single" w:sz="5" w:space="0" w:color="000000"/>
              <w:bottom w:val="single" w:sz="5" w:space="0" w:color="000000"/>
              <w:right w:val="single" w:sz="5" w:space="0" w:color="000000"/>
            </w:tcBorders>
            <w:shd w:val="clear" w:color="auto" w:fill="EDEFF8"/>
          </w:tcPr>
          <w:p w14:paraId="4013390E" w14:textId="77777777" w:rsidR="00364081" w:rsidRDefault="00000000">
            <w:pPr>
              <w:spacing w:after="0" w:line="259" w:lineRule="auto"/>
              <w:ind w:left="55" w:firstLine="0"/>
              <w:jc w:val="center"/>
            </w:pPr>
            <w:r>
              <w:rPr>
                <w:b/>
                <w:sz w:val="20"/>
              </w:rPr>
              <w:t>Data Type</w:t>
            </w:r>
          </w:p>
        </w:tc>
        <w:tc>
          <w:tcPr>
            <w:tcW w:w="5783" w:type="dxa"/>
            <w:tcBorders>
              <w:top w:val="single" w:sz="5" w:space="0" w:color="000000"/>
              <w:left w:val="single" w:sz="5" w:space="0" w:color="000000"/>
              <w:bottom w:val="single" w:sz="5" w:space="0" w:color="000000"/>
              <w:right w:val="single" w:sz="5" w:space="0" w:color="000000"/>
            </w:tcBorders>
            <w:shd w:val="clear" w:color="auto" w:fill="EDEFF8"/>
          </w:tcPr>
          <w:p w14:paraId="3C80A441" w14:textId="77777777" w:rsidR="00364081" w:rsidRDefault="00000000">
            <w:pPr>
              <w:spacing w:after="0" w:line="259" w:lineRule="auto"/>
              <w:ind w:left="55" w:firstLine="0"/>
              <w:jc w:val="center"/>
            </w:pPr>
            <w:r>
              <w:rPr>
                <w:b/>
                <w:sz w:val="20"/>
              </w:rPr>
              <w:t>Description</w:t>
            </w:r>
          </w:p>
        </w:tc>
      </w:tr>
      <w:tr w:rsidR="00364081" w14:paraId="504CA900" w14:textId="77777777">
        <w:trPr>
          <w:trHeight w:val="370"/>
        </w:trPr>
        <w:tc>
          <w:tcPr>
            <w:tcW w:w="2041" w:type="dxa"/>
            <w:tcBorders>
              <w:top w:val="single" w:sz="5" w:space="0" w:color="000000"/>
              <w:left w:val="single" w:sz="5" w:space="0" w:color="000000"/>
              <w:bottom w:val="single" w:sz="5" w:space="0" w:color="000000"/>
              <w:right w:val="single" w:sz="5" w:space="0" w:color="000000"/>
            </w:tcBorders>
          </w:tcPr>
          <w:p w14:paraId="222B1A51" w14:textId="7A8783E8" w:rsidR="00364081" w:rsidRDefault="00A25264">
            <w:pPr>
              <w:spacing w:after="0" w:line="259" w:lineRule="auto"/>
              <w:ind w:left="55" w:firstLine="0"/>
              <w:jc w:val="center"/>
            </w:pPr>
            <w:r>
              <w:rPr>
                <w:sz w:val="19"/>
              </w:rPr>
              <w:t>Y</w:t>
            </w:r>
            <w:r w:rsidR="00000000">
              <w:rPr>
                <w:sz w:val="19"/>
              </w:rPr>
              <w:t>ear</w:t>
            </w:r>
          </w:p>
        </w:tc>
        <w:tc>
          <w:tcPr>
            <w:tcW w:w="1928" w:type="dxa"/>
            <w:tcBorders>
              <w:top w:val="single" w:sz="5" w:space="0" w:color="000000"/>
              <w:left w:val="single" w:sz="5" w:space="0" w:color="000000"/>
              <w:bottom w:val="single" w:sz="5" w:space="0" w:color="000000"/>
              <w:right w:val="single" w:sz="5" w:space="0" w:color="000000"/>
            </w:tcBorders>
          </w:tcPr>
          <w:p w14:paraId="6A9D514B" w14:textId="77777777" w:rsidR="00364081" w:rsidRDefault="00000000">
            <w:pPr>
              <w:spacing w:after="0" w:line="259" w:lineRule="auto"/>
              <w:ind w:left="55" w:firstLine="0"/>
              <w:jc w:val="center"/>
            </w:pPr>
            <w:r>
              <w:rPr>
                <w:sz w:val="19"/>
              </w:rPr>
              <w:t>Numeric (Integer)</w:t>
            </w:r>
          </w:p>
        </w:tc>
        <w:tc>
          <w:tcPr>
            <w:tcW w:w="5783" w:type="dxa"/>
            <w:tcBorders>
              <w:top w:val="single" w:sz="5" w:space="0" w:color="000000"/>
              <w:left w:val="single" w:sz="5" w:space="0" w:color="000000"/>
              <w:bottom w:val="single" w:sz="5" w:space="0" w:color="000000"/>
              <w:right w:val="single" w:sz="5" w:space="0" w:color="000000"/>
            </w:tcBorders>
          </w:tcPr>
          <w:p w14:paraId="3044891B" w14:textId="77777777" w:rsidR="00364081" w:rsidRDefault="00000000">
            <w:pPr>
              <w:spacing w:after="0" w:line="259" w:lineRule="auto"/>
              <w:ind w:left="0" w:firstLine="0"/>
              <w:jc w:val="left"/>
            </w:pPr>
            <w:r>
              <w:rPr>
                <w:sz w:val="19"/>
              </w:rPr>
              <w:t>Survey year (2019–2024)</w:t>
            </w:r>
          </w:p>
        </w:tc>
      </w:tr>
      <w:tr w:rsidR="00364081" w14:paraId="6BB218D1" w14:textId="77777777">
        <w:trPr>
          <w:trHeight w:val="620"/>
        </w:trPr>
        <w:tc>
          <w:tcPr>
            <w:tcW w:w="2041" w:type="dxa"/>
            <w:tcBorders>
              <w:top w:val="single" w:sz="5" w:space="0" w:color="000000"/>
              <w:left w:val="single" w:sz="5" w:space="0" w:color="000000"/>
              <w:bottom w:val="single" w:sz="5" w:space="0" w:color="000000"/>
              <w:right w:val="single" w:sz="5" w:space="0" w:color="000000"/>
            </w:tcBorders>
            <w:vAlign w:val="center"/>
          </w:tcPr>
          <w:p w14:paraId="27FC36D3" w14:textId="10F06750" w:rsidR="00364081" w:rsidRDefault="00A25264">
            <w:pPr>
              <w:spacing w:after="0" w:line="259" w:lineRule="auto"/>
              <w:ind w:left="55" w:firstLine="0"/>
              <w:jc w:val="center"/>
            </w:pPr>
            <w:r>
              <w:rPr>
                <w:sz w:val="19"/>
              </w:rPr>
              <w:t>Q</w:t>
            </w:r>
            <w:r w:rsidR="00000000">
              <w:rPr>
                <w:sz w:val="19"/>
              </w:rPr>
              <w:t>uarter</w:t>
            </w:r>
          </w:p>
        </w:tc>
        <w:tc>
          <w:tcPr>
            <w:tcW w:w="1928" w:type="dxa"/>
            <w:tcBorders>
              <w:top w:val="single" w:sz="5" w:space="0" w:color="000000"/>
              <w:left w:val="single" w:sz="5" w:space="0" w:color="000000"/>
              <w:bottom w:val="single" w:sz="5" w:space="0" w:color="000000"/>
              <w:right w:val="single" w:sz="5" w:space="0" w:color="000000"/>
            </w:tcBorders>
            <w:vAlign w:val="center"/>
          </w:tcPr>
          <w:p w14:paraId="11CFFD9E" w14:textId="77777777" w:rsidR="00364081" w:rsidRDefault="00000000">
            <w:pPr>
              <w:spacing w:after="0" w:line="259" w:lineRule="auto"/>
              <w:ind w:left="55" w:firstLine="0"/>
              <w:jc w:val="center"/>
            </w:pPr>
            <w:r>
              <w:rPr>
                <w:sz w:val="19"/>
              </w:rPr>
              <w:t>Categorical</w:t>
            </w:r>
          </w:p>
        </w:tc>
        <w:tc>
          <w:tcPr>
            <w:tcW w:w="5783" w:type="dxa"/>
            <w:tcBorders>
              <w:top w:val="single" w:sz="5" w:space="0" w:color="000000"/>
              <w:left w:val="single" w:sz="5" w:space="0" w:color="000000"/>
              <w:bottom w:val="single" w:sz="5" w:space="0" w:color="000000"/>
              <w:right w:val="single" w:sz="5" w:space="0" w:color="000000"/>
            </w:tcBorders>
          </w:tcPr>
          <w:p w14:paraId="73415C61" w14:textId="77777777" w:rsidR="00364081" w:rsidRDefault="00000000">
            <w:pPr>
              <w:spacing w:after="12" w:line="259" w:lineRule="auto"/>
              <w:ind w:left="0" w:firstLine="0"/>
              <w:jc w:val="left"/>
            </w:pPr>
            <w:r>
              <w:rPr>
                <w:sz w:val="19"/>
              </w:rPr>
              <w:t>Survey quarter: January-March, April-June, July-September,</w:t>
            </w:r>
          </w:p>
          <w:p w14:paraId="2D81E81B" w14:textId="77777777" w:rsidR="00364081" w:rsidRDefault="00000000">
            <w:pPr>
              <w:spacing w:after="0" w:line="259" w:lineRule="auto"/>
              <w:ind w:left="0" w:firstLine="0"/>
              <w:jc w:val="left"/>
            </w:pPr>
            <w:r>
              <w:rPr>
                <w:sz w:val="19"/>
              </w:rPr>
              <w:t>October-December</w:t>
            </w:r>
          </w:p>
        </w:tc>
      </w:tr>
      <w:tr w:rsidR="00364081" w14:paraId="223F7CCB" w14:textId="77777777">
        <w:trPr>
          <w:trHeight w:val="370"/>
        </w:trPr>
        <w:tc>
          <w:tcPr>
            <w:tcW w:w="2041" w:type="dxa"/>
            <w:tcBorders>
              <w:top w:val="single" w:sz="5" w:space="0" w:color="000000"/>
              <w:left w:val="single" w:sz="5" w:space="0" w:color="000000"/>
              <w:bottom w:val="single" w:sz="5" w:space="0" w:color="000000"/>
              <w:right w:val="single" w:sz="5" w:space="0" w:color="000000"/>
            </w:tcBorders>
          </w:tcPr>
          <w:p w14:paraId="2A6EEEEE" w14:textId="3FD1659F" w:rsidR="00364081" w:rsidRDefault="00A25264">
            <w:pPr>
              <w:spacing w:after="0" w:line="259" w:lineRule="auto"/>
              <w:ind w:left="55" w:firstLine="0"/>
              <w:jc w:val="center"/>
            </w:pPr>
            <w:r>
              <w:rPr>
                <w:sz w:val="19"/>
              </w:rPr>
              <w:t>S</w:t>
            </w:r>
            <w:r w:rsidR="00000000">
              <w:rPr>
                <w:sz w:val="19"/>
              </w:rPr>
              <w:t>tate_</w:t>
            </w:r>
            <w:r w:rsidR="00000000" w:rsidRPr="00A25264">
              <w:rPr>
                <w:sz w:val="19"/>
              </w:rPr>
              <w:t>name</w:t>
            </w:r>
          </w:p>
        </w:tc>
        <w:tc>
          <w:tcPr>
            <w:tcW w:w="1928" w:type="dxa"/>
            <w:tcBorders>
              <w:top w:val="single" w:sz="5" w:space="0" w:color="000000"/>
              <w:left w:val="single" w:sz="5" w:space="0" w:color="000000"/>
              <w:bottom w:val="single" w:sz="5" w:space="0" w:color="000000"/>
              <w:right w:val="single" w:sz="5" w:space="0" w:color="000000"/>
            </w:tcBorders>
          </w:tcPr>
          <w:p w14:paraId="7CD0F49A" w14:textId="77777777" w:rsidR="00364081" w:rsidRDefault="00000000">
            <w:pPr>
              <w:spacing w:after="0" w:line="259" w:lineRule="auto"/>
              <w:ind w:left="55" w:firstLine="0"/>
              <w:jc w:val="center"/>
            </w:pPr>
            <w:r>
              <w:rPr>
                <w:sz w:val="19"/>
              </w:rPr>
              <w:t>Categorical</w:t>
            </w:r>
          </w:p>
        </w:tc>
        <w:tc>
          <w:tcPr>
            <w:tcW w:w="5783" w:type="dxa"/>
            <w:tcBorders>
              <w:top w:val="single" w:sz="5" w:space="0" w:color="000000"/>
              <w:left w:val="single" w:sz="5" w:space="0" w:color="000000"/>
              <w:bottom w:val="single" w:sz="5" w:space="0" w:color="000000"/>
              <w:right w:val="single" w:sz="5" w:space="0" w:color="000000"/>
            </w:tcBorders>
          </w:tcPr>
          <w:p w14:paraId="7744B778" w14:textId="77777777" w:rsidR="00364081" w:rsidRDefault="00000000">
            <w:pPr>
              <w:spacing w:after="0" w:line="259" w:lineRule="auto"/>
              <w:ind w:left="0" w:firstLine="0"/>
              <w:jc w:val="left"/>
            </w:pPr>
            <w:r>
              <w:rPr>
                <w:sz w:val="19"/>
              </w:rPr>
              <w:t>Name of the Indian state, or All-India for the national aggregate</w:t>
            </w:r>
          </w:p>
        </w:tc>
      </w:tr>
      <w:tr w:rsidR="00364081" w14:paraId="1405BCB6" w14:textId="77777777">
        <w:trPr>
          <w:trHeight w:val="370"/>
        </w:trPr>
        <w:tc>
          <w:tcPr>
            <w:tcW w:w="2041" w:type="dxa"/>
            <w:tcBorders>
              <w:top w:val="single" w:sz="5" w:space="0" w:color="000000"/>
              <w:left w:val="single" w:sz="5" w:space="0" w:color="000000"/>
              <w:bottom w:val="single" w:sz="5" w:space="0" w:color="000000"/>
              <w:right w:val="single" w:sz="5" w:space="0" w:color="000000"/>
            </w:tcBorders>
          </w:tcPr>
          <w:p w14:paraId="78A33782" w14:textId="7934B38F" w:rsidR="00364081" w:rsidRDefault="00A25264">
            <w:pPr>
              <w:spacing w:after="0" w:line="259" w:lineRule="auto"/>
              <w:ind w:left="55" w:firstLine="0"/>
              <w:jc w:val="center"/>
            </w:pPr>
            <w:r>
              <w:rPr>
                <w:sz w:val="19"/>
              </w:rPr>
              <w:t>S</w:t>
            </w:r>
            <w:r w:rsidR="00000000">
              <w:rPr>
                <w:sz w:val="19"/>
              </w:rPr>
              <w:t>tate_code</w:t>
            </w:r>
          </w:p>
        </w:tc>
        <w:tc>
          <w:tcPr>
            <w:tcW w:w="1928" w:type="dxa"/>
            <w:tcBorders>
              <w:top w:val="single" w:sz="5" w:space="0" w:color="000000"/>
              <w:left w:val="single" w:sz="5" w:space="0" w:color="000000"/>
              <w:bottom w:val="single" w:sz="5" w:space="0" w:color="000000"/>
              <w:right w:val="single" w:sz="5" w:space="0" w:color="000000"/>
            </w:tcBorders>
          </w:tcPr>
          <w:p w14:paraId="2895662C" w14:textId="77777777" w:rsidR="00364081" w:rsidRDefault="00000000">
            <w:pPr>
              <w:spacing w:after="0" w:line="259" w:lineRule="auto"/>
              <w:ind w:left="55" w:firstLine="0"/>
              <w:jc w:val="center"/>
            </w:pPr>
            <w:r>
              <w:rPr>
                <w:sz w:val="19"/>
              </w:rPr>
              <w:t>Numeric (Integer)</w:t>
            </w:r>
          </w:p>
        </w:tc>
        <w:tc>
          <w:tcPr>
            <w:tcW w:w="5783" w:type="dxa"/>
            <w:tcBorders>
              <w:top w:val="single" w:sz="5" w:space="0" w:color="000000"/>
              <w:left w:val="single" w:sz="5" w:space="0" w:color="000000"/>
              <w:bottom w:val="single" w:sz="5" w:space="0" w:color="000000"/>
              <w:right w:val="single" w:sz="5" w:space="0" w:color="000000"/>
            </w:tcBorders>
          </w:tcPr>
          <w:p w14:paraId="067D67DA" w14:textId="77777777" w:rsidR="00364081" w:rsidRDefault="00000000">
            <w:pPr>
              <w:spacing w:after="0" w:line="259" w:lineRule="auto"/>
              <w:ind w:left="0" w:firstLine="0"/>
              <w:jc w:val="left"/>
            </w:pPr>
            <w:r>
              <w:rPr>
                <w:sz w:val="19"/>
              </w:rPr>
              <w:t>Unique code identifying each state</w:t>
            </w:r>
          </w:p>
        </w:tc>
      </w:tr>
      <w:tr w:rsidR="00364081" w14:paraId="789EC26C" w14:textId="77777777">
        <w:trPr>
          <w:trHeight w:val="620"/>
        </w:trPr>
        <w:tc>
          <w:tcPr>
            <w:tcW w:w="2041" w:type="dxa"/>
            <w:tcBorders>
              <w:top w:val="single" w:sz="5" w:space="0" w:color="000000"/>
              <w:left w:val="single" w:sz="5" w:space="0" w:color="000000"/>
              <w:bottom w:val="single" w:sz="5" w:space="0" w:color="000000"/>
              <w:right w:val="single" w:sz="5" w:space="0" w:color="000000"/>
            </w:tcBorders>
            <w:vAlign w:val="center"/>
          </w:tcPr>
          <w:p w14:paraId="3B255388" w14:textId="327BAA66" w:rsidR="00364081" w:rsidRDefault="00A25264">
            <w:pPr>
              <w:spacing w:after="0" w:line="259" w:lineRule="auto"/>
              <w:ind w:left="55" w:firstLine="0"/>
              <w:jc w:val="center"/>
            </w:pPr>
            <w:r>
              <w:rPr>
                <w:sz w:val="19"/>
              </w:rPr>
              <w:t>A</w:t>
            </w:r>
            <w:r w:rsidR="00000000">
              <w:rPr>
                <w:sz w:val="19"/>
              </w:rPr>
              <w:t>ge_group</w:t>
            </w:r>
          </w:p>
        </w:tc>
        <w:tc>
          <w:tcPr>
            <w:tcW w:w="1928" w:type="dxa"/>
            <w:tcBorders>
              <w:top w:val="single" w:sz="5" w:space="0" w:color="000000"/>
              <w:left w:val="single" w:sz="5" w:space="0" w:color="000000"/>
              <w:bottom w:val="single" w:sz="5" w:space="0" w:color="000000"/>
              <w:right w:val="single" w:sz="5" w:space="0" w:color="000000"/>
            </w:tcBorders>
            <w:vAlign w:val="center"/>
          </w:tcPr>
          <w:p w14:paraId="220251D7" w14:textId="77777777" w:rsidR="00364081" w:rsidRDefault="00000000">
            <w:pPr>
              <w:spacing w:after="0" w:line="259" w:lineRule="auto"/>
              <w:ind w:left="55" w:firstLine="0"/>
              <w:jc w:val="center"/>
            </w:pPr>
            <w:r>
              <w:rPr>
                <w:sz w:val="19"/>
              </w:rPr>
              <w:t>Categorical</w:t>
            </w:r>
          </w:p>
        </w:tc>
        <w:tc>
          <w:tcPr>
            <w:tcW w:w="5783" w:type="dxa"/>
            <w:tcBorders>
              <w:top w:val="single" w:sz="5" w:space="0" w:color="000000"/>
              <w:left w:val="single" w:sz="5" w:space="0" w:color="000000"/>
              <w:bottom w:val="single" w:sz="5" w:space="0" w:color="000000"/>
              <w:right w:val="single" w:sz="5" w:space="0" w:color="000000"/>
            </w:tcBorders>
          </w:tcPr>
          <w:p w14:paraId="4E0A58E1" w14:textId="77777777" w:rsidR="00364081" w:rsidRDefault="00000000">
            <w:pPr>
              <w:spacing w:after="12" w:line="259" w:lineRule="auto"/>
              <w:ind w:left="0" w:firstLine="0"/>
              <w:jc w:val="left"/>
            </w:pPr>
            <w:r>
              <w:rPr>
                <w:sz w:val="19"/>
              </w:rPr>
              <w:t>Age group of the surveyed population: 15-29 Years, 15 Years And</w:t>
            </w:r>
          </w:p>
          <w:p w14:paraId="7E009D48" w14:textId="77777777" w:rsidR="00364081" w:rsidRDefault="00000000">
            <w:pPr>
              <w:spacing w:after="0" w:line="259" w:lineRule="auto"/>
              <w:ind w:left="0" w:firstLine="0"/>
              <w:jc w:val="left"/>
            </w:pPr>
            <w:r>
              <w:rPr>
                <w:sz w:val="19"/>
              </w:rPr>
              <w:t>Above, All</w:t>
            </w:r>
          </w:p>
        </w:tc>
      </w:tr>
      <w:tr w:rsidR="00364081" w14:paraId="52205974" w14:textId="77777777">
        <w:trPr>
          <w:trHeight w:val="370"/>
        </w:trPr>
        <w:tc>
          <w:tcPr>
            <w:tcW w:w="2041" w:type="dxa"/>
            <w:tcBorders>
              <w:top w:val="single" w:sz="5" w:space="0" w:color="000000"/>
              <w:left w:val="single" w:sz="5" w:space="0" w:color="000000"/>
              <w:bottom w:val="single" w:sz="5" w:space="0" w:color="000000"/>
              <w:right w:val="single" w:sz="5" w:space="0" w:color="000000"/>
            </w:tcBorders>
          </w:tcPr>
          <w:p w14:paraId="7D959F65" w14:textId="659287EF" w:rsidR="00364081" w:rsidRDefault="00A25264">
            <w:pPr>
              <w:spacing w:after="0" w:line="259" w:lineRule="auto"/>
              <w:ind w:left="55" w:firstLine="0"/>
              <w:jc w:val="center"/>
            </w:pPr>
            <w:r>
              <w:rPr>
                <w:sz w:val="19"/>
              </w:rPr>
              <w:t>G</w:t>
            </w:r>
            <w:r w:rsidR="00000000">
              <w:rPr>
                <w:sz w:val="19"/>
              </w:rPr>
              <w:t>ender</w:t>
            </w:r>
          </w:p>
        </w:tc>
        <w:tc>
          <w:tcPr>
            <w:tcW w:w="1928" w:type="dxa"/>
            <w:tcBorders>
              <w:top w:val="single" w:sz="5" w:space="0" w:color="000000"/>
              <w:left w:val="single" w:sz="5" w:space="0" w:color="000000"/>
              <w:bottom w:val="single" w:sz="5" w:space="0" w:color="000000"/>
              <w:right w:val="single" w:sz="5" w:space="0" w:color="000000"/>
            </w:tcBorders>
          </w:tcPr>
          <w:p w14:paraId="7010D0C3" w14:textId="77777777" w:rsidR="00364081" w:rsidRDefault="00000000">
            <w:pPr>
              <w:spacing w:after="0" w:line="259" w:lineRule="auto"/>
              <w:ind w:left="55" w:firstLine="0"/>
              <w:jc w:val="center"/>
            </w:pPr>
            <w:r>
              <w:rPr>
                <w:sz w:val="19"/>
              </w:rPr>
              <w:t>Categorical</w:t>
            </w:r>
          </w:p>
        </w:tc>
        <w:tc>
          <w:tcPr>
            <w:tcW w:w="5783" w:type="dxa"/>
            <w:tcBorders>
              <w:top w:val="single" w:sz="5" w:space="0" w:color="000000"/>
              <w:left w:val="single" w:sz="5" w:space="0" w:color="000000"/>
              <w:bottom w:val="single" w:sz="5" w:space="0" w:color="000000"/>
              <w:right w:val="single" w:sz="5" w:space="0" w:color="000000"/>
            </w:tcBorders>
          </w:tcPr>
          <w:p w14:paraId="5025B868" w14:textId="77777777" w:rsidR="00364081" w:rsidRDefault="00000000">
            <w:pPr>
              <w:spacing w:after="0" w:line="259" w:lineRule="auto"/>
              <w:ind w:left="0" w:firstLine="0"/>
              <w:jc w:val="left"/>
            </w:pPr>
            <w:r>
              <w:rPr>
                <w:sz w:val="19"/>
              </w:rPr>
              <w:t>Gender category: Male, Female, Person (combined)</w:t>
            </w:r>
          </w:p>
        </w:tc>
      </w:tr>
      <w:tr w:rsidR="00364081" w14:paraId="7E67FA53" w14:textId="77777777">
        <w:trPr>
          <w:trHeight w:val="370"/>
        </w:trPr>
        <w:tc>
          <w:tcPr>
            <w:tcW w:w="2041" w:type="dxa"/>
            <w:tcBorders>
              <w:top w:val="single" w:sz="5" w:space="0" w:color="000000"/>
              <w:left w:val="single" w:sz="5" w:space="0" w:color="000000"/>
              <w:bottom w:val="single" w:sz="5" w:space="0" w:color="000000"/>
              <w:right w:val="single" w:sz="5" w:space="0" w:color="000000"/>
            </w:tcBorders>
          </w:tcPr>
          <w:p w14:paraId="3E1491A8" w14:textId="77777777" w:rsidR="00364081" w:rsidRDefault="00000000">
            <w:pPr>
              <w:spacing w:after="0" w:line="259" w:lineRule="auto"/>
              <w:ind w:left="55" w:firstLine="0"/>
              <w:jc w:val="center"/>
            </w:pPr>
            <w:r>
              <w:rPr>
                <w:sz w:val="19"/>
              </w:rPr>
              <w:t>LFPR</w:t>
            </w:r>
          </w:p>
        </w:tc>
        <w:tc>
          <w:tcPr>
            <w:tcW w:w="1928" w:type="dxa"/>
            <w:tcBorders>
              <w:top w:val="single" w:sz="5" w:space="0" w:color="000000"/>
              <w:left w:val="single" w:sz="5" w:space="0" w:color="000000"/>
              <w:bottom w:val="single" w:sz="5" w:space="0" w:color="000000"/>
              <w:right w:val="single" w:sz="5" w:space="0" w:color="000000"/>
            </w:tcBorders>
          </w:tcPr>
          <w:p w14:paraId="36249DB1" w14:textId="77777777" w:rsidR="00364081" w:rsidRDefault="00000000">
            <w:pPr>
              <w:spacing w:after="0" w:line="259" w:lineRule="auto"/>
              <w:ind w:left="55" w:firstLine="0"/>
              <w:jc w:val="center"/>
            </w:pPr>
            <w:r>
              <w:rPr>
                <w:sz w:val="19"/>
              </w:rPr>
              <w:t>Numeric (Float)</w:t>
            </w:r>
          </w:p>
        </w:tc>
        <w:tc>
          <w:tcPr>
            <w:tcW w:w="5783" w:type="dxa"/>
            <w:tcBorders>
              <w:top w:val="single" w:sz="5" w:space="0" w:color="000000"/>
              <w:left w:val="single" w:sz="5" w:space="0" w:color="000000"/>
              <w:bottom w:val="single" w:sz="5" w:space="0" w:color="000000"/>
              <w:right w:val="single" w:sz="5" w:space="0" w:color="000000"/>
            </w:tcBorders>
          </w:tcPr>
          <w:p w14:paraId="35C269F7" w14:textId="77777777" w:rsidR="00364081" w:rsidRDefault="00000000">
            <w:pPr>
              <w:spacing w:after="0" w:line="259" w:lineRule="auto"/>
              <w:ind w:left="0" w:firstLine="0"/>
              <w:jc w:val="left"/>
            </w:pPr>
            <w:r>
              <w:rPr>
                <w:sz w:val="19"/>
              </w:rPr>
              <w:t>Labour Force Participation Rate (%)</w:t>
            </w:r>
          </w:p>
        </w:tc>
      </w:tr>
      <w:tr w:rsidR="00364081" w14:paraId="1E6D7B2D" w14:textId="77777777">
        <w:trPr>
          <w:trHeight w:val="370"/>
        </w:trPr>
        <w:tc>
          <w:tcPr>
            <w:tcW w:w="2041" w:type="dxa"/>
            <w:tcBorders>
              <w:top w:val="single" w:sz="5" w:space="0" w:color="000000"/>
              <w:left w:val="single" w:sz="5" w:space="0" w:color="000000"/>
              <w:bottom w:val="single" w:sz="5" w:space="0" w:color="000000"/>
              <w:right w:val="single" w:sz="5" w:space="0" w:color="000000"/>
            </w:tcBorders>
          </w:tcPr>
          <w:p w14:paraId="75FB3AEF" w14:textId="77777777" w:rsidR="00364081" w:rsidRDefault="00000000">
            <w:pPr>
              <w:spacing w:after="0" w:line="259" w:lineRule="auto"/>
              <w:ind w:left="55" w:firstLine="0"/>
              <w:jc w:val="center"/>
            </w:pPr>
            <w:r>
              <w:rPr>
                <w:sz w:val="19"/>
              </w:rPr>
              <w:t>UR</w:t>
            </w:r>
          </w:p>
        </w:tc>
        <w:tc>
          <w:tcPr>
            <w:tcW w:w="1928" w:type="dxa"/>
            <w:tcBorders>
              <w:top w:val="single" w:sz="5" w:space="0" w:color="000000"/>
              <w:left w:val="single" w:sz="5" w:space="0" w:color="000000"/>
              <w:bottom w:val="single" w:sz="5" w:space="0" w:color="000000"/>
              <w:right w:val="single" w:sz="5" w:space="0" w:color="000000"/>
            </w:tcBorders>
          </w:tcPr>
          <w:p w14:paraId="4210DB89" w14:textId="77777777" w:rsidR="00364081" w:rsidRDefault="00000000">
            <w:pPr>
              <w:spacing w:after="0" w:line="259" w:lineRule="auto"/>
              <w:ind w:left="55" w:firstLine="0"/>
              <w:jc w:val="center"/>
            </w:pPr>
            <w:r>
              <w:rPr>
                <w:sz w:val="19"/>
              </w:rPr>
              <w:t>Numeric (Float)</w:t>
            </w:r>
          </w:p>
        </w:tc>
        <w:tc>
          <w:tcPr>
            <w:tcW w:w="5783" w:type="dxa"/>
            <w:tcBorders>
              <w:top w:val="single" w:sz="5" w:space="0" w:color="000000"/>
              <w:left w:val="single" w:sz="5" w:space="0" w:color="000000"/>
              <w:bottom w:val="single" w:sz="5" w:space="0" w:color="000000"/>
              <w:right w:val="single" w:sz="5" w:space="0" w:color="000000"/>
            </w:tcBorders>
          </w:tcPr>
          <w:p w14:paraId="1BC2E23A" w14:textId="77777777" w:rsidR="00364081" w:rsidRDefault="00000000">
            <w:pPr>
              <w:spacing w:after="0" w:line="259" w:lineRule="auto"/>
              <w:ind w:left="0" w:firstLine="0"/>
              <w:jc w:val="left"/>
            </w:pPr>
            <w:r>
              <w:rPr>
                <w:sz w:val="19"/>
              </w:rPr>
              <w:t>Unemployment Rate (%)</w:t>
            </w:r>
          </w:p>
        </w:tc>
      </w:tr>
      <w:tr w:rsidR="00364081" w14:paraId="12DD1765" w14:textId="77777777">
        <w:trPr>
          <w:trHeight w:val="370"/>
        </w:trPr>
        <w:tc>
          <w:tcPr>
            <w:tcW w:w="2041" w:type="dxa"/>
            <w:tcBorders>
              <w:top w:val="single" w:sz="5" w:space="0" w:color="000000"/>
              <w:left w:val="single" w:sz="5" w:space="0" w:color="000000"/>
              <w:bottom w:val="single" w:sz="5" w:space="0" w:color="000000"/>
              <w:right w:val="single" w:sz="5" w:space="0" w:color="000000"/>
            </w:tcBorders>
          </w:tcPr>
          <w:p w14:paraId="691B3859" w14:textId="77777777" w:rsidR="00364081" w:rsidRDefault="00000000">
            <w:pPr>
              <w:spacing w:after="0" w:line="259" w:lineRule="auto"/>
              <w:ind w:left="55" w:firstLine="0"/>
              <w:jc w:val="center"/>
            </w:pPr>
            <w:r>
              <w:rPr>
                <w:sz w:val="19"/>
              </w:rPr>
              <w:t>WPR</w:t>
            </w:r>
          </w:p>
        </w:tc>
        <w:tc>
          <w:tcPr>
            <w:tcW w:w="1928" w:type="dxa"/>
            <w:tcBorders>
              <w:top w:val="single" w:sz="5" w:space="0" w:color="000000"/>
              <w:left w:val="single" w:sz="5" w:space="0" w:color="000000"/>
              <w:bottom w:val="single" w:sz="5" w:space="0" w:color="000000"/>
              <w:right w:val="single" w:sz="5" w:space="0" w:color="000000"/>
            </w:tcBorders>
          </w:tcPr>
          <w:p w14:paraId="544DA7B7" w14:textId="77777777" w:rsidR="00364081" w:rsidRDefault="00000000">
            <w:pPr>
              <w:spacing w:after="0" w:line="259" w:lineRule="auto"/>
              <w:ind w:left="55" w:firstLine="0"/>
              <w:jc w:val="center"/>
            </w:pPr>
            <w:r>
              <w:rPr>
                <w:sz w:val="19"/>
              </w:rPr>
              <w:t>Numeric (Float)</w:t>
            </w:r>
          </w:p>
        </w:tc>
        <w:tc>
          <w:tcPr>
            <w:tcW w:w="5783" w:type="dxa"/>
            <w:tcBorders>
              <w:top w:val="single" w:sz="5" w:space="0" w:color="000000"/>
              <w:left w:val="single" w:sz="5" w:space="0" w:color="000000"/>
              <w:bottom w:val="single" w:sz="5" w:space="0" w:color="000000"/>
              <w:right w:val="single" w:sz="5" w:space="0" w:color="000000"/>
            </w:tcBorders>
          </w:tcPr>
          <w:p w14:paraId="4227FB36" w14:textId="77777777" w:rsidR="00364081" w:rsidRDefault="00000000">
            <w:pPr>
              <w:spacing w:after="0" w:line="259" w:lineRule="auto"/>
              <w:ind w:left="0" w:firstLine="0"/>
              <w:jc w:val="left"/>
            </w:pPr>
            <w:r>
              <w:rPr>
                <w:sz w:val="19"/>
              </w:rPr>
              <w:t>Worker Population Ratio (%)</w:t>
            </w:r>
          </w:p>
        </w:tc>
      </w:tr>
      <w:tr w:rsidR="00364081" w14:paraId="1E051592" w14:textId="77777777">
        <w:trPr>
          <w:trHeight w:val="370"/>
        </w:trPr>
        <w:tc>
          <w:tcPr>
            <w:tcW w:w="2041" w:type="dxa"/>
            <w:tcBorders>
              <w:top w:val="single" w:sz="5" w:space="0" w:color="000000"/>
              <w:left w:val="single" w:sz="5" w:space="0" w:color="000000"/>
              <w:bottom w:val="single" w:sz="5" w:space="0" w:color="000000"/>
              <w:right w:val="single" w:sz="5" w:space="0" w:color="000000"/>
            </w:tcBorders>
          </w:tcPr>
          <w:p w14:paraId="46D729D3" w14:textId="5CBE414E" w:rsidR="00364081" w:rsidRDefault="00A25264">
            <w:pPr>
              <w:spacing w:after="0" w:line="259" w:lineRule="auto"/>
              <w:ind w:left="55" w:firstLine="0"/>
              <w:jc w:val="center"/>
            </w:pPr>
            <w:r>
              <w:rPr>
                <w:sz w:val="19"/>
              </w:rPr>
              <w:t>A</w:t>
            </w:r>
            <w:r w:rsidR="00000000">
              <w:rPr>
                <w:sz w:val="19"/>
              </w:rPr>
              <w:t>griculture_sector</w:t>
            </w:r>
          </w:p>
        </w:tc>
        <w:tc>
          <w:tcPr>
            <w:tcW w:w="1928" w:type="dxa"/>
            <w:tcBorders>
              <w:top w:val="single" w:sz="5" w:space="0" w:color="000000"/>
              <w:left w:val="single" w:sz="5" w:space="0" w:color="000000"/>
              <w:bottom w:val="single" w:sz="5" w:space="0" w:color="000000"/>
              <w:right w:val="single" w:sz="5" w:space="0" w:color="000000"/>
            </w:tcBorders>
          </w:tcPr>
          <w:p w14:paraId="476C5CF7" w14:textId="77777777" w:rsidR="00364081" w:rsidRDefault="00000000">
            <w:pPr>
              <w:spacing w:after="0" w:line="259" w:lineRule="auto"/>
              <w:ind w:left="55" w:firstLine="0"/>
              <w:jc w:val="center"/>
            </w:pPr>
            <w:r>
              <w:rPr>
                <w:sz w:val="19"/>
              </w:rPr>
              <w:t>Numeric (Float)</w:t>
            </w:r>
          </w:p>
        </w:tc>
        <w:tc>
          <w:tcPr>
            <w:tcW w:w="5783" w:type="dxa"/>
            <w:tcBorders>
              <w:top w:val="single" w:sz="5" w:space="0" w:color="000000"/>
              <w:left w:val="single" w:sz="5" w:space="0" w:color="000000"/>
              <w:bottom w:val="single" w:sz="5" w:space="0" w:color="000000"/>
              <w:right w:val="single" w:sz="5" w:space="0" w:color="000000"/>
            </w:tcBorders>
          </w:tcPr>
          <w:p w14:paraId="23375D5A" w14:textId="77777777" w:rsidR="00364081" w:rsidRDefault="00000000">
            <w:pPr>
              <w:spacing w:after="0" w:line="259" w:lineRule="auto"/>
              <w:ind w:left="0" w:firstLine="0"/>
              <w:jc w:val="left"/>
            </w:pPr>
            <w:r>
              <w:rPr>
                <w:sz w:val="19"/>
              </w:rPr>
              <w:t>Share of employment in the agriculture sector (%)</w:t>
            </w:r>
          </w:p>
        </w:tc>
      </w:tr>
      <w:tr w:rsidR="00364081" w14:paraId="4E434878" w14:textId="77777777">
        <w:trPr>
          <w:trHeight w:val="370"/>
        </w:trPr>
        <w:tc>
          <w:tcPr>
            <w:tcW w:w="2041" w:type="dxa"/>
            <w:tcBorders>
              <w:top w:val="single" w:sz="5" w:space="0" w:color="000000"/>
              <w:left w:val="single" w:sz="5" w:space="0" w:color="000000"/>
              <w:bottom w:val="single" w:sz="5" w:space="0" w:color="000000"/>
              <w:right w:val="single" w:sz="5" w:space="0" w:color="000000"/>
            </w:tcBorders>
          </w:tcPr>
          <w:p w14:paraId="44194DA4" w14:textId="6227895B" w:rsidR="00364081" w:rsidRDefault="00A25264">
            <w:pPr>
              <w:spacing w:after="0" w:line="259" w:lineRule="auto"/>
              <w:ind w:left="55" w:firstLine="0"/>
              <w:jc w:val="center"/>
            </w:pPr>
            <w:r>
              <w:rPr>
                <w:sz w:val="19"/>
              </w:rPr>
              <w:t>S</w:t>
            </w:r>
            <w:r w:rsidR="00000000">
              <w:rPr>
                <w:sz w:val="19"/>
              </w:rPr>
              <w:t>econdary_sector</w:t>
            </w:r>
          </w:p>
        </w:tc>
        <w:tc>
          <w:tcPr>
            <w:tcW w:w="1928" w:type="dxa"/>
            <w:tcBorders>
              <w:top w:val="single" w:sz="5" w:space="0" w:color="000000"/>
              <w:left w:val="single" w:sz="5" w:space="0" w:color="000000"/>
              <w:bottom w:val="single" w:sz="5" w:space="0" w:color="000000"/>
              <w:right w:val="single" w:sz="5" w:space="0" w:color="000000"/>
            </w:tcBorders>
          </w:tcPr>
          <w:p w14:paraId="19C470FC" w14:textId="77777777" w:rsidR="00364081" w:rsidRDefault="00000000">
            <w:pPr>
              <w:spacing w:after="0" w:line="259" w:lineRule="auto"/>
              <w:ind w:left="55" w:firstLine="0"/>
              <w:jc w:val="center"/>
            </w:pPr>
            <w:r>
              <w:rPr>
                <w:sz w:val="19"/>
              </w:rPr>
              <w:t>Numeric (Float)</w:t>
            </w:r>
          </w:p>
        </w:tc>
        <w:tc>
          <w:tcPr>
            <w:tcW w:w="5783" w:type="dxa"/>
            <w:tcBorders>
              <w:top w:val="single" w:sz="5" w:space="0" w:color="000000"/>
              <w:left w:val="single" w:sz="5" w:space="0" w:color="000000"/>
              <w:bottom w:val="single" w:sz="5" w:space="0" w:color="000000"/>
              <w:right w:val="single" w:sz="5" w:space="0" w:color="000000"/>
            </w:tcBorders>
          </w:tcPr>
          <w:p w14:paraId="202F364F" w14:textId="77777777" w:rsidR="00364081" w:rsidRDefault="00000000">
            <w:pPr>
              <w:spacing w:after="0" w:line="259" w:lineRule="auto"/>
              <w:ind w:left="0" w:firstLine="0"/>
              <w:jc w:val="left"/>
            </w:pPr>
            <w:r>
              <w:rPr>
                <w:sz w:val="19"/>
              </w:rPr>
              <w:t>Share of employment in the secondary / industrial sector (%)</w:t>
            </w:r>
          </w:p>
        </w:tc>
      </w:tr>
      <w:tr w:rsidR="00364081" w14:paraId="073CCE7A" w14:textId="77777777">
        <w:trPr>
          <w:trHeight w:val="370"/>
        </w:trPr>
        <w:tc>
          <w:tcPr>
            <w:tcW w:w="2041" w:type="dxa"/>
            <w:tcBorders>
              <w:top w:val="single" w:sz="5" w:space="0" w:color="000000"/>
              <w:left w:val="single" w:sz="5" w:space="0" w:color="000000"/>
              <w:bottom w:val="single" w:sz="5" w:space="0" w:color="000000"/>
              <w:right w:val="single" w:sz="5" w:space="0" w:color="000000"/>
            </w:tcBorders>
          </w:tcPr>
          <w:p w14:paraId="06400049" w14:textId="5EA47557" w:rsidR="00364081" w:rsidRDefault="00A25264">
            <w:pPr>
              <w:spacing w:after="0" w:line="259" w:lineRule="auto"/>
              <w:ind w:left="55" w:firstLine="0"/>
              <w:jc w:val="center"/>
            </w:pPr>
            <w:r>
              <w:rPr>
                <w:sz w:val="19"/>
              </w:rPr>
              <w:t>T</w:t>
            </w:r>
            <w:r w:rsidR="00000000">
              <w:rPr>
                <w:sz w:val="19"/>
              </w:rPr>
              <w:t>ertiary_sector</w:t>
            </w:r>
          </w:p>
        </w:tc>
        <w:tc>
          <w:tcPr>
            <w:tcW w:w="1928" w:type="dxa"/>
            <w:tcBorders>
              <w:top w:val="single" w:sz="5" w:space="0" w:color="000000"/>
              <w:left w:val="single" w:sz="5" w:space="0" w:color="000000"/>
              <w:bottom w:val="single" w:sz="5" w:space="0" w:color="000000"/>
              <w:right w:val="single" w:sz="5" w:space="0" w:color="000000"/>
            </w:tcBorders>
          </w:tcPr>
          <w:p w14:paraId="60579814" w14:textId="77777777" w:rsidR="00364081" w:rsidRDefault="00000000">
            <w:pPr>
              <w:spacing w:after="0" w:line="259" w:lineRule="auto"/>
              <w:ind w:left="55" w:firstLine="0"/>
              <w:jc w:val="center"/>
            </w:pPr>
            <w:r>
              <w:rPr>
                <w:sz w:val="19"/>
              </w:rPr>
              <w:t>Numeric (Float)</w:t>
            </w:r>
          </w:p>
        </w:tc>
        <w:tc>
          <w:tcPr>
            <w:tcW w:w="5783" w:type="dxa"/>
            <w:tcBorders>
              <w:top w:val="single" w:sz="5" w:space="0" w:color="000000"/>
              <w:left w:val="single" w:sz="5" w:space="0" w:color="000000"/>
              <w:bottom w:val="single" w:sz="5" w:space="0" w:color="000000"/>
              <w:right w:val="single" w:sz="5" w:space="0" w:color="000000"/>
            </w:tcBorders>
          </w:tcPr>
          <w:p w14:paraId="1B7233E0" w14:textId="77777777" w:rsidR="00364081" w:rsidRDefault="00000000">
            <w:pPr>
              <w:spacing w:after="0" w:line="259" w:lineRule="auto"/>
              <w:ind w:left="0" w:firstLine="0"/>
              <w:jc w:val="left"/>
            </w:pPr>
            <w:r>
              <w:rPr>
                <w:sz w:val="19"/>
              </w:rPr>
              <w:t>Share of employment in the tertiary / services sector (%)</w:t>
            </w:r>
          </w:p>
        </w:tc>
      </w:tr>
      <w:tr w:rsidR="00364081" w14:paraId="3F38E397" w14:textId="77777777">
        <w:trPr>
          <w:trHeight w:val="370"/>
        </w:trPr>
        <w:tc>
          <w:tcPr>
            <w:tcW w:w="2041" w:type="dxa"/>
            <w:tcBorders>
              <w:top w:val="single" w:sz="5" w:space="0" w:color="000000"/>
              <w:left w:val="single" w:sz="5" w:space="0" w:color="000000"/>
              <w:bottom w:val="single" w:sz="5" w:space="0" w:color="000000"/>
              <w:right w:val="single" w:sz="5" w:space="0" w:color="000000"/>
            </w:tcBorders>
          </w:tcPr>
          <w:p w14:paraId="42C9D757" w14:textId="77777777" w:rsidR="00364081" w:rsidRDefault="00000000">
            <w:pPr>
              <w:spacing w:after="0" w:line="259" w:lineRule="auto"/>
              <w:ind w:left="55" w:firstLine="0"/>
              <w:jc w:val="center"/>
            </w:pPr>
            <w:r>
              <w:rPr>
                <w:sz w:val="19"/>
              </w:rPr>
              <w:t>UR_log</w:t>
            </w:r>
          </w:p>
        </w:tc>
        <w:tc>
          <w:tcPr>
            <w:tcW w:w="1928" w:type="dxa"/>
            <w:tcBorders>
              <w:top w:val="single" w:sz="5" w:space="0" w:color="000000"/>
              <w:left w:val="single" w:sz="5" w:space="0" w:color="000000"/>
              <w:bottom w:val="single" w:sz="5" w:space="0" w:color="000000"/>
              <w:right w:val="single" w:sz="5" w:space="0" w:color="000000"/>
            </w:tcBorders>
          </w:tcPr>
          <w:p w14:paraId="54570736" w14:textId="77777777" w:rsidR="00364081" w:rsidRDefault="00000000">
            <w:pPr>
              <w:spacing w:after="0" w:line="259" w:lineRule="auto"/>
              <w:ind w:left="55" w:firstLine="0"/>
              <w:jc w:val="center"/>
            </w:pPr>
            <w:r>
              <w:rPr>
                <w:sz w:val="19"/>
              </w:rPr>
              <w:t>Numeric (Float)</w:t>
            </w:r>
          </w:p>
        </w:tc>
        <w:tc>
          <w:tcPr>
            <w:tcW w:w="5783" w:type="dxa"/>
            <w:tcBorders>
              <w:top w:val="single" w:sz="5" w:space="0" w:color="000000"/>
              <w:left w:val="single" w:sz="5" w:space="0" w:color="000000"/>
              <w:bottom w:val="single" w:sz="5" w:space="0" w:color="000000"/>
              <w:right w:val="single" w:sz="5" w:space="0" w:color="000000"/>
            </w:tcBorders>
          </w:tcPr>
          <w:p w14:paraId="29BC7DF5" w14:textId="77777777" w:rsidR="00364081" w:rsidRDefault="00000000">
            <w:pPr>
              <w:spacing w:after="0" w:line="259" w:lineRule="auto"/>
              <w:ind w:left="0" w:firstLine="0"/>
              <w:jc w:val="left"/>
            </w:pPr>
            <w:r>
              <w:rPr>
                <w:sz w:val="19"/>
              </w:rPr>
              <w:t>Derived: log transformation of UR, created to reduce right skew</w:t>
            </w:r>
          </w:p>
        </w:tc>
      </w:tr>
      <w:tr w:rsidR="00364081" w14:paraId="60C45373" w14:textId="77777777">
        <w:trPr>
          <w:trHeight w:val="620"/>
        </w:trPr>
        <w:tc>
          <w:tcPr>
            <w:tcW w:w="2041" w:type="dxa"/>
            <w:tcBorders>
              <w:top w:val="single" w:sz="5" w:space="0" w:color="000000"/>
              <w:left w:val="single" w:sz="5" w:space="0" w:color="000000"/>
              <w:bottom w:val="single" w:sz="5" w:space="0" w:color="000000"/>
              <w:right w:val="single" w:sz="5" w:space="0" w:color="000000"/>
            </w:tcBorders>
            <w:vAlign w:val="center"/>
          </w:tcPr>
          <w:p w14:paraId="047FEB8E" w14:textId="51EBA1BD" w:rsidR="00364081" w:rsidRDefault="00A25264">
            <w:pPr>
              <w:spacing w:after="0" w:line="259" w:lineRule="auto"/>
              <w:ind w:left="55" w:firstLine="0"/>
              <w:jc w:val="center"/>
            </w:pPr>
            <w:r>
              <w:rPr>
                <w:sz w:val="19"/>
              </w:rPr>
              <w:t>A</w:t>
            </w:r>
            <w:r w:rsidR="00000000">
              <w:rPr>
                <w:sz w:val="19"/>
              </w:rPr>
              <w:t>gri_log</w:t>
            </w:r>
          </w:p>
        </w:tc>
        <w:tc>
          <w:tcPr>
            <w:tcW w:w="1928" w:type="dxa"/>
            <w:tcBorders>
              <w:top w:val="single" w:sz="5" w:space="0" w:color="000000"/>
              <w:left w:val="single" w:sz="5" w:space="0" w:color="000000"/>
              <w:bottom w:val="single" w:sz="5" w:space="0" w:color="000000"/>
              <w:right w:val="single" w:sz="5" w:space="0" w:color="000000"/>
            </w:tcBorders>
            <w:vAlign w:val="center"/>
          </w:tcPr>
          <w:p w14:paraId="3A7C55F1" w14:textId="77777777" w:rsidR="00364081" w:rsidRDefault="00000000">
            <w:pPr>
              <w:spacing w:after="0" w:line="259" w:lineRule="auto"/>
              <w:ind w:left="55" w:firstLine="0"/>
              <w:jc w:val="center"/>
            </w:pPr>
            <w:r>
              <w:rPr>
                <w:sz w:val="19"/>
              </w:rPr>
              <w:t>Numeric (Float)</w:t>
            </w:r>
          </w:p>
        </w:tc>
        <w:tc>
          <w:tcPr>
            <w:tcW w:w="5783" w:type="dxa"/>
            <w:tcBorders>
              <w:top w:val="single" w:sz="5" w:space="0" w:color="000000"/>
              <w:left w:val="single" w:sz="5" w:space="0" w:color="000000"/>
              <w:bottom w:val="single" w:sz="5" w:space="0" w:color="000000"/>
              <w:right w:val="single" w:sz="5" w:space="0" w:color="000000"/>
            </w:tcBorders>
          </w:tcPr>
          <w:p w14:paraId="4EF9D099" w14:textId="77777777" w:rsidR="00364081" w:rsidRDefault="00000000">
            <w:pPr>
              <w:spacing w:after="0" w:line="259" w:lineRule="auto"/>
              <w:ind w:left="0" w:firstLine="0"/>
            </w:pPr>
            <w:r>
              <w:rPr>
                <w:sz w:val="19"/>
              </w:rPr>
              <w:t>Derived: log transformation of agriculture share, created to reduce right skew</w:t>
            </w:r>
          </w:p>
        </w:tc>
      </w:tr>
      <w:tr w:rsidR="00364081" w14:paraId="03FF8B51" w14:textId="77777777">
        <w:trPr>
          <w:trHeight w:val="370"/>
        </w:trPr>
        <w:tc>
          <w:tcPr>
            <w:tcW w:w="2041" w:type="dxa"/>
            <w:tcBorders>
              <w:top w:val="single" w:sz="5" w:space="0" w:color="000000"/>
              <w:left w:val="single" w:sz="5" w:space="0" w:color="000000"/>
              <w:bottom w:val="single" w:sz="5" w:space="0" w:color="000000"/>
              <w:right w:val="single" w:sz="5" w:space="0" w:color="000000"/>
            </w:tcBorders>
          </w:tcPr>
          <w:p w14:paraId="66C242C2" w14:textId="7C19A991" w:rsidR="00364081" w:rsidRDefault="00A25264">
            <w:pPr>
              <w:spacing w:after="0" w:line="259" w:lineRule="auto"/>
              <w:ind w:left="55" w:firstLine="0"/>
              <w:jc w:val="center"/>
            </w:pPr>
            <w:r>
              <w:rPr>
                <w:sz w:val="19"/>
              </w:rPr>
              <w:t>Q</w:t>
            </w:r>
            <w:r w:rsidR="00000000">
              <w:rPr>
                <w:sz w:val="19"/>
              </w:rPr>
              <w:t>uarter_no</w:t>
            </w:r>
          </w:p>
        </w:tc>
        <w:tc>
          <w:tcPr>
            <w:tcW w:w="1928" w:type="dxa"/>
            <w:tcBorders>
              <w:top w:val="single" w:sz="5" w:space="0" w:color="000000"/>
              <w:left w:val="single" w:sz="5" w:space="0" w:color="000000"/>
              <w:bottom w:val="single" w:sz="5" w:space="0" w:color="000000"/>
              <w:right w:val="single" w:sz="5" w:space="0" w:color="000000"/>
            </w:tcBorders>
          </w:tcPr>
          <w:p w14:paraId="45880077" w14:textId="77777777" w:rsidR="00364081" w:rsidRDefault="00000000">
            <w:pPr>
              <w:spacing w:after="0" w:line="259" w:lineRule="auto"/>
              <w:ind w:left="55" w:firstLine="0"/>
              <w:jc w:val="center"/>
            </w:pPr>
            <w:r>
              <w:rPr>
                <w:sz w:val="19"/>
              </w:rPr>
              <w:t>Numeric (Integer)</w:t>
            </w:r>
          </w:p>
        </w:tc>
        <w:tc>
          <w:tcPr>
            <w:tcW w:w="5783" w:type="dxa"/>
            <w:tcBorders>
              <w:top w:val="single" w:sz="5" w:space="0" w:color="000000"/>
              <w:left w:val="single" w:sz="5" w:space="0" w:color="000000"/>
              <w:bottom w:val="single" w:sz="5" w:space="0" w:color="000000"/>
              <w:right w:val="single" w:sz="5" w:space="0" w:color="000000"/>
            </w:tcBorders>
          </w:tcPr>
          <w:p w14:paraId="0D86B5F7" w14:textId="77777777" w:rsidR="00364081" w:rsidRDefault="00000000">
            <w:pPr>
              <w:spacing w:after="0" w:line="259" w:lineRule="auto"/>
              <w:ind w:left="0" w:firstLine="0"/>
              <w:jc w:val="left"/>
            </w:pPr>
            <w:r>
              <w:rPr>
                <w:sz w:val="19"/>
              </w:rPr>
              <w:t>Derived: quarter converted to a number (1–4)</w:t>
            </w:r>
          </w:p>
        </w:tc>
      </w:tr>
      <w:tr w:rsidR="00364081" w14:paraId="60994C0F" w14:textId="77777777">
        <w:trPr>
          <w:trHeight w:val="370"/>
        </w:trPr>
        <w:tc>
          <w:tcPr>
            <w:tcW w:w="2041" w:type="dxa"/>
            <w:tcBorders>
              <w:top w:val="single" w:sz="5" w:space="0" w:color="000000"/>
              <w:left w:val="single" w:sz="5" w:space="0" w:color="000000"/>
              <w:bottom w:val="single" w:sz="5" w:space="0" w:color="000000"/>
              <w:right w:val="single" w:sz="5" w:space="0" w:color="000000"/>
            </w:tcBorders>
          </w:tcPr>
          <w:p w14:paraId="7D9059F2" w14:textId="1541E449" w:rsidR="00364081" w:rsidRDefault="00A25264">
            <w:pPr>
              <w:spacing w:after="0" w:line="259" w:lineRule="auto"/>
              <w:ind w:left="55" w:firstLine="0"/>
              <w:jc w:val="center"/>
            </w:pPr>
            <w:r>
              <w:rPr>
                <w:sz w:val="19"/>
              </w:rPr>
              <w:t>P</w:t>
            </w:r>
            <w:r w:rsidR="00000000">
              <w:rPr>
                <w:sz w:val="19"/>
              </w:rPr>
              <w:t>eriod</w:t>
            </w:r>
          </w:p>
        </w:tc>
        <w:tc>
          <w:tcPr>
            <w:tcW w:w="1928" w:type="dxa"/>
            <w:tcBorders>
              <w:top w:val="single" w:sz="5" w:space="0" w:color="000000"/>
              <w:left w:val="single" w:sz="5" w:space="0" w:color="000000"/>
              <w:bottom w:val="single" w:sz="5" w:space="0" w:color="000000"/>
              <w:right w:val="single" w:sz="5" w:space="0" w:color="000000"/>
            </w:tcBorders>
          </w:tcPr>
          <w:p w14:paraId="25D7899C" w14:textId="77777777" w:rsidR="00364081" w:rsidRDefault="00000000">
            <w:pPr>
              <w:spacing w:after="0" w:line="259" w:lineRule="auto"/>
              <w:ind w:left="55" w:firstLine="0"/>
              <w:jc w:val="center"/>
            </w:pPr>
            <w:r>
              <w:rPr>
                <w:sz w:val="19"/>
              </w:rPr>
              <w:t>String (Text)</w:t>
            </w:r>
          </w:p>
        </w:tc>
        <w:tc>
          <w:tcPr>
            <w:tcW w:w="5783" w:type="dxa"/>
            <w:tcBorders>
              <w:top w:val="single" w:sz="5" w:space="0" w:color="000000"/>
              <w:left w:val="single" w:sz="5" w:space="0" w:color="000000"/>
              <w:bottom w:val="single" w:sz="5" w:space="0" w:color="000000"/>
              <w:right w:val="single" w:sz="5" w:space="0" w:color="000000"/>
            </w:tcBorders>
          </w:tcPr>
          <w:p w14:paraId="58C6E057" w14:textId="77777777" w:rsidR="00364081" w:rsidRDefault="00000000">
            <w:pPr>
              <w:spacing w:after="0" w:line="259" w:lineRule="auto"/>
              <w:ind w:left="0" w:firstLine="0"/>
              <w:jc w:val="left"/>
            </w:pPr>
            <w:r>
              <w:rPr>
                <w:sz w:val="19"/>
              </w:rPr>
              <w:t>Derived: year and quarter label, for example 2019 Q2</w:t>
            </w:r>
          </w:p>
        </w:tc>
      </w:tr>
      <w:tr w:rsidR="00364081" w14:paraId="28332BC9" w14:textId="77777777">
        <w:trPr>
          <w:trHeight w:val="620"/>
        </w:trPr>
        <w:tc>
          <w:tcPr>
            <w:tcW w:w="2041" w:type="dxa"/>
            <w:tcBorders>
              <w:top w:val="single" w:sz="5" w:space="0" w:color="000000"/>
              <w:left w:val="single" w:sz="5" w:space="0" w:color="000000"/>
              <w:bottom w:val="single" w:sz="5" w:space="0" w:color="000000"/>
              <w:right w:val="single" w:sz="5" w:space="0" w:color="000000"/>
            </w:tcBorders>
            <w:vAlign w:val="center"/>
          </w:tcPr>
          <w:p w14:paraId="7407CF36" w14:textId="66AF4772" w:rsidR="00364081" w:rsidRDefault="00A25264">
            <w:pPr>
              <w:spacing w:after="0" w:line="259" w:lineRule="auto"/>
              <w:ind w:left="55" w:firstLine="0"/>
              <w:jc w:val="center"/>
            </w:pPr>
            <w:r>
              <w:rPr>
                <w:sz w:val="19"/>
              </w:rPr>
              <w:t>P</w:t>
            </w:r>
            <w:r w:rsidR="00000000">
              <w:rPr>
                <w:sz w:val="19"/>
              </w:rPr>
              <w:t>hase</w:t>
            </w:r>
          </w:p>
        </w:tc>
        <w:tc>
          <w:tcPr>
            <w:tcW w:w="1928" w:type="dxa"/>
            <w:tcBorders>
              <w:top w:val="single" w:sz="5" w:space="0" w:color="000000"/>
              <w:left w:val="single" w:sz="5" w:space="0" w:color="000000"/>
              <w:bottom w:val="single" w:sz="5" w:space="0" w:color="000000"/>
              <w:right w:val="single" w:sz="5" w:space="0" w:color="000000"/>
            </w:tcBorders>
            <w:vAlign w:val="center"/>
          </w:tcPr>
          <w:p w14:paraId="6AA53CCE" w14:textId="77777777" w:rsidR="00364081" w:rsidRDefault="00000000">
            <w:pPr>
              <w:spacing w:after="0" w:line="259" w:lineRule="auto"/>
              <w:ind w:left="55" w:firstLine="0"/>
              <w:jc w:val="center"/>
            </w:pPr>
            <w:r>
              <w:rPr>
                <w:sz w:val="19"/>
              </w:rPr>
              <w:t>Categorical</w:t>
            </w:r>
          </w:p>
        </w:tc>
        <w:tc>
          <w:tcPr>
            <w:tcW w:w="5783" w:type="dxa"/>
            <w:tcBorders>
              <w:top w:val="single" w:sz="5" w:space="0" w:color="000000"/>
              <w:left w:val="single" w:sz="5" w:space="0" w:color="000000"/>
              <w:bottom w:val="single" w:sz="5" w:space="0" w:color="000000"/>
              <w:right w:val="single" w:sz="5" w:space="0" w:color="000000"/>
            </w:tcBorders>
          </w:tcPr>
          <w:p w14:paraId="601AA425" w14:textId="77777777" w:rsidR="00364081" w:rsidRDefault="00000000">
            <w:pPr>
              <w:spacing w:after="12" w:line="259" w:lineRule="auto"/>
              <w:ind w:left="0" w:firstLine="0"/>
              <w:jc w:val="left"/>
            </w:pPr>
            <w:r>
              <w:rPr>
                <w:sz w:val="19"/>
              </w:rPr>
              <w:t>Derived: Pre-COVID (2019), Pandemic (2020), Recovery (2022), Other</w:t>
            </w:r>
          </w:p>
          <w:p w14:paraId="7917FC33" w14:textId="77777777" w:rsidR="00364081" w:rsidRDefault="00000000">
            <w:pPr>
              <w:spacing w:after="0" w:line="259" w:lineRule="auto"/>
              <w:ind w:left="0" w:firstLine="0"/>
              <w:jc w:val="left"/>
            </w:pPr>
            <w:r>
              <w:rPr>
                <w:sz w:val="19"/>
              </w:rPr>
              <w:t>Years</w:t>
            </w:r>
          </w:p>
        </w:tc>
      </w:tr>
    </w:tbl>
    <w:p w14:paraId="4E239037" w14:textId="77777777" w:rsidR="00364081" w:rsidRDefault="00000000">
      <w:pPr>
        <w:spacing w:after="236" w:line="259" w:lineRule="auto"/>
        <w:ind w:left="0" w:firstLine="0"/>
        <w:jc w:val="left"/>
      </w:pPr>
      <w:r>
        <w:rPr>
          <w:rFonts w:ascii="Calibri" w:eastAsia="Calibri" w:hAnsi="Calibri" w:cs="Calibri"/>
          <w:noProof/>
          <w:sz w:val="22"/>
        </w:rPr>
        <w:lastRenderedPageBreak/>
        <mc:AlternateContent>
          <mc:Choice Requires="wpg">
            <w:drawing>
              <wp:inline distT="0" distB="0" distL="0" distR="0" wp14:anchorId="0215FCD3" wp14:editId="2090E6BF">
                <wp:extent cx="5967601" cy="7620"/>
                <wp:effectExtent l="0" t="0" r="0" b="0"/>
                <wp:docPr id="9400" name="Group 9400"/>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181" name="Shape 181"/>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9A9A9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400" style="width:469.89pt;height:0.6pt;mso-position-horizontal-relative:char;mso-position-vertical-relative:line" coordsize="59676,76">
                <v:shape id="Shape 181" style="position:absolute;width:59676;height:0;left:0;top:0;" coordsize="5967601,0" path="m0,0l5967601,0">
                  <v:stroke weight="0.6pt" endcap="round" joinstyle="miter" miterlimit="10" on="true" color="#9a9a9a"/>
                  <v:fill on="false" color="#000000" opacity="0"/>
                </v:shape>
              </v:group>
            </w:pict>
          </mc:Fallback>
        </mc:AlternateContent>
      </w:r>
    </w:p>
    <w:p w14:paraId="456071C9" w14:textId="77777777" w:rsidR="00364081" w:rsidRDefault="00000000">
      <w:pPr>
        <w:pStyle w:val="Heading1"/>
        <w:ind w:left="-5"/>
      </w:pPr>
      <w:r>
        <w:t>5. Tools &amp; Technologies</w:t>
      </w:r>
    </w:p>
    <w:p w14:paraId="1FFA03C3" w14:textId="77777777" w:rsidR="00364081" w:rsidRDefault="00000000">
      <w:pPr>
        <w:numPr>
          <w:ilvl w:val="0"/>
          <w:numId w:val="4"/>
        </w:numPr>
        <w:ind w:hanging="240"/>
      </w:pPr>
      <w:r>
        <w:rPr>
          <w:b/>
        </w:rPr>
        <w:t>Python:</w:t>
      </w:r>
      <w:r>
        <w:t xml:space="preserve"> Data loading, merging, cleaning, transformation, exploratory data analysis and visualization.</w:t>
      </w:r>
    </w:p>
    <w:p w14:paraId="556F1E37" w14:textId="77777777" w:rsidR="00364081" w:rsidRDefault="00000000">
      <w:pPr>
        <w:numPr>
          <w:ilvl w:val="0"/>
          <w:numId w:val="4"/>
        </w:numPr>
        <w:ind w:hanging="240"/>
      </w:pPr>
      <w:r>
        <w:rPr>
          <w:b/>
        </w:rPr>
        <w:t>Pandas:</w:t>
      </w:r>
      <w:r>
        <w:t xml:space="preserve"> Data manipulation, duplicate and missing-value checks, merging and grouping.</w:t>
      </w:r>
    </w:p>
    <w:p w14:paraId="22E6FDAC" w14:textId="77777777" w:rsidR="00364081" w:rsidRDefault="00000000">
      <w:pPr>
        <w:numPr>
          <w:ilvl w:val="0"/>
          <w:numId w:val="4"/>
        </w:numPr>
        <w:ind w:hanging="240"/>
      </w:pPr>
      <w:r>
        <w:rPr>
          <w:b/>
        </w:rPr>
        <w:t>NumPy:</w:t>
      </w:r>
      <w:r>
        <w:t xml:space="preserve"> Numerical operations, log transformations and statistical calculations.</w:t>
      </w:r>
    </w:p>
    <w:p w14:paraId="129E7339" w14:textId="77777777" w:rsidR="00364081" w:rsidRDefault="00000000">
      <w:pPr>
        <w:numPr>
          <w:ilvl w:val="0"/>
          <w:numId w:val="4"/>
        </w:numPr>
        <w:ind w:hanging="240"/>
      </w:pPr>
      <w:r>
        <w:rPr>
          <w:b/>
        </w:rPr>
        <w:t>Matplotlib:</w:t>
      </w:r>
      <w:r>
        <w:t xml:space="preserve"> Data visualization and customized charts.</w:t>
      </w:r>
    </w:p>
    <w:p w14:paraId="63B70CF9" w14:textId="77777777" w:rsidR="00364081" w:rsidRDefault="00000000">
      <w:pPr>
        <w:numPr>
          <w:ilvl w:val="0"/>
          <w:numId w:val="4"/>
        </w:numPr>
        <w:ind w:hanging="240"/>
      </w:pPr>
      <w:r>
        <w:rPr>
          <w:b/>
        </w:rPr>
        <w:t>Seaborn:</w:t>
      </w:r>
      <w:r>
        <w:t xml:space="preserve"> Statistical visualization (histograms, boxplots, heatmaps, pair plots).</w:t>
      </w:r>
    </w:p>
    <w:p w14:paraId="0079A04D" w14:textId="77777777" w:rsidR="00364081" w:rsidRDefault="00000000">
      <w:pPr>
        <w:numPr>
          <w:ilvl w:val="0"/>
          <w:numId w:val="4"/>
        </w:numPr>
        <w:ind w:hanging="240"/>
      </w:pPr>
      <w:r>
        <w:rPr>
          <w:b/>
        </w:rPr>
        <w:t>Power BI:</w:t>
      </w:r>
      <w:r>
        <w:t xml:space="preserve"> Data modelling, DAX measures, visualization and interactive dashboard development.</w:t>
      </w:r>
    </w:p>
    <w:p w14:paraId="55075667" w14:textId="77777777" w:rsidR="00364081" w:rsidRDefault="00000000">
      <w:pPr>
        <w:numPr>
          <w:ilvl w:val="0"/>
          <w:numId w:val="4"/>
        </w:numPr>
        <w:spacing w:after="0"/>
        <w:ind w:hanging="240"/>
      </w:pPr>
      <w:r>
        <w:rPr>
          <w:b/>
        </w:rPr>
        <w:t>Google Colab:</w:t>
      </w:r>
      <w:r>
        <w:t xml:space="preserve"> Python development and notebook-based analysis.</w:t>
      </w:r>
    </w:p>
    <w:p w14:paraId="158AA29C" w14:textId="77777777" w:rsidR="00364081" w:rsidRDefault="00000000">
      <w:pPr>
        <w:spacing w:after="236" w:line="259" w:lineRule="auto"/>
        <w:ind w:left="0" w:firstLine="0"/>
        <w:jc w:val="left"/>
      </w:pPr>
      <w:r>
        <w:rPr>
          <w:rFonts w:ascii="Calibri" w:eastAsia="Calibri" w:hAnsi="Calibri" w:cs="Calibri"/>
          <w:noProof/>
          <w:sz w:val="22"/>
        </w:rPr>
        <mc:AlternateContent>
          <mc:Choice Requires="wpg">
            <w:drawing>
              <wp:inline distT="0" distB="0" distL="0" distR="0" wp14:anchorId="71F0FACA" wp14:editId="44D1FA37">
                <wp:extent cx="5967601" cy="7620"/>
                <wp:effectExtent l="0" t="0" r="0" b="0"/>
                <wp:docPr id="9401" name="Group 9401"/>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204" name="Shape 204"/>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9A9A9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401" style="width:469.89pt;height:0.6pt;mso-position-horizontal-relative:char;mso-position-vertical-relative:line" coordsize="59676,76">
                <v:shape id="Shape 204" style="position:absolute;width:59676;height:0;left:0;top:0;" coordsize="5967601,0" path="m0,0l5967601,0">
                  <v:stroke weight="0.6pt" endcap="round" joinstyle="miter" miterlimit="10" on="true" color="#9a9a9a"/>
                  <v:fill on="false" color="#000000" opacity="0"/>
                </v:shape>
              </v:group>
            </w:pict>
          </mc:Fallback>
        </mc:AlternateContent>
      </w:r>
    </w:p>
    <w:p w14:paraId="028CFCEA" w14:textId="77777777" w:rsidR="00364081" w:rsidRDefault="00000000">
      <w:pPr>
        <w:pStyle w:val="Heading1"/>
        <w:ind w:left="-5"/>
      </w:pPr>
      <w:r>
        <w:t>6. Data Pre-Processing - EDA</w:t>
      </w:r>
    </w:p>
    <w:p w14:paraId="75CF3FFF" w14:textId="77777777" w:rsidR="00364081" w:rsidRDefault="00000000">
      <w:pPr>
        <w:spacing w:after="94" w:line="259" w:lineRule="auto"/>
        <w:ind w:left="-5"/>
        <w:jc w:val="left"/>
      </w:pPr>
      <w:r>
        <w:rPr>
          <w:b/>
          <w:color w:val="2B3AA0"/>
          <w:sz w:val="22"/>
        </w:rPr>
        <w:t>Tasks Performed:</w:t>
      </w:r>
    </w:p>
    <w:p w14:paraId="2AD7132D" w14:textId="77777777" w:rsidR="00364081" w:rsidRDefault="00000000">
      <w:pPr>
        <w:numPr>
          <w:ilvl w:val="0"/>
          <w:numId w:val="5"/>
        </w:numPr>
        <w:ind w:hanging="240"/>
      </w:pPr>
      <w:r>
        <w:rPr>
          <w:b/>
        </w:rPr>
        <w:t>Load Data</w:t>
      </w:r>
      <w:r>
        <w:t xml:space="preserve"> – Read the four CSV files (LFPR, UR, WPR, sectors) with pd.read_csv().</w:t>
      </w:r>
    </w:p>
    <w:p w14:paraId="1807615E" w14:textId="77777777" w:rsidR="00364081" w:rsidRDefault="00000000">
      <w:pPr>
        <w:ind w:left="370"/>
      </w:pPr>
      <w:r>
        <w:rPr>
          <w:b/>
        </w:rPr>
        <w:t>Check Dataset Size and Types</w:t>
      </w:r>
      <w:r>
        <w:t xml:space="preserve"> – Use shape, head() and info() to understand structure and column types.</w:t>
      </w:r>
    </w:p>
    <w:p w14:paraId="6E2F1994" w14:textId="77777777" w:rsidR="00364081" w:rsidRDefault="00000000">
      <w:pPr>
        <w:numPr>
          <w:ilvl w:val="0"/>
          <w:numId w:val="5"/>
        </w:numPr>
        <w:ind w:hanging="240"/>
      </w:pPr>
      <w:r>
        <w:rPr>
          <w:b/>
        </w:rPr>
        <w:t>Check Missing Values</w:t>
      </w:r>
      <w:r>
        <w:t xml:space="preserve"> – Use isnull().sum() on every table.</w:t>
      </w:r>
    </w:p>
    <w:p w14:paraId="1FF53914" w14:textId="77777777" w:rsidR="00364081" w:rsidRDefault="00000000">
      <w:pPr>
        <w:numPr>
          <w:ilvl w:val="0"/>
          <w:numId w:val="5"/>
        </w:numPr>
        <w:ind w:hanging="240"/>
      </w:pPr>
      <w:r>
        <w:rPr>
          <w:b/>
        </w:rPr>
        <w:t>Check Duplicates</w:t>
      </w:r>
      <w:r>
        <w:t xml:space="preserve"> – Check full-row duplicates and duplicates on the key columns (state, year, quarter, age group, gender).</w:t>
      </w:r>
    </w:p>
    <w:p w14:paraId="1D9B86EA" w14:textId="77777777" w:rsidR="00364081" w:rsidRDefault="00000000">
      <w:pPr>
        <w:numPr>
          <w:ilvl w:val="0"/>
          <w:numId w:val="5"/>
        </w:numPr>
        <w:ind w:hanging="240"/>
      </w:pPr>
      <w:r>
        <w:rPr>
          <w:b/>
        </w:rPr>
        <w:t>Merge Tables</w:t>
      </w:r>
      <w:r>
        <w:t xml:space="preserve"> – Combine all four tables into one dataset.</w:t>
      </w:r>
    </w:p>
    <w:p w14:paraId="72937FE5" w14:textId="77777777" w:rsidR="00364081" w:rsidRDefault="00000000">
      <w:pPr>
        <w:numPr>
          <w:ilvl w:val="0"/>
          <w:numId w:val="5"/>
        </w:numPr>
        <w:spacing w:after="128"/>
        <w:ind w:hanging="240"/>
      </w:pPr>
      <w:r>
        <w:rPr>
          <w:b/>
        </w:rPr>
        <w:t>Outliers, Skewness and Transformations</w:t>
      </w:r>
      <w:r>
        <w:t xml:space="preserve"> – Detect outliers with the IQR method, check skewness and transform where needed.</w:t>
      </w:r>
    </w:p>
    <w:p w14:paraId="1F9E5992" w14:textId="77777777" w:rsidR="00364081" w:rsidRDefault="00000000">
      <w:pPr>
        <w:spacing w:after="94" w:line="259" w:lineRule="auto"/>
        <w:ind w:left="-5"/>
        <w:jc w:val="left"/>
      </w:pPr>
      <w:r>
        <w:rPr>
          <w:b/>
          <w:color w:val="2B3AA0"/>
          <w:sz w:val="22"/>
        </w:rPr>
        <w:t>Summary of Complete Data Cleaning:</w:t>
      </w:r>
    </w:p>
    <w:p w14:paraId="18DF06BD" w14:textId="77777777" w:rsidR="00364081" w:rsidRDefault="00000000">
      <w:pPr>
        <w:numPr>
          <w:ilvl w:val="0"/>
          <w:numId w:val="5"/>
        </w:numPr>
        <w:ind w:hanging="240"/>
      </w:pPr>
      <w:r>
        <w:rPr>
          <w:b/>
        </w:rPr>
        <w:t>Unwanted Column:</w:t>
      </w:r>
      <w:r>
        <w:t xml:space="preserve"> Dropped the id column from all four tables before merging.</w:t>
      </w:r>
    </w:p>
    <w:p w14:paraId="3F124C30" w14:textId="77777777" w:rsidR="00364081" w:rsidRDefault="00000000">
      <w:pPr>
        <w:numPr>
          <w:ilvl w:val="0"/>
          <w:numId w:val="5"/>
        </w:numPr>
        <w:ind w:hanging="240"/>
      </w:pPr>
      <w:r>
        <w:rPr>
          <w:b/>
        </w:rPr>
        <w:t>2018 Data:</w:t>
      </w:r>
      <w:r>
        <w:t xml:space="preserve"> Excluded all 2018 rows. LFPR and WPR contained 552 conflicting duplicate rows for the same state, period, age group and gender, all in 2018, and the source had no field to tell them apart.</w:t>
      </w:r>
    </w:p>
    <w:p w14:paraId="3C01AAE0" w14:textId="77777777" w:rsidR="00364081" w:rsidRDefault="00000000">
      <w:pPr>
        <w:numPr>
          <w:ilvl w:val="0"/>
          <w:numId w:val="5"/>
        </w:numPr>
        <w:ind w:hanging="240"/>
      </w:pPr>
      <w:r>
        <w:rPr>
          <w:b/>
        </w:rPr>
        <w:t>Duplicates in Sector Table:</w:t>
      </w:r>
      <w:r>
        <w:t xml:space="preserve"> Duplicate rows differed only in agriculture (0.0 versus NaN). The row with the real value was kept, leaving 0 duplicate keys (1,449 records × 8 columns).</w:t>
      </w:r>
    </w:p>
    <w:p w14:paraId="27051A42" w14:textId="77777777" w:rsidR="00364081" w:rsidRDefault="00000000">
      <w:pPr>
        <w:numPr>
          <w:ilvl w:val="0"/>
          <w:numId w:val="5"/>
        </w:numPr>
        <w:ind w:hanging="240"/>
      </w:pPr>
      <w:r>
        <w:rPr>
          <w:b/>
        </w:rPr>
        <w:t>Missing Values:</w:t>
      </w:r>
      <w:r>
        <w:t xml:space="preserve"> Missing agriculture shares were filled with 0 after confirming that secondary and tertiary shares already summed to about 100%.</w:t>
      </w:r>
    </w:p>
    <w:p w14:paraId="09CD2960" w14:textId="77777777" w:rsidR="00364081" w:rsidRDefault="00000000">
      <w:pPr>
        <w:numPr>
          <w:ilvl w:val="0"/>
          <w:numId w:val="5"/>
        </w:numPr>
        <w:ind w:hanging="240"/>
      </w:pPr>
      <w:r>
        <w:rPr>
          <w:b/>
        </w:rPr>
        <w:t>Merging:</w:t>
      </w:r>
      <w:r>
        <w:t xml:space="preserve"> LFPR, UR and WPR were merged on state_code, state_name, year, quarter, age_group and gender. The sector table has no age_group, so it was merged on the reduced key (state_code, state_name, year, quarter, gender). Merged size: 4,347 × 12.</w:t>
      </w:r>
    </w:p>
    <w:p w14:paraId="1EB901B9" w14:textId="77777777" w:rsidR="00364081" w:rsidRDefault="00000000">
      <w:pPr>
        <w:numPr>
          <w:ilvl w:val="0"/>
          <w:numId w:val="5"/>
        </w:numPr>
        <w:ind w:hanging="240"/>
      </w:pPr>
      <w:r>
        <w:rPr>
          <w:b/>
        </w:rPr>
        <w:t>Outliers:</w:t>
      </w:r>
      <w:r>
        <w:t xml:space="preserve"> The IQR method flagged 136 high values in the Unemployment Rate (above 39.95%). They fall within the valid percentage range and reflect genuine state-level variation, so they were retained.</w:t>
      </w:r>
    </w:p>
    <w:p w14:paraId="3A83D260" w14:textId="77777777" w:rsidR="00364081" w:rsidRDefault="00000000">
      <w:pPr>
        <w:numPr>
          <w:ilvl w:val="0"/>
          <w:numId w:val="5"/>
        </w:numPr>
        <w:ind w:hanging="240"/>
      </w:pPr>
      <w:r>
        <w:rPr>
          <w:b/>
        </w:rPr>
        <w:t>Skewness:</w:t>
      </w:r>
      <w:r>
        <w:t xml:space="preserve"> LFPR 0.10, UR 1.42, WPR 0.27, agriculture 1.67, secondary -0.26, tertiary 0.51. Log transformations (UR_log, agri_log) were applied only to variables with skew above 1; original values are used for reporting.</w:t>
      </w:r>
    </w:p>
    <w:p w14:paraId="6E2A813E" w14:textId="77777777" w:rsidR="00364081" w:rsidRDefault="00000000">
      <w:pPr>
        <w:numPr>
          <w:ilvl w:val="0"/>
          <w:numId w:val="5"/>
        </w:numPr>
        <w:ind w:hanging="240"/>
      </w:pPr>
      <w:r>
        <w:rPr>
          <w:b/>
        </w:rPr>
        <w:t>Data Types and Renaming:</w:t>
      </w:r>
      <w:r>
        <w:t xml:space="preserve"> Checked all data types and renamed lfpr and Wpr to LFPR and WPR.</w:t>
      </w:r>
    </w:p>
    <w:p w14:paraId="6FAD1597" w14:textId="77777777" w:rsidR="00364081" w:rsidRDefault="00000000">
      <w:pPr>
        <w:numPr>
          <w:ilvl w:val="0"/>
          <w:numId w:val="5"/>
        </w:numPr>
        <w:ind w:hanging="240"/>
      </w:pPr>
      <w:r>
        <w:rPr>
          <w:b/>
        </w:rPr>
        <w:t>Derived Columns:</w:t>
      </w:r>
      <w:r>
        <w:t xml:space="preserve"> Created quarter_no, period and phase (Pre-COVID = 2019, Pandemic = 2020, Recovery = 2022). The 1,863 rows for 2021, 2023 and 2024 have no phase label and were set to Other Years.</w:t>
      </w:r>
    </w:p>
    <w:p w14:paraId="5E223B9D" w14:textId="77777777" w:rsidR="00364081" w:rsidRDefault="00000000">
      <w:pPr>
        <w:numPr>
          <w:ilvl w:val="0"/>
          <w:numId w:val="5"/>
        </w:numPr>
        <w:ind w:hanging="240"/>
      </w:pPr>
      <w:r>
        <w:rPr>
          <w:b/>
        </w:rPr>
        <w:lastRenderedPageBreak/>
        <w:t>Data Validation:</w:t>
      </w:r>
      <w:r>
        <w:t xml:space="preserve"> Final check found 0 missing values and 0 duplicate keys.</w:t>
      </w:r>
    </w:p>
    <w:p w14:paraId="6255D651" w14:textId="77777777" w:rsidR="00364081" w:rsidRDefault="00000000">
      <w:pPr>
        <w:numPr>
          <w:ilvl w:val="0"/>
          <w:numId w:val="5"/>
        </w:numPr>
        <w:spacing w:after="0"/>
        <w:ind w:hanging="240"/>
      </w:pPr>
      <w:r>
        <w:rPr>
          <w:b/>
        </w:rPr>
        <w:t>Final Dataset:</w:t>
      </w:r>
      <w:r>
        <w:t xml:space="preserve"> 4,347 records × 17 columns (Cleaned_labour_market_data.csv).</w:t>
      </w:r>
    </w:p>
    <w:p w14:paraId="120BCAEE" w14:textId="77777777" w:rsidR="00364081" w:rsidRDefault="00000000">
      <w:pPr>
        <w:spacing w:after="236" w:line="259" w:lineRule="auto"/>
        <w:ind w:left="0" w:firstLine="0"/>
        <w:jc w:val="left"/>
      </w:pPr>
      <w:r>
        <w:rPr>
          <w:rFonts w:ascii="Calibri" w:eastAsia="Calibri" w:hAnsi="Calibri" w:cs="Calibri"/>
          <w:noProof/>
          <w:sz w:val="22"/>
        </w:rPr>
        <mc:AlternateContent>
          <mc:Choice Requires="wpg">
            <w:drawing>
              <wp:inline distT="0" distB="0" distL="0" distR="0" wp14:anchorId="4678D9EF" wp14:editId="254D8A61">
                <wp:extent cx="5967601" cy="7620"/>
                <wp:effectExtent l="0" t="0" r="0" b="0"/>
                <wp:docPr id="7260" name="Group 7260"/>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281" name="Shape 281"/>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9A9A9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60" style="width:469.89pt;height:0.6pt;mso-position-horizontal-relative:char;mso-position-vertical-relative:line" coordsize="59676,76">
                <v:shape id="Shape 281" style="position:absolute;width:59676;height:0;left:0;top:0;" coordsize="5967601,0" path="m0,0l5967601,0">
                  <v:stroke weight="0.6pt" endcap="round" joinstyle="miter" miterlimit="10" on="true" color="#9a9a9a"/>
                  <v:fill on="false" color="#000000" opacity="0"/>
                </v:shape>
              </v:group>
            </w:pict>
          </mc:Fallback>
        </mc:AlternateContent>
      </w:r>
    </w:p>
    <w:p w14:paraId="6974B658" w14:textId="77777777" w:rsidR="00364081" w:rsidRDefault="00000000">
      <w:pPr>
        <w:pStyle w:val="Heading1"/>
        <w:ind w:left="-5"/>
      </w:pPr>
      <w:r>
        <w:t>7. Python Visualizations</w:t>
      </w:r>
    </w:p>
    <w:p w14:paraId="3D843C6A" w14:textId="77777777" w:rsidR="00364081" w:rsidRDefault="00000000">
      <w:pPr>
        <w:numPr>
          <w:ilvl w:val="0"/>
          <w:numId w:val="6"/>
        </w:numPr>
        <w:ind w:hanging="240"/>
      </w:pPr>
      <w:r>
        <w:rPr>
          <w:b/>
        </w:rPr>
        <w:t>Univariate analysis:</w:t>
      </w:r>
      <w:r>
        <w:t xml:space="preserve"> Count plots (records per year and per gender) to check the data is balanced; histograms for LFPR, UR and agriculture share; boxplots to compare LFPR, UR and WPR and the three sector shares.</w:t>
      </w:r>
    </w:p>
    <w:p w14:paraId="150E7E4F" w14:textId="77777777" w:rsidR="00364081" w:rsidRDefault="00000000">
      <w:pPr>
        <w:numPr>
          <w:ilvl w:val="0"/>
          <w:numId w:val="6"/>
        </w:numPr>
        <w:ind w:hanging="240"/>
      </w:pPr>
      <w:r>
        <w:rPr>
          <w:b/>
        </w:rPr>
        <w:t>Bivariate analysis:</w:t>
      </w:r>
      <w:r>
        <w:t xml:space="preserve"> Bar charts for average UR by state, average LFPR by gender and average UR by phase; scatter plots for LFPR versus WPR and UR versus tertiary share; a correlation heatmap of the six labour indicators.</w:t>
      </w:r>
    </w:p>
    <w:p w14:paraId="68106155" w14:textId="77777777" w:rsidR="00364081" w:rsidRDefault="00000000">
      <w:pPr>
        <w:numPr>
          <w:ilvl w:val="0"/>
          <w:numId w:val="6"/>
        </w:numPr>
        <w:ind w:hanging="240"/>
      </w:pPr>
      <w:r>
        <w:rPr>
          <w:b/>
        </w:rPr>
        <w:t>Multivariate analysis:</w:t>
      </w:r>
      <w:r>
        <w:t xml:space="preserve"> A pair plot of LFPR, UR and WPR by gender; grouped analysis of phase by gender; a state-by-year heatmap of unemployment; a bubble scatter of LFPR versus UR sized by agriculture share and coloured by tertiary share.</w:t>
      </w:r>
    </w:p>
    <w:p w14:paraId="5772E267" w14:textId="77777777" w:rsidR="00364081" w:rsidRDefault="00000000">
      <w:pPr>
        <w:numPr>
          <w:ilvl w:val="0"/>
          <w:numId w:val="6"/>
        </w:numPr>
        <w:ind w:hanging="240"/>
      </w:pPr>
      <w:r>
        <w:rPr>
          <w:b/>
        </w:rPr>
        <w:t>Interpretation:</w:t>
      </w:r>
      <w:r>
        <w:t xml:space="preserve"> Every chart is followed by an insight note covering what the chart shows, the features used and what it means for the business story.</w:t>
      </w:r>
    </w:p>
    <w:p w14:paraId="6D64722A" w14:textId="77777777" w:rsidR="00364081" w:rsidRDefault="00000000">
      <w:pPr>
        <w:spacing w:after="129"/>
        <w:ind w:left="370"/>
      </w:pPr>
      <w:r>
        <w:t>These Python visualizations provided an initial understanding of distributions, gender gaps, state differences and the COVID-19 shock, and guided the selection of KPIs and charts for the Power BI dashboard.</w:t>
      </w:r>
    </w:p>
    <w:p w14:paraId="417CB2EA" w14:textId="77777777" w:rsidR="00364081" w:rsidRDefault="00000000">
      <w:pPr>
        <w:spacing w:after="94" w:line="259" w:lineRule="auto"/>
        <w:ind w:left="-5"/>
        <w:jc w:val="left"/>
      </w:pPr>
      <w:r>
        <w:rPr>
          <w:b/>
          <w:color w:val="2B3AA0"/>
          <w:sz w:val="22"/>
        </w:rPr>
        <w:t>Key observations from the Python analysis:</w:t>
      </w:r>
    </w:p>
    <w:p w14:paraId="67E88602" w14:textId="77777777" w:rsidR="00364081" w:rsidRDefault="00000000">
      <w:pPr>
        <w:numPr>
          <w:ilvl w:val="0"/>
          <w:numId w:val="6"/>
        </w:numPr>
        <w:ind w:hanging="240"/>
      </w:pPr>
      <w:r>
        <w:t>LFPR has two separate peaks (about 15–20% and 55–58%) because male and female participation form two distinct groups.</w:t>
      </w:r>
    </w:p>
    <w:p w14:paraId="5E69F41C" w14:textId="77777777" w:rsidR="00364081" w:rsidRDefault="00000000">
      <w:pPr>
        <w:numPr>
          <w:ilvl w:val="0"/>
          <w:numId w:val="6"/>
        </w:numPr>
        <w:ind w:hanging="240"/>
      </w:pPr>
      <w:r>
        <w:t>Unemployment is right-skewed (skewness 1.42), with most values between 5% and 15% and a long tail up to about 39%.</w:t>
      </w:r>
    </w:p>
    <w:p w14:paraId="21C6B9E7" w14:textId="77777777" w:rsidR="00364081" w:rsidRDefault="00000000">
      <w:pPr>
        <w:numPr>
          <w:ilvl w:val="0"/>
          <w:numId w:val="6"/>
        </w:numPr>
        <w:ind w:hanging="240"/>
      </w:pPr>
      <w:r>
        <w:t>LFPR and WPR are almost perfectly correlated (0.99). Unemployment is moderately negative with LFPR (-0.30) and WPR (-0.40).</w:t>
      </w:r>
    </w:p>
    <w:p w14:paraId="5FD6A3B0" w14:textId="77777777" w:rsidR="00364081" w:rsidRDefault="00000000">
      <w:pPr>
        <w:numPr>
          <w:ilvl w:val="0"/>
          <w:numId w:val="6"/>
        </w:numPr>
        <w:ind w:hanging="240"/>
      </w:pPr>
      <w:r>
        <w:t>Agriculture-heavy states show lower participation and employment (correlation -0.41 with LFPR and -0.43 with WPR); secondary-sector states show higher (0.56 and 0.58).</w:t>
      </w:r>
    </w:p>
    <w:p w14:paraId="48528FCC" w14:textId="77777777" w:rsidR="00364081" w:rsidRDefault="00000000">
      <w:pPr>
        <w:numPr>
          <w:ilvl w:val="0"/>
          <w:numId w:val="6"/>
        </w:numPr>
        <w:spacing w:after="7"/>
        <w:ind w:hanging="240"/>
      </w:pPr>
      <w:r>
        <w:t>Average unemployment rose from about 9.5% (pre-COVID) to about 13.7% (pandemic) and fell to about</w:t>
      </w:r>
    </w:p>
    <w:p w14:paraId="22635E6D" w14:textId="77777777" w:rsidR="00364081" w:rsidRDefault="00000000">
      <w:pPr>
        <w:spacing w:after="0"/>
        <w:ind w:left="370"/>
      </w:pPr>
      <w:r>
        <w:t>8.8% (recovery), slightly below the starting level.</w:t>
      </w:r>
    </w:p>
    <w:p w14:paraId="592A42DA" w14:textId="77777777" w:rsidR="00364081" w:rsidRDefault="00000000">
      <w:pPr>
        <w:spacing w:after="236" w:line="259" w:lineRule="auto"/>
        <w:ind w:left="0" w:firstLine="0"/>
        <w:jc w:val="left"/>
      </w:pPr>
      <w:r>
        <w:rPr>
          <w:rFonts w:ascii="Calibri" w:eastAsia="Calibri" w:hAnsi="Calibri" w:cs="Calibri"/>
          <w:noProof/>
          <w:sz w:val="22"/>
        </w:rPr>
        <mc:AlternateContent>
          <mc:Choice Requires="wpg">
            <w:drawing>
              <wp:inline distT="0" distB="0" distL="0" distR="0" wp14:anchorId="2AC27BF0" wp14:editId="021971B8">
                <wp:extent cx="5967601" cy="7620"/>
                <wp:effectExtent l="0" t="0" r="0" b="0"/>
                <wp:docPr id="7086" name="Group 7086"/>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330" name="Shape 330"/>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9A9A9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86" style="width:469.89pt;height:0.6pt;mso-position-horizontal-relative:char;mso-position-vertical-relative:line" coordsize="59676,76">
                <v:shape id="Shape 330" style="position:absolute;width:59676;height:0;left:0;top:0;" coordsize="5967601,0" path="m0,0l5967601,0">
                  <v:stroke weight="0.6pt" endcap="round" joinstyle="miter" miterlimit="10" on="true" color="#9a9a9a"/>
                  <v:fill on="false" color="#000000" opacity="0"/>
                </v:shape>
              </v:group>
            </w:pict>
          </mc:Fallback>
        </mc:AlternateContent>
      </w:r>
    </w:p>
    <w:p w14:paraId="45539B6F" w14:textId="77777777" w:rsidR="00364081" w:rsidRDefault="00000000">
      <w:pPr>
        <w:pStyle w:val="Heading1"/>
        <w:ind w:left="-5"/>
      </w:pPr>
      <w:r>
        <w:t>8. Dashboard Development (Power BI)</w:t>
      </w:r>
    </w:p>
    <w:p w14:paraId="337EBCEE" w14:textId="77777777" w:rsidR="00364081" w:rsidRDefault="00000000">
      <w:pPr>
        <w:spacing w:after="129"/>
      </w:pPr>
      <w:r>
        <w:t>An interactive Power BI dashboard was developed to present the cleaned labour market data as clear, filterable visuals.</w:t>
      </w:r>
    </w:p>
    <w:p w14:paraId="2022B481" w14:textId="77777777" w:rsidR="00364081" w:rsidRDefault="00000000">
      <w:pPr>
        <w:spacing w:after="94" w:line="259" w:lineRule="auto"/>
        <w:ind w:left="-5"/>
        <w:jc w:val="left"/>
      </w:pPr>
      <w:r>
        <w:rPr>
          <w:b/>
          <w:color w:val="2B3AA0"/>
          <w:sz w:val="22"/>
        </w:rPr>
        <w:t>Dashboard Features:</w:t>
      </w:r>
    </w:p>
    <w:p w14:paraId="6E737B9F" w14:textId="77777777" w:rsidR="00364081" w:rsidRDefault="00000000">
      <w:pPr>
        <w:numPr>
          <w:ilvl w:val="0"/>
          <w:numId w:val="7"/>
        </w:numPr>
        <w:spacing w:after="0" w:line="378" w:lineRule="auto"/>
        <w:ind w:hanging="240"/>
      </w:pPr>
      <w:r>
        <w:t xml:space="preserve">Created an interactive two-page dashboard: </w:t>
      </w:r>
      <w:r>
        <w:rPr>
          <w:rFonts w:ascii="Arial" w:eastAsia="Arial" w:hAnsi="Arial" w:cs="Arial"/>
          <w:sz w:val="20"/>
        </w:rPr>
        <w:t xml:space="preserve">o </w:t>
      </w:r>
      <w:r>
        <w:t xml:space="preserve">Page 1 – Labour Market Overview </w:t>
      </w:r>
      <w:r>
        <w:rPr>
          <w:rFonts w:ascii="Arial" w:eastAsia="Arial" w:hAnsi="Arial" w:cs="Arial"/>
          <w:sz w:val="20"/>
        </w:rPr>
        <w:t xml:space="preserve">o </w:t>
      </w:r>
      <w:r>
        <w:t>Page 2 – Labour Market Resilience</w:t>
      </w:r>
    </w:p>
    <w:p w14:paraId="5F5A7CE5" w14:textId="77777777" w:rsidR="00364081" w:rsidRDefault="00000000">
      <w:pPr>
        <w:numPr>
          <w:ilvl w:val="0"/>
          <w:numId w:val="7"/>
        </w:numPr>
        <w:ind w:hanging="240"/>
      </w:pPr>
      <w:r>
        <w:t>Used KPI Cards, Line Charts, Donut Chart, Clustered Column Chart, Bar Charts, Treemap and a Table with conditional formatting.</w:t>
      </w:r>
    </w:p>
    <w:p w14:paraId="2D763A07" w14:textId="77777777" w:rsidR="00364081" w:rsidRDefault="00000000">
      <w:pPr>
        <w:numPr>
          <w:ilvl w:val="0"/>
          <w:numId w:val="7"/>
        </w:numPr>
        <w:ind w:hanging="240"/>
      </w:pPr>
      <w:r>
        <w:t>Implemented interactive Slicers for Gender, Age Group and States.</w:t>
      </w:r>
    </w:p>
    <w:p w14:paraId="2B9CFA68" w14:textId="77777777" w:rsidR="00364081" w:rsidRDefault="00000000">
      <w:pPr>
        <w:numPr>
          <w:ilvl w:val="0"/>
          <w:numId w:val="7"/>
        </w:numPr>
        <w:ind w:hanging="240"/>
      </w:pPr>
      <w:r>
        <w:t>Applied conditional formatting (data bars, colour scales and rule-based colours) to the State Resilience Ranking table.</w:t>
      </w:r>
    </w:p>
    <w:p w14:paraId="403F35C8" w14:textId="77777777" w:rsidR="00364081" w:rsidRDefault="00000000">
      <w:pPr>
        <w:numPr>
          <w:ilvl w:val="0"/>
          <w:numId w:val="7"/>
        </w:numPr>
        <w:ind w:hanging="240"/>
      </w:pPr>
      <w:r>
        <w:t>Added Key Insights and Recommendations text boxes on each page for storytelling.</w:t>
      </w:r>
    </w:p>
    <w:p w14:paraId="53FF16DE" w14:textId="77777777" w:rsidR="00364081" w:rsidRDefault="00000000">
      <w:pPr>
        <w:numPr>
          <w:ilvl w:val="0"/>
          <w:numId w:val="7"/>
        </w:numPr>
        <w:spacing w:after="277"/>
        <w:ind w:hanging="240"/>
      </w:pPr>
      <w:r>
        <w:lastRenderedPageBreak/>
        <w:t>Designed the dashboard with a consistent teal theme and clear layout.</w:t>
      </w:r>
    </w:p>
    <w:p w14:paraId="7C1D1AFC" w14:textId="77777777" w:rsidR="00364081" w:rsidRDefault="00000000">
      <w:pPr>
        <w:spacing w:after="94" w:line="259" w:lineRule="auto"/>
        <w:ind w:left="-5"/>
        <w:jc w:val="left"/>
      </w:pPr>
      <w:r>
        <w:rPr>
          <w:b/>
          <w:color w:val="2B3AA0"/>
          <w:sz w:val="22"/>
        </w:rPr>
        <w:t>Page Contents:</w:t>
      </w:r>
    </w:p>
    <w:p w14:paraId="03A13BAC" w14:textId="77777777" w:rsidR="00364081" w:rsidRDefault="00000000">
      <w:pPr>
        <w:numPr>
          <w:ilvl w:val="0"/>
          <w:numId w:val="7"/>
        </w:numPr>
        <w:ind w:hanging="240"/>
      </w:pPr>
      <w:r>
        <w:rPr>
          <w:b/>
        </w:rPr>
        <w:t>Overview:</w:t>
      </w:r>
      <w:r>
        <w:t xml:space="preserve"> KPI cards for Average LFPR (37.46), Average UR (9.16), Average WPR (34.06) and Average Agriculture share (5.66); trend lines for LFPR, UR and WPR from 2019 to 2024; employment share by sector; male versus female comparison; state-wise labour participation.</w:t>
      </w:r>
    </w:p>
    <w:p w14:paraId="04796720" w14:textId="77777777" w:rsidR="00364081" w:rsidRDefault="00364081"/>
    <w:p w14:paraId="7FD2D6E6" w14:textId="77777777" w:rsidR="00C170DE" w:rsidRDefault="00C170DE">
      <w:r>
        <w:rPr>
          <w:noProof/>
        </w:rPr>
        <w:drawing>
          <wp:inline distT="0" distB="0" distL="0" distR="0" wp14:anchorId="0482B60D" wp14:editId="2C2F7EB5">
            <wp:extent cx="5967730" cy="3264535"/>
            <wp:effectExtent l="0" t="0" r="0" b="0"/>
            <wp:docPr id="9521203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20353" name="Picture 952120353"/>
                    <pic:cNvPicPr/>
                  </pic:nvPicPr>
                  <pic:blipFill>
                    <a:blip r:embed="rId7">
                      <a:extLst>
                        <a:ext uri="{28A0092B-C50C-407E-A947-70E740481C1C}">
                          <a14:useLocalDpi xmlns:a14="http://schemas.microsoft.com/office/drawing/2010/main" val="0"/>
                        </a:ext>
                      </a:extLst>
                    </a:blip>
                    <a:stretch>
                      <a:fillRect/>
                    </a:stretch>
                  </pic:blipFill>
                  <pic:spPr>
                    <a:xfrm>
                      <a:off x="0" y="0"/>
                      <a:ext cx="5967730" cy="3264535"/>
                    </a:xfrm>
                    <a:prstGeom prst="rect">
                      <a:avLst/>
                    </a:prstGeom>
                  </pic:spPr>
                </pic:pic>
              </a:graphicData>
            </a:graphic>
          </wp:inline>
        </w:drawing>
      </w:r>
    </w:p>
    <w:p w14:paraId="0DDCA1D0" w14:textId="77777777" w:rsidR="00C170DE" w:rsidRDefault="00C170DE" w:rsidP="00C170DE">
      <w:pPr>
        <w:spacing w:after="0" w:line="265" w:lineRule="auto"/>
        <w:ind w:left="0" w:firstLine="0"/>
        <w:jc w:val="center"/>
      </w:pPr>
      <w:r>
        <w:rPr>
          <w:i/>
          <w:color w:val="555555"/>
          <w:sz w:val="18"/>
        </w:rPr>
        <w:t>Page 1 – Labour Market Overview</w:t>
      </w:r>
    </w:p>
    <w:p w14:paraId="3C290CCB" w14:textId="77777777" w:rsidR="00C170DE" w:rsidRDefault="00C170DE"/>
    <w:p w14:paraId="36497D43" w14:textId="77777777" w:rsidR="00C170DE" w:rsidRDefault="00C170DE"/>
    <w:p w14:paraId="78F9F4C1" w14:textId="77777777" w:rsidR="00C170DE" w:rsidRDefault="00C170DE"/>
    <w:p w14:paraId="282F9197" w14:textId="77777777" w:rsidR="00C170DE" w:rsidRDefault="00C170DE" w:rsidP="00C170DE">
      <w:pPr>
        <w:numPr>
          <w:ilvl w:val="0"/>
          <w:numId w:val="7"/>
        </w:numPr>
        <w:ind w:hanging="240"/>
      </w:pPr>
      <w:r>
        <w:rPr>
          <w:b/>
        </w:rPr>
        <w:t>Resilience:</w:t>
      </w:r>
      <w:r>
        <w:t xml:space="preserve"> KPI cards for Pre-COVID UR (9.52), Pandemic UR (13.67), Recovery UR (8.79) and UR Rise (4.15); unemployment rise during 2020; unemployment recovery by 2022; State Resilience Ranking table; participation across the three phases; treemap of where unemployment peaked.</w:t>
      </w:r>
    </w:p>
    <w:p w14:paraId="14D4B19E" w14:textId="77777777" w:rsidR="00C170DE" w:rsidRDefault="00C170DE"/>
    <w:p w14:paraId="4D880519" w14:textId="77777777" w:rsidR="00C170DE" w:rsidRDefault="00C170DE"/>
    <w:p w14:paraId="7618202C" w14:textId="77777777" w:rsidR="00C170DE" w:rsidRDefault="00C170DE">
      <w:r>
        <w:rPr>
          <w:noProof/>
        </w:rPr>
        <w:lastRenderedPageBreak/>
        <w:drawing>
          <wp:inline distT="0" distB="0" distL="0" distR="0" wp14:anchorId="70EA7EE4" wp14:editId="24EB9128">
            <wp:extent cx="5967730" cy="3154680"/>
            <wp:effectExtent l="0" t="0" r="0" b="7620"/>
            <wp:docPr id="19973481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48150" name="Picture 1997348150"/>
                    <pic:cNvPicPr/>
                  </pic:nvPicPr>
                  <pic:blipFill>
                    <a:blip r:embed="rId8">
                      <a:extLst>
                        <a:ext uri="{28A0092B-C50C-407E-A947-70E740481C1C}">
                          <a14:useLocalDpi xmlns:a14="http://schemas.microsoft.com/office/drawing/2010/main" val="0"/>
                        </a:ext>
                      </a:extLst>
                    </a:blip>
                    <a:stretch>
                      <a:fillRect/>
                    </a:stretch>
                  </pic:blipFill>
                  <pic:spPr>
                    <a:xfrm>
                      <a:off x="0" y="0"/>
                      <a:ext cx="5967730" cy="3154680"/>
                    </a:xfrm>
                    <a:prstGeom prst="rect">
                      <a:avLst/>
                    </a:prstGeom>
                  </pic:spPr>
                </pic:pic>
              </a:graphicData>
            </a:graphic>
          </wp:inline>
        </w:drawing>
      </w:r>
    </w:p>
    <w:p w14:paraId="4064F16E" w14:textId="77777777" w:rsidR="00C170DE" w:rsidRDefault="00C170DE"/>
    <w:p w14:paraId="7B8ED53C" w14:textId="77777777" w:rsidR="00C170DE" w:rsidRDefault="00C170DE" w:rsidP="00C170DE">
      <w:pPr>
        <w:spacing w:after="430" w:line="265" w:lineRule="auto"/>
        <w:jc w:val="center"/>
      </w:pPr>
      <w:r>
        <w:rPr>
          <w:i/>
          <w:color w:val="555555"/>
          <w:sz w:val="18"/>
        </w:rPr>
        <w:t>Page 2 – Labour Market Resilience</w:t>
      </w:r>
    </w:p>
    <w:p w14:paraId="1616EDBB" w14:textId="702FB2C7" w:rsidR="00C170DE" w:rsidRDefault="00C170DE">
      <w:pPr>
        <w:sectPr w:rsidR="00C170DE">
          <w:headerReference w:type="even" r:id="rId9"/>
          <w:headerReference w:type="default" r:id="rId10"/>
          <w:footerReference w:type="even" r:id="rId11"/>
          <w:footerReference w:type="default" r:id="rId12"/>
          <w:headerReference w:type="first" r:id="rId13"/>
          <w:footerReference w:type="first" r:id="rId14"/>
          <w:pgSz w:w="11906" w:h="16838"/>
          <w:pgMar w:top="1320" w:right="1254" w:bottom="1202" w:left="1254" w:header="720" w:footer="585" w:gutter="0"/>
          <w:cols w:space="720"/>
          <w:titlePg/>
        </w:sectPr>
      </w:pPr>
    </w:p>
    <w:p w14:paraId="25BFB364" w14:textId="77777777" w:rsidR="00364081" w:rsidRDefault="00000000" w:rsidP="00C170DE">
      <w:pPr>
        <w:spacing w:after="115" w:line="259" w:lineRule="auto"/>
        <w:ind w:left="0" w:firstLine="0"/>
        <w:jc w:val="left"/>
      </w:pPr>
      <w:r>
        <w:rPr>
          <w:b/>
          <w:color w:val="2B3AA0"/>
          <w:sz w:val="24"/>
        </w:rPr>
        <w:lastRenderedPageBreak/>
        <w:t>Calculated Columns &amp; DAX Measures:</w:t>
      </w:r>
    </w:p>
    <w:p w14:paraId="4651D620" w14:textId="77777777" w:rsidR="00364081" w:rsidRDefault="00000000">
      <w:r>
        <w:t>Developed DAX measures, stored in a dedicated Labour_Measures table over the Fact_Labour fact table, to calculate the headline averages, phase-wise values, shock and recovery measures, rankings and resilience categories.</w:t>
      </w:r>
    </w:p>
    <w:p w14:paraId="4C905873" w14:textId="77777777" w:rsidR="00364081" w:rsidRDefault="00000000">
      <w:pPr>
        <w:spacing w:after="0" w:line="259" w:lineRule="auto"/>
        <w:ind w:left="-5"/>
        <w:jc w:val="left"/>
      </w:pPr>
      <w:r>
        <w:rPr>
          <w:b/>
          <w:color w:val="2B3AA0"/>
          <w:sz w:val="22"/>
        </w:rPr>
        <w:t>List of DAX Measures Used:</w:t>
      </w:r>
    </w:p>
    <w:tbl>
      <w:tblPr>
        <w:tblStyle w:val="TableGrid"/>
        <w:tblW w:w="9751" w:type="dxa"/>
        <w:tblInd w:w="-177" w:type="dxa"/>
        <w:tblCellMar>
          <w:top w:w="120" w:type="dxa"/>
          <w:left w:w="120" w:type="dxa"/>
          <w:bottom w:w="0" w:type="dxa"/>
          <w:right w:w="115" w:type="dxa"/>
        </w:tblCellMar>
        <w:tblLook w:val="04A0" w:firstRow="1" w:lastRow="0" w:firstColumn="1" w:lastColumn="0" w:noHBand="0" w:noVBand="1"/>
      </w:tblPr>
      <w:tblGrid>
        <w:gridCol w:w="2948"/>
        <w:gridCol w:w="6803"/>
      </w:tblGrid>
      <w:tr w:rsidR="00364081" w14:paraId="4CF7171E" w14:textId="77777777">
        <w:trPr>
          <w:trHeight w:val="380"/>
        </w:trPr>
        <w:tc>
          <w:tcPr>
            <w:tcW w:w="2948" w:type="dxa"/>
            <w:tcBorders>
              <w:top w:val="single" w:sz="5" w:space="0" w:color="000000"/>
              <w:left w:val="single" w:sz="5" w:space="0" w:color="000000"/>
              <w:bottom w:val="single" w:sz="5" w:space="0" w:color="000000"/>
              <w:right w:val="single" w:sz="5" w:space="0" w:color="000000"/>
            </w:tcBorders>
            <w:shd w:val="clear" w:color="auto" w:fill="EDEFF8"/>
          </w:tcPr>
          <w:p w14:paraId="589E10E9" w14:textId="77777777" w:rsidR="00364081" w:rsidRDefault="00000000">
            <w:pPr>
              <w:spacing w:after="0" w:line="259" w:lineRule="auto"/>
              <w:ind w:left="0" w:right="5" w:firstLine="0"/>
              <w:jc w:val="center"/>
            </w:pPr>
            <w:r>
              <w:rPr>
                <w:b/>
                <w:sz w:val="20"/>
              </w:rPr>
              <w:t>Measure Name</w:t>
            </w:r>
          </w:p>
        </w:tc>
        <w:tc>
          <w:tcPr>
            <w:tcW w:w="6803" w:type="dxa"/>
            <w:tcBorders>
              <w:top w:val="single" w:sz="5" w:space="0" w:color="000000"/>
              <w:left w:val="single" w:sz="5" w:space="0" w:color="000000"/>
              <w:bottom w:val="single" w:sz="5" w:space="0" w:color="000000"/>
              <w:right w:val="single" w:sz="5" w:space="0" w:color="000000"/>
            </w:tcBorders>
            <w:shd w:val="clear" w:color="auto" w:fill="EDEFF8"/>
          </w:tcPr>
          <w:p w14:paraId="42FBB261" w14:textId="77777777" w:rsidR="00364081" w:rsidRDefault="00000000">
            <w:pPr>
              <w:spacing w:after="0" w:line="259" w:lineRule="auto"/>
              <w:ind w:left="0" w:right="5" w:firstLine="0"/>
              <w:jc w:val="center"/>
            </w:pPr>
            <w:r>
              <w:rPr>
                <w:b/>
                <w:sz w:val="20"/>
              </w:rPr>
              <w:t>Purpose</w:t>
            </w:r>
          </w:p>
        </w:tc>
      </w:tr>
      <w:tr w:rsidR="00364081" w14:paraId="4AA61829" w14:textId="77777777">
        <w:trPr>
          <w:trHeight w:val="370"/>
        </w:trPr>
        <w:tc>
          <w:tcPr>
            <w:tcW w:w="2948" w:type="dxa"/>
            <w:tcBorders>
              <w:top w:val="single" w:sz="5" w:space="0" w:color="000000"/>
              <w:left w:val="single" w:sz="5" w:space="0" w:color="000000"/>
              <w:bottom w:val="single" w:sz="5" w:space="0" w:color="000000"/>
              <w:right w:val="single" w:sz="5" w:space="0" w:color="000000"/>
            </w:tcBorders>
          </w:tcPr>
          <w:p w14:paraId="3E3EB89C" w14:textId="77777777" w:rsidR="00364081" w:rsidRDefault="00000000">
            <w:pPr>
              <w:spacing w:after="0" w:line="259" w:lineRule="auto"/>
              <w:ind w:left="0" w:right="5" w:firstLine="0"/>
              <w:jc w:val="center"/>
            </w:pPr>
            <w:r>
              <w:rPr>
                <w:sz w:val="19"/>
              </w:rPr>
              <w:t>Average_LFPR</w:t>
            </w:r>
          </w:p>
        </w:tc>
        <w:tc>
          <w:tcPr>
            <w:tcW w:w="6803" w:type="dxa"/>
            <w:tcBorders>
              <w:top w:val="single" w:sz="5" w:space="0" w:color="000000"/>
              <w:left w:val="single" w:sz="5" w:space="0" w:color="000000"/>
              <w:bottom w:val="single" w:sz="5" w:space="0" w:color="000000"/>
              <w:right w:val="single" w:sz="5" w:space="0" w:color="000000"/>
            </w:tcBorders>
          </w:tcPr>
          <w:p w14:paraId="073D02EE" w14:textId="77777777" w:rsidR="00364081" w:rsidRDefault="00000000">
            <w:pPr>
              <w:spacing w:after="0" w:line="259" w:lineRule="auto"/>
              <w:ind w:left="0" w:firstLine="0"/>
              <w:jc w:val="left"/>
            </w:pPr>
            <w:r>
              <w:rPr>
                <w:sz w:val="19"/>
              </w:rPr>
              <w:t>Calculates the average Labour Force Participation Rate</w:t>
            </w:r>
          </w:p>
        </w:tc>
      </w:tr>
      <w:tr w:rsidR="00364081" w14:paraId="12D423E6" w14:textId="77777777">
        <w:trPr>
          <w:trHeight w:val="370"/>
        </w:trPr>
        <w:tc>
          <w:tcPr>
            <w:tcW w:w="2948" w:type="dxa"/>
            <w:tcBorders>
              <w:top w:val="single" w:sz="5" w:space="0" w:color="000000"/>
              <w:left w:val="single" w:sz="5" w:space="0" w:color="000000"/>
              <w:bottom w:val="single" w:sz="5" w:space="0" w:color="000000"/>
              <w:right w:val="single" w:sz="5" w:space="0" w:color="000000"/>
            </w:tcBorders>
          </w:tcPr>
          <w:p w14:paraId="60F9C378" w14:textId="77777777" w:rsidR="00364081" w:rsidRDefault="00000000">
            <w:pPr>
              <w:spacing w:after="0" w:line="259" w:lineRule="auto"/>
              <w:ind w:left="0" w:right="5" w:firstLine="0"/>
              <w:jc w:val="center"/>
            </w:pPr>
            <w:r>
              <w:rPr>
                <w:sz w:val="19"/>
              </w:rPr>
              <w:t>Average_UR</w:t>
            </w:r>
          </w:p>
        </w:tc>
        <w:tc>
          <w:tcPr>
            <w:tcW w:w="6803" w:type="dxa"/>
            <w:tcBorders>
              <w:top w:val="single" w:sz="5" w:space="0" w:color="000000"/>
              <w:left w:val="single" w:sz="5" w:space="0" w:color="000000"/>
              <w:bottom w:val="single" w:sz="5" w:space="0" w:color="000000"/>
              <w:right w:val="single" w:sz="5" w:space="0" w:color="000000"/>
            </w:tcBorders>
          </w:tcPr>
          <w:p w14:paraId="68CCC5FB" w14:textId="77777777" w:rsidR="00364081" w:rsidRDefault="00000000">
            <w:pPr>
              <w:spacing w:after="0" w:line="259" w:lineRule="auto"/>
              <w:ind w:left="0" w:firstLine="0"/>
              <w:jc w:val="left"/>
            </w:pPr>
            <w:r>
              <w:rPr>
                <w:sz w:val="19"/>
              </w:rPr>
              <w:t>Calculates the average Unemployment Rate</w:t>
            </w:r>
          </w:p>
        </w:tc>
      </w:tr>
      <w:tr w:rsidR="00364081" w14:paraId="0A6C9F3A" w14:textId="77777777">
        <w:trPr>
          <w:trHeight w:val="370"/>
        </w:trPr>
        <w:tc>
          <w:tcPr>
            <w:tcW w:w="2948" w:type="dxa"/>
            <w:tcBorders>
              <w:top w:val="single" w:sz="5" w:space="0" w:color="000000"/>
              <w:left w:val="single" w:sz="5" w:space="0" w:color="000000"/>
              <w:bottom w:val="single" w:sz="5" w:space="0" w:color="000000"/>
              <w:right w:val="single" w:sz="5" w:space="0" w:color="000000"/>
            </w:tcBorders>
          </w:tcPr>
          <w:p w14:paraId="6F71EFBD" w14:textId="77777777" w:rsidR="00364081" w:rsidRDefault="00000000">
            <w:pPr>
              <w:spacing w:after="0" w:line="259" w:lineRule="auto"/>
              <w:ind w:left="0" w:right="5" w:firstLine="0"/>
              <w:jc w:val="center"/>
            </w:pPr>
            <w:r>
              <w:rPr>
                <w:sz w:val="19"/>
              </w:rPr>
              <w:t>Average_WPR</w:t>
            </w:r>
          </w:p>
        </w:tc>
        <w:tc>
          <w:tcPr>
            <w:tcW w:w="6803" w:type="dxa"/>
            <w:tcBorders>
              <w:top w:val="single" w:sz="5" w:space="0" w:color="000000"/>
              <w:left w:val="single" w:sz="5" w:space="0" w:color="000000"/>
              <w:bottom w:val="single" w:sz="5" w:space="0" w:color="000000"/>
              <w:right w:val="single" w:sz="5" w:space="0" w:color="000000"/>
            </w:tcBorders>
          </w:tcPr>
          <w:p w14:paraId="010726EA" w14:textId="77777777" w:rsidR="00364081" w:rsidRDefault="00000000">
            <w:pPr>
              <w:spacing w:after="0" w:line="259" w:lineRule="auto"/>
              <w:ind w:left="0" w:firstLine="0"/>
              <w:jc w:val="left"/>
            </w:pPr>
            <w:r>
              <w:rPr>
                <w:sz w:val="19"/>
              </w:rPr>
              <w:t>Calculates the average Worker Population Ratio</w:t>
            </w:r>
          </w:p>
        </w:tc>
      </w:tr>
      <w:tr w:rsidR="00364081" w14:paraId="1B5776A5" w14:textId="77777777">
        <w:trPr>
          <w:trHeight w:val="370"/>
        </w:trPr>
        <w:tc>
          <w:tcPr>
            <w:tcW w:w="2948" w:type="dxa"/>
            <w:tcBorders>
              <w:top w:val="single" w:sz="5" w:space="0" w:color="000000"/>
              <w:left w:val="single" w:sz="5" w:space="0" w:color="000000"/>
              <w:bottom w:val="single" w:sz="5" w:space="0" w:color="000000"/>
              <w:right w:val="single" w:sz="5" w:space="0" w:color="000000"/>
            </w:tcBorders>
          </w:tcPr>
          <w:p w14:paraId="04251ABD" w14:textId="77777777" w:rsidR="00364081" w:rsidRDefault="00000000">
            <w:pPr>
              <w:spacing w:after="0" w:line="259" w:lineRule="auto"/>
              <w:ind w:left="0" w:right="5" w:firstLine="0"/>
              <w:jc w:val="center"/>
            </w:pPr>
            <w:r>
              <w:rPr>
                <w:sz w:val="19"/>
              </w:rPr>
              <w:t>Average_Agriculture</w:t>
            </w:r>
          </w:p>
        </w:tc>
        <w:tc>
          <w:tcPr>
            <w:tcW w:w="6803" w:type="dxa"/>
            <w:tcBorders>
              <w:top w:val="single" w:sz="5" w:space="0" w:color="000000"/>
              <w:left w:val="single" w:sz="5" w:space="0" w:color="000000"/>
              <w:bottom w:val="single" w:sz="5" w:space="0" w:color="000000"/>
              <w:right w:val="single" w:sz="5" w:space="0" w:color="000000"/>
            </w:tcBorders>
          </w:tcPr>
          <w:p w14:paraId="1E7F7926" w14:textId="77777777" w:rsidR="00364081" w:rsidRDefault="00000000">
            <w:pPr>
              <w:spacing w:after="0" w:line="259" w:lineRule="auto"/>
              <w:ind w:left="0" w:firstLine="0"/>
              <w:jc w:val="left"/>
            </w:pPr>
            <w:r>
              <w:rPr>
                <w:sz w:val="19"/>
              </w:rPr>
              <w:t>Calculates the average share of employment in agriculture</w:t>
            </w:r>
          </w:p>
        </w:tc>
      </w:tr>
      <w:tr w:rsidR="00364081" w14:paraId="0716D3C2" w14:textId="77777777">
        <w:trPr>
          <w:trHeight w:val="620"/>
        </w:trPr>
        <w:tc>
          <w:tcPr>
            <w:tcW w:w="2948" w:type="dxa"/>
            <w:tcBorders>
              <w:top w:val="single" w:sz="5" w:space="0" w:color="000000"/>
              <w:left w:val="single" w:sz="5" w:space="0" w:color="000000"/>
              <w:bottom w:val="single" w:sz="5" w:space="0" w:color="000000"/>
              <w:right w:val="single" w:sz="5" w:space="0" w:color="000000"/>
            </w:tcBorders>
          </w:tcPr>
          <w:p w14:paraId="056F4CE2" w14:textId="77777777" w:rsidR="00364081" w:rsidRDefault="00000000">
            <w:pPr>
              <w:spacing w:after="0" w:line="259" w:lineRule="auto"/>
              <w:ind w:left="0" w:firstLine="0"/>
              <w:jc w:val="center"/>
            </w:pPr>
            <w:r>
              <w:rPr>
                <w:sz w:val="19"/>
              </w:rPr>
              <w:t>PreCOVID_UR / PreCOVID_LFPR</w:t>
            </w:r>
          </w:p>
        </w:tc>
        <w:tc>
          <w:tcPr>
            <w:tcW w:w="6803" w:type="dxa"/>
            <w:tcBorders>
              <w:top w:val="single" w:sz="5" w:space="0" w:color="000000"/>
              <w:left w:val="single" w:sz="5" w:space="0" w:color="000000"/>
              <w:bottom w:val="single" w:sz="5" w:space="0" w:color="000000"/>
              <w:right w:val="single" w:sz="5" w:space="0" w:color="000000"/>
            </w:tcBorders>
            <w:vAlign w:val="center"/>
          </w:tcPr>
          <w:p w14:paraId="19E52706" w14:textId="77777777" w:rsidR="00364081" w:rsidRDefault="00000000">
            <w:pPr>
              <w:spacing w:after="0" w:line="259" w:lineRule="auto"/>
              <w:ind w:left="0" w:firstLine="0"/>
              <w:jc w:val="left"/>
            </w:pPr>
            <w:r>
              <w:rPr>
                <w:sz w:val="19"/>
              </w:rPr>
              <w:t>Average unemployment rate / participation rate in the pre-COVID phase (2019)</w:t>
            </w:r>
          </w:p>
        </w:tc>
      </w:tr>
      <w:tr w:rsidR="00364081" w14:paraId="124B73BE" w14:textId="77777777">
        <w:trPr>
          <w:trHeight w:val="370"/>
        </w:trPr>
        <w:tc>
          <w:tcPr>
            <w:tcW w:w="2948" w:type="dxa"/>
            <w:tcBorders>
              <w:top w:val="single" w:sz="5" w:space="0" w:color="000000"/>
              <w:left w:val="single" w:sz="5" w:space="0" w:color="000000"/>
              <w:bottom w:val="single" w:sz="5" w:space="0" w:color="000000"/>
              <w:right w:val="single" w:sz="5" w:space="0" w:color="000000"/>
            </w:tcBorders>
          </w:tcPr>
          <w:p w14:paraId="11C668A6" w14:textId="77777777" w:rsidR="00364081" w:rsidRDefault="00000000">
            <w:pPr>
              <w:spacing w:after="0" w:line="259" w:lineRule="auto"/>
              <w:ind w:left="0" w:right="5" w:firstLine="0"/>
              <w:jc w:val="center"/>
            </w:pPr>
            <w:r>
              <w:rPr>
                <w:sz w:val="19"/>
              </w:rPr>
              <w:t>Pandemic_UR / Pandemic_LFPR</w:t>
            </w:r>
          </w:p>
        </w:tc>
        <w:tc>
          <w:tcPr>
            <w:tcW w:w="6803" w:type="dxa"/>
            <w:tcBorders>
              <w:top w:val="single" w:sz="5" w:space="0" w:color="000000"/>
              <w:left w:val="single" w:sz="5" w:space="0" w:color="000000"/>
              <w:bottom w:val="single" w:sz="5" w:space="0" w:color="000000"/>
              <w:right w:val="single" w:sz="5" w:space="0" w:color="000000"/>
            </w:tcBorders>
          </w:tcPr>
          <w:p w14:paraId="03A955C1" w14:textId="77777777" w:rsidR="00364081" w:rsidRDefault="00000000">
            <w:pPr>
              <w:spacing w:after="0" w:line="259" w:lineRule="auto"/>
              <w:ind w:left="0" w:firstLine="0"/>
              <w:jc w:val="left"/>
            </w:pPr>
            <w:r>
              <w:rPr>
                <w:sz w:val="19"/>
              </w:rPr>
              <w:t>Average unemployment rate / participation rate in the pandemic phase (2020)</w:t>
            </w:r>
          </w:p>
        </w:tc>
      </w:tr>
      <w:tr w:rsidR="00364081" w14:paraId="48F1FBD0" w14:textId="77777777">
        <w:trPr>
          <w:trHeight w:val="370"/>
        </w:trPr>
        <w:tc>
          <w:tcPr>
            <w:tcW w:w="2948" w:type="dxa"/>
            <w:tcBorders>
              <w:top w:val="single" w:sz="5" w:space="0" w:color="000000"/>
              <w:left w:val="single" w:sz="5" w:space="0" w:color="000000"/>
              <w:bottom w:val="single" w:sz="5" w:space="0" w:color="000000"/>
              <w:right w:val="single" w:sz="5" w:space="0" w:color="000000"/>
            </w:tcBorders>
          </w:tcPr>
          <w:p w14:paraId="73A3F8B4" w14:textId="77777777" w:rsidR="00364081" w:rsidRDefault="00000000">
            <w:pPr>
              <w:spacing w:after="0" w:line="259" w:lineRule="auto"/>
              <w:ind w:left="0" w:right="5" w:firstLine="0"/>
              <w:jc w:val="center"/>
            </w:pPr>
            <w:r>
              <w:rPr>
                <w:sz w:val="19"/>
              </w:rPr>
              <w:t>Recovery UR / Recovery_LFPR</w:t>
            </w:r>
          </w:p>
        </w:tc>
        <w:tc>
          <w:tcPr>
            <w:tcW w:w="6803" w:type="dxa"/>
            <w:tcBorders>
              <w:top w:val="single" w:sz="5" w:space="0" w:color="000000"/>
              <w:left w:val="single" w:sz="5" w:space="0" w:color="000000"/>
              <w:bottom w:val="single" w:sz="5" w:space="0" w:color="000000"/>
              <w:right w:val="single" w:sz="5" w:space="0" w:color="000000"/>
            </w:tcBorders>
          </w:tcPr>
          <w:p w14:paraId="74890E2E" w14:textId="77777777" w:rsidR="00364081" w:rsidRDefault="00000000">
            <w:pPr>
              <w:spacing w:after="0" w:line="259" w:lineRule="auto"/>
              <w:ind w:left="0" w:firstLine="0"/>
              <w:jc w:val="left"/>
            </w:pPr>
            <w:r>
              <w:rPr>
                <w:sz w:val="19"/>
              </w:rPr>
              <w:t>Average unemployment rate / participation rate in the recovery phase (2022)</w:t>
            </w:r>
          </w:p>
        </w:tc>
      </w:tr>
      <w:tr w:rsidR="00364081" w14:paraId="1EECB65F" w14:textId="77777777">
        <w:trPr>
          <w:trHeight w:val="620"/>
        </w:trPr>
        <w:tc>
          <w:tcPr>
            <w:tcW w:w="2948" w:type="dxa"/>
            <w:tcBorders>
              <w:top w:val="single" w:sz="5" w:space="0" w:color="000000"/>
              <w:left w:val="single" w:sz="5" w:space="0" w:color="000000"/>
              <w:bottom w:val="single" w:sz="5" w:space="0" w:color="000000"/>
              <w:right w:val="single" w:sz="5" w:space="0" w:color="000000"/>
            </w:tcBorders>
            <w:vAlign w:val="center"/>
          </w:tcPr>
          <w:p w14:paraId="06563335" w14:textId="77777777" w:rsidR="00364081" w:rsidRDefault="00000000">
            <w:pPr>
              <w:spacing w:after="0" w:line="259" w:lineRule="auto"/>
              <w:ind w:left="0" w:right="5" w:firstLine="0"/>
              <w:jc w:val="center"/>
            </w:pPr>
            <w:r>
              <w:rPr>
                <w:sz w:val="19"/>
              </w:rPr>
              <w:t>UR Rise</w:t>
            </w:r>
          </w:p>
        </w:tc>
        <w:tc>
          <w:tcPr>
            <w:tcW w:w="6803" w:type="dxa"/>
            <w:tcBorders>
              <w:top w:val="single" w:sz="5" w:space="0" w:color="000000"/>
              <w:left w:val="single" w:sz="5" w:space="0" w:color="000000"/>
              <w:bottom w:val="single" w:sz="5" w:space="0" w:color="000000"/>
              <w:right w:val="single" w:sz="5" w:space="0" w:color="000000"/>
            </w:tcBorders>
          </w:tcPr>
          <w:p w14:paraId="33F72729" w14:textId="77777777" w:rsidR="00364081" w:rsidRDefault="00000000">
            <w:pPr>
              <w:spacing w:after="12" w:line="259" w:lineRule="auto"/>
              <w:ind w:left="0" w:firstLine="0"/>
              <w:jc w:val="left"/>
            </w:pPr>
            <w:r>
              <w:rPr>
                <w:sz w:val="19"/>
              </w:rPr>
              <w:t>Increase in unemployment from pre-COVID to the pandemic (Pandemic_UR minus</w:t>
            </w:r>
          </w:p>
          <w:p w14:paraId="2BA61E7F" w14:textId="77777777" w:rsidR="00364081" w:rsidRDefault="00000000">
            <w:pPr>
              <w:spacing w:after="0" w:line="259" w:lineRule="auto"/>
              <w:ind w:left="0" w:firstLine="0"/>
              <w:jc w:val="left"/>
            </w:pPr>
            <w:r>
              <w:rPr>
                <w:sz w:val="19"/>
              </w:rPr>
              <w:t>PreCOVID_UR)</w:t>
            </w:r>
          </w:p>
        </w:tc>
      </w:tr>
      <w:tr w:rsidR="00364081" w14:paraId="7108D3FB" w14:textId="77777777">
        <w:trPr>
          <w:trHeight w:val="620"/>
        </w:trPr>
        <w:tc>
          <w:tcPr>
            <w:tcW w:w="2948" w:type="dxa"/>
            <w:tcBorders>
              <w:top w:val="single" w:sz="5" w:space="0" w:color="000000"/>
              <w:left w:val="single" w:sz="5" w:space="0" w:color="000000"/>
              <w:bottom w:val="single" w:sz="5" w:space="0" w:color="000000"/>
              <w:right w:val="single" w:sz="5" w:space="0" w:color="000000"/>
            </w:tcBorders>
            <w:vAlign w:val="center"/>
          </w:tcPr>
          <w:p w14:paraId="7A1D11E1" w14:textId="77777777" w:rsidR="00364081" w:rsidRDefault="00000000">
            <w:pPr>
              <w:spacing w:after="0" w:line="259" w:lineRule="auto"/>
              <w:ind w:left="0" w:right="5" w:firstLine="0"/>
              <w:jc w:val="center"/>
            </w:pPr>
            <w:r>
              <w:rPr>
                <w:sz w:val="19"/>
              </w:rPr>
              <w:t>UR Recovery</w:t>
            </w:r>
          </w:p>
        </w:tc>
        <w:tc>
          <w:tcPr>
            <w:tcW w:w="6803" w:type="dxa"/>
            <w:tcBorders>
              <w:top w:val="single" w:sz="5" w:space="0" w:color="000000"/>
              <w:left w:val="single" w:sz="5" w:space="0" w:color="000000"/>
              <w:bottom w:val="single" w:sz="5" w:space="0" w:color="000000"/>
              <w:right w:val="single" w:sz="5" w:space="0" w:color="000000"/>
            </w:tcBorders>
          </w:tcPr>
          <w:p w14:paraId="4843EDDB" w14:textId="77777777" w:rsidR="00364081" w:rsidRDefault="00000000">
            <w:pPr>
              <w:spacing w:after="0" w:line="259" w:lineRule="auto"/>
              <w:ind w:left="0" w:firstLine="0"/>
              <w:jc w:val="left"/>
            </w:pPr>
            <w:r>
              <w:rPr>
                <w:sz w:val="19"/>
              </w:rPr>
              <w:t>Fall in unemployment from the pandemic peak to the recovery phase (Pandemic_UR minus Recovery UR)</w:t>
            </w:r>
          </w:p>
        </w:tc>
      </w:tr>
      <w:tr w:rsidR="00364081" w14:paraId="3AE1AB96" w14:textId="77777777">
        <w:trPr>
          <w:trHeight w:val="620"/>
        </w:trPr>
        <w:tc>
          <w:tcPr>
            <w:tcW w:w="2948" w:type="dxa"/>
            <w:tcBorders>
              <w:top w:val="single" w:sz="5" w:space="0" w:color="000000"/>
              <w:left w:val="single" w:sz="5" w:space="0" w:color="000000"/>
              <w:bottom w:val="single" w:sz="5" w:space="0" w:color="000000"/>
              <w:right w:val="single" w:sz="5" w:space="0" w:color="000000"/>
            </w:tcBorders>
            <w:vAlign w:val="center"/>
          </w:tcPr>
          <w:p w14:paraId="7AB933D3" w14:textId="77777777" w:rsidR="00364081" w:rsidRDefault="00000000">
            <w:pPr>
              <w:spacing w:after="0" w:line="259" w:lineRule="auto"/>
              <w:ind w:left="0" w:right="5" w:firstLine="0"/>
              <w:jc w:val="center"/>
            </w:pPr>
            <w:r>
              <w:rPr>
                <w:sz w:val="19"/>
              </w:rPr>
              <w:t>UR Gap</w:t>
            </w:r>
          </w:p>
        </w:tc>
        <w:tc>
          <w:tcPr>
            <w:tcW w:w="6803" w:type="dxa"/>
            <w:tcBorders>
              <w:top w:val="single" w:sz="5" w:space="0" w:color="000000"/>
              <w:left w:val="single" w:sz="5" w:space="0" w:color="000000"/>
              <w:bottom w:val="single" w:sz="5" w:space="0" w:color="000000"/>
              <w:right w:val="single" w:sz="5" w:space="0" w:color="000000"/>
            </w:tcBorders>
          </w:tcPr>
          <w:p w14:paraId="2E06185E" w14:textId="77777777" w:rsidR="00364081" w:rsidRDefault="00000000">
            <w:pPr>
              <w:spacing w:after="0" w:line="259" w:lineRule="auto"/>
              <w:ind w:left="0" w:firstLine="0"/>
              <w:jc w:val="left"/>
            </w:pPr>
            <w:r>
              <w:rPr>
                <w:sz w:val="19"/>
              </w:rPr>
              <w:t>Recovery-phase unemployment minus pre-COVID unemployment; positive means still above the pre-COVID level</w:t>
            </w:r>
          </w:p>
        </w:tc>
      </w:tr>
      <w:tr w:rsidR="00364081" w14:paraId="37A9355A" w14:textId="77777777">
        <w:trPr>
          <w:trHeight w:val="370"/>
        </w:trPr>
        <w:tc>
          <w:tcPr>
            <w:tcW w:w="2948" w:type="dxa"/>
            <w:tcBorders>
              <w:top w:val="single" w:sz="5" w:space="0" w:color="000000"/>
              <w:left w:val="single" w:sz="5" w:space="0" w:color="000000"/>
              <w:bottom w:val="single" w:sz="5" w:space="0" w:color="000000"/>
              <w:right w:val="single" w:sz="5" w:space="0" w:color="000000"/>
            </w:tcBorders>
          </w:tcPr>
          <w:p w14:paraId="7E80605F" w14:textId="77777777" w:rsidR="00364081" w:rsidRDefault="00000000">
            <w:pPr>
              <w:spacing w:after="0" w:line="259" w:lineRule="auto"/>
              <w:ind w:left="0" w:right="5" w:firstLine="0"/>
              <w:jc w:val="center"/>
            </w:pPr>
            <w:r>
              <w:rPr>
                <w:sz w:val="19"/>
              </w:rPr>
              <w:t>Shock Rank</w:t>
            </w:r>
          </w:p>
        </w:tc>
        <w:tc>
          <w:tcPr>
            <w:tcW w:w="6803" w:type="dxa"/>
            <w:tcBorders>
              <w:top w:val="single" w:sz="5" w:space="0" w:color="000000"/>
              <w:left w:val="single" w:sz="5" w:space="0" w:color="000000"/>
              <w:bottom w:val="single" w:sz="5" w:space="0" w:color="000000"/>
              <w:right w:val="single" w:sz="5" w:space="0" w:color="000000"/>
            </w:tcBorders>
          </w:tcPr>
          <w:p w14:paraId="1DFE1646" w14:textId="77777777" w:rsidR="00364081" w:rsidRDefault="00000000">
            <w:pPr>
              <w:spacing w:after="0" w:line="259" w:lineRule="auto"/>
              <w:ind w:left="0" w:firstLine="0"/>
              <w:jc w:val="left"/>
            </w:pPr>
            <w:r>
              <w:rPr>
                <w:sz w:val="19"/>
              </w:rPr>
              <w:t>Ranks states by UR Rise, highest rise = rank 1</w:t>
            </w:r>
          </w:p>
        </w:tc>
      </w:tr>
      <w:tr w:rsidR="00364081" w14:paraId="3DFB57A5" w14:textId="77777777">
        <w:trPr>
          <w:trHeight w:val="370"/>
        </w:trPr>
        <w:tc>
          <w:tcPr>
            <w:tcW w:w="2948" w:type="dxa"/>
            <w:tcBorders>
              <w:top w:val="single" w:sz="5" w:space="0" w:color="000000"/>
              <w:left w:val="single" w:sz="5" w:space="0" w:color="000000"/>
              <w:bottom w:val="single" w:sz="5" w:space="0" w:color="000000"/>
              <w:right w:val="single" w:sz="5" w:space="0" w:color="000000"/>
            </w:tcBorders>
          </w:tcPr>
          <w:p w14:paraId="717080D4" w14:textId="77777777" w:rsidR="00364081" w:rsidRDefault="00000000">
            <w:pPr>
              <w:spacing w:after="0" w:line="259" w:lineRule="auto"/>
              <w:ind w:left="0" w:right="5" w:firstLine="0"/>
              <w:jc w:val="center"/>
            </w:pPr>
            <w:r>
              <w:rPr>
                <w:sz w:val="19"/>
              </w:rPr>
              <w:t>Recovery Rank</w:t>
            </w:r>
          </w:p>
        </w:tc>
        <w:tc>
          <w:tcPr>
            <w:tcW w:w="6803" w:type="dxa"/>
            <w:tcBorders>
              <w:top w:val="single" w:sz="5" w:space="0" w:color="000000"/>
              <w:left w:val="single" w:sz="5" w:space="0" w:color="000000"/>
              <w:bottom w:val="single" w:sz="5" w:space="0" w:color="000000"/>
              <w:right w:val="single" w:sz="5" w:space="0" w:color="000000"/>
            </w:tcBorders>
          </w:tcPr>
          <w:p w14:paraId="040B3BA2" w14:textId="77777777" w:rsidR="00364081" w:rsidRDefault="00000000">
            <w:pPr>
              <w:spacing w:after="0" w:line="259" w:lineRule="auto"/>
              <w:ind w:left="0" w:firstLine="0"/>
              <w:jc w:val="left"/>
            </w:pPr>
            <w:r>
              <w:rPr>
                <w:sz w:val="19"/>
              </w:rPr>
              <w:t>Ranks states by UR Recovery, largest recovery = rank 1</w:t>
            </w:r>
          </w:p>
        </w:tc>
      </w:tr>
      <w:tr w:rsidR="00364081" w14:paraId="2C41FA77" w14:textId="77777777">
        <w:trPr>
          <w:trHeight w:val="370"/>
        </w:trPr>
        <w:tc>
          <w:tcPr>
            <w:tcW w:w="2948" w:type="dxa"/>
            <w:tcBorders>
              <w:top w:val="single" w:sz="5" w:space="0" w:color="000000"/>
              <w:left w:val="single" w:sz="5" w:space="0" w:color="000000"/>
              <w:bottom w:val="single" w:sz="5" w:space="0" w:color="000000"/>
              <w:right w:val="single" w:sz="5" w:space="0" w:color="000000"/>
            </w:tcBorders>
          </w:tcPr>
          <w:p w14:paraId="6E5E2BB5" w14:textId="77777777" w:rsidR="00364081" w:rsidRDefault="00000000">
            <w:pPr>
              <w:spacing w:after="0" w:line="259" w:lineRule="auto"/>
              <w:ind w:left="0" w:right="5" w:firstLine="0"/>
              <w:jc w:val="center"/>
            </w:pPr>
            <w:r>
              <w:rPr>
                <w:sz w:val="19"/>
              </w:rPr>
              <w:t>Recovery Ratio</w:t>
            </w:r>
          </w:p>
        </w:tc>
        <w:tc>
          <w:tcPr>
            <w:tcW w:w="6803" w:type="dxa"/>
            <w:tcBorders>
              <w:top w:val="single" w:sz="5" w:space="0" w:color="000000"/>
              <w:left w:val="single" w:sz="5" w:space="0" w:color="000000"/>
              <w:bottom w:val="single" w:sz="5" w:space="0" w:color="000000"/>
              <w:right w:val="single" w:sz="5" w:space="0" w:color="000000"/>
            </w:tcBorders>
          </w:tcPr>
          <w:p w14:paraId="2DBFA5A2" w14:textId="77777777" w:rsidR="00364081" w:rsidRDefault="00000000">
            <w:pPr>
              <w:spacing w:after="0" w:line="259" w:lineRule="auto"/>
              <w:ind w:left="0" w:firstLine="0"/>
              <w:jc w:val="left"/>
            </w:pPr>
            <w:r>
              <w:rPr>
                <w:sz w:val="19"/>
              </w:rPr>
              <w:t>UR Recovery divided by UR Rise; the share of the pandemic rise that was reversed</w:t>
            </w:r>
          </w:p>
        </w:tc>
      </w:tr>
      <w:tr w:rsidR="00364081" w14:paraId="77410AC1" w14:textId="77777777">
        <w:trPr>
          <w:trHeight w:val="620"/>
        </w:trPr>
        <w:tc>
          <w:tcPr>
            <w:tcW w:w="2948" w:type="dxa"/>
            <w:tcBorders>
              <w:top w:val="single" w:sz="5" w:space="0" w:color="000000"/>
              <w:left w:val="single" w:sz="5" w:space="0" w:color="000000"/>
              <w:bottom w:val="single" w:sz="5" w:space="0" w:color="000000"/>
              <w:right w:val="single" w:sz="5" w:space="0" w:color="000000"/>
            </w:tcBorders>
            <w:vAlign w:val="center"/>
          </w:tcPr>
          <w:p w14:paraId="7A326D0F" w14:textId="77777777" w:rsidR="00364081" w:rsidRDefault="00000000">
            <w:pPr>
              <w:spacing w:after="0" w:line="259" w:lineRule="auto"/>
              <w:ind w:left="0" w:right="5" w:firstLine="0"/>
              <w:jc w:val="center"/>
            </w:pPr>
            <w:r>
              <w:rPr>
                <w:sz w:val="19"/>
              </w:rPr>
              <w:t>Status</w:t>
            </w:r>
          </w:p>
        </w:tc>
        <w:tc>
          <w:tcPr>
            <w:tcW w:w="6803" w:type="dxa"/>
            <w:tcBorders>
              <w:top w:val="single" w:sz="5" w:space="0" w:color="000000"/>
              <w:left w:val="single" w:sz="5" w:space="0" w:color="000000"/>
              <w:bottom w:val="single" w:sz="5" w:space="0" w:color="000000"/>
              <w:right w:val="single" w:sz="5" w:space="0" w:color="000000"/>
            </w:tcBorders>
          </w:tcPr>
          <w:p w14:paraId="7B8EE3BD" w14:textId="77777777" w:rsidR="00364081" w:rsidRDefault="00000000">
            <w:pPr>
              <w:spacing w:after="12" w:line="259" w:lineRule="auto"/>
              <w:ind w:left="0" w:firstLine="0"/>
              <w:jc w:val="left"/>
            </w:pPr>
            <w:r>
              <w:rPr>
                <w:sz w:val="19"/>
              </w:rPr>
              <w:t>Labels a state Recovered if Recovery UR is at or below PreCOVID_UR, otherwise</w:t>
            </w:r>
          </w:p>
          <w:p w14:paraId="33C3BD47" w14:textId="77777777" w:rsidR="00364081" w:rsidRDefault="00000000">
            <w:pPr>
              <w:spacing w:after="0" w:line="259" w:lineRule="auto"/>
              <w:ind w:left="0" w:firstLine="0"/>
              <w:jc w:val="left"/>
            </w:pPr>
            <w:r>
              <w:rPr>
                <w:sz w:val="19"/>
              </w:rPr>
              <w:t>Not yet recovered</w:t>
            </w:r>
          </w:p>
        </w:tc>
      </w:tr>
      <w:tr w:rsidR="00364081" w14:paraId="4323E578" w14:textId="77777777">
        <w:trPr>
          <w:trHeight w:val="620"/>
        </w:trPr>
        <w:tc>
          <w:tcPr>
            <w:tcW w:w="2948" w:type="dxa"/>
            <w:tcBorders>
              <w:top w:val="single" w:sz="5" w:space="0" w:color="000000"/>
              <w:left w:val="single" w:sz="5" w:space="0" w:color="000000"/>
              <w:bottom w:val="single" w:sz="5" w:space="0" w:color="000000"/>
              <w:right w:val="single" w:sz="5" w:space="0" w:color="000000"/>
            </w:tcBorders>
            <w:vAlign w:val="center"/>
          </w:tcPr>
          <w:p w14:paraId="154696A3" w14:textId="77777777" w:rsidR="00364081" w:rsidRDefault="00000000">
            <w:pPr>
              <w:spacing w:after="0" w:line="259" w:lineRule="auto"/>
              <w:ind w:left="0" w:right="5" w:firstLine="0"/>
              <w:jc w:val="center"/>
            </w:pPr>
            <w:r>
              <w:rPr>
                <w:sz w:val="19"/>
              </w:rPr>
              <w:t>Recovery Level</w:t>
            </w:r>
          </w:p>
        </w:tc>
        <w:tc>
          <w:tcPr>
            <w:tcW w:w="6803" w:type="dxa"/>
            <w:tcBorders>
              <w:top w:val="single" w:sz="5" w:space="0" w:color="000000"/>
              <w:left w:val="single" w:sz="5" w:space="0" w:color="000000"/>
              <w:bottom w:val="single" w:sz="5" w:space="0" w:color="000000"/>
              <w:right w:val="single" w:sz="5" w:space="0" w:color="000000"/>
            </w:tcBorders>
          </w:tcPr>
          <w:p w14:paraId="500D9CE4" w14:textId="77777777" w:rsidR="00364081" w:rsidRDefault="00000000">
            <w:pPr>
              <w:spacing w:after="12" w:line="259" w:lineRule="auto"/>
              <w:ind w:left="0" w:firstLine="0"/>
              <w:jc w:val="left"/>
            </w:pPr>
            <w:r>
              <w:rPr>
                <w:sz w:val="19"/>
              </w:rPr>
              <w:t>Rule-based category from Recovery Ratio: Recovered (1 or more), Partially recovered</w:t>
            </w:r>
          </w:p>
          <w:p w14:paraId="3548C114" w14:textId="77777777" w:rsidR="00364081" w:rsidRDefault="00000000">
            <w:pPr>
              <w:spacing w:after="0" w:line="259" w:lineRule="auto"/>
              <w:ind w:left="0" w:firstLine="0"/>
              <w:jc w:val="left"/>
            </w:pPr>
            <w:r>
              <w:rPr>
                <w:sz w:val="19"/>
              </w:rPr>
              <w:t>(0.5 to below 1), Slowly recovered (above 0 to below 0.5), Not recovered (0 or below)</w:t>
            </w:r>
          </w:p>
        </w:tc>
      </w:tr>
    </w:tbl>
    <w:p w14:paraId="23F557BA" w14:textId="77777777" w:rsidR="000415C3" w:rsidRDefault="000415C3">
      <w:pPr>
        <w:spacing w:after="94" w:line="259" w:lineRule="auto"/>
        <w:ind w:left="-5"/>
        <w:jc w:val="left"/>
        <w:rPr>
          <w:b/>
          <w:color w:val="2B3AA0"/>
          <w:sz w:val="22"/>
        </w:rPr>
      </w:pPr>
    </w:p>
    <w:p w14:paraId="461E0126" w14:textId="77777777" w:rsidR="000415C3" w:rsidRDefault="000415C3">
      <w:pPr>
        <w:spacing w:after="94" w:line="259" w:lineRule="auto"/>
        <w:ind w:left="-5"/>
        <w:jc w:val="left"/>
        <w:rPr>
          <w:b/>
          <w:color w:val="2B3AA0"/>
          <w:sz w:val="22"/>
        </w:rPr>
      </w:pPr>
    </w:p>
    <w:p w14:paraId="26903F71" w14:textId="77777777" w:rsidR="000415C3" w:rsidRDefault="000415C3">
      <w:pPr>
        <w:spacing w:after="94" w:line="259" w:lineRule="auto"/>
        <w:ind w:left="-5"/>
        <w:jc w:val="left"/>
        <w:rPr>
          <w:b/>
          <w:color w:val="2B3AA0"/>
          <w:sz w:val="22"/>
        </w:rPr>
      </w:pPr>
    </w:p>
    <w:p w14:paraId="53271831" w14:textId="081EF456" w:rsidR="00364081" w:rsidRDefault="00000000">
      <w:pPr>
        <w:spacing w:after="94" w:line="259" w:lineRule="auto"/>
        <w:ind w:left="-5"/>
        <w:jc w:val="left"/>
      </w:pPr>
      <w:r>
        <w:rPr>
          <w:b/>
          <w:color w:val="2B3AA0"/>
          <w:sz w:val="22"/>
        </w:rPr>
        <w:t>Supporting Elements:</w:t>
      </w:r>
    </w:p>
    <w:p w14:paraId="23088E75" w14:textId="77777777" w:rsidR="000415C3" w:rsidRPr="000415C3" w:rsidRDefault="000415C3" w:rsidP="000415C3">
      <w:pPr>
        <w:ind w:left="345" w:firstLine="0"/>
      </w:pPr>
    </w:p>
    <w:p w14:paraId="1DD7E359" w14:textId="06DE8E5F" w:rsidR="00364081" w:rsidRDefault="00000000">
      <w:pPr>
        <w:numPr>
          <w:ilvl w:val="0"/>
          <w:numId w:val="7"/>
        </w:numPr>
        <w:ind w:hanging="240"/>
      </w:pPr>
      <w:r>
        <w:rPr>
          <w:b/>
        </w:rPr>
        <w:t>Labour_Measures table</w:t>
      </w:r>
      <w:r>
        <w:t xml:space="preserve"> – A dedicated table that holds all measures, kept separate from the data table.</w:t>
      </w:r>
    </w:p>
    <w:p w14:paraId="7E39951C" w14:textId="77777777" w:rsidR="00364081" w:rsidRDefault="00000000">
      <w:pPr>
        <w:numPr>
          <w:ilvl w:val="0"/>
          <w:numId w:val="7"/>
        </w:numPr>
        <w:ind w:hanging="240"/>
      </w:pPr>
      <w:r>
        <w:rPr>
          <w:b/>
        </w:rPr>
        <w:t>Fact_Labour</w:t>
      </w:r>
      <w:r>
        <w:t xml:space="preserve"> – The fact table loaded from the cleaned CSV.</w:t>
      </w:r>
    </w:p>
    <w:p w14:paraId="021A53D4" w14:textId="77777777" w:rsidR="00364081" w:rsidRDefault="00000000">
      <w:pPr>
        <w:numPr>
          <w:ilvl w:val="0"/>
          <w:numId w:val="7"/>
        </w:numPr>
        <w:ind w:hanging="240"/>
      </w:pPr>
      <w:r>
        <w:rPr>
          <w:b/>
        </w:rPr>
        <w:lastRenderedPageBreak/>
        <w:t>Phase column</w:t>
      </w:r>
      <w:r>
        <w:t xml:space="preserve"> – Used to separate pre-COVID, pandemic and recovery values in the phase-wise measures.</w:t>
      </w:r>
    </w:p>
    <w:p w14:paraId="470E9AD9" w14:textId="77777777" w:rsidR="00364081" w:rsidRDefault="00000000">
      <w:pPr>
        <w:numPr>
          <w:ilvl w:val="0"/>
          <w:numId w:val="7"/>
        </w:numPr>
        <w:spacing w:after="1"/>
        <w:ind w:hanging="240"/>
      </w:pPr>
      <w:r>
        <w:rPr>
          <w:b/>
        </w:rPr>
        <w:t>Conditional formatting</w:t>
      </w:r>
      <w:r>
        <w:t xml:space="preserve"> – Data bars on UR Rise and UR Recovery, colour scales on the rank columns, red/green font on UR Gap and rule-based colours on Recovery Level.</w:t>
      </w:r>
    </w:p>
    <w:p w14:paraId="16573E78" w14:textId="77777777" w:rsidR="00364081" w:rsidRDefault="00000000">
      <w:pPr>
        <w:spacing w:after="236" w:line="259" w:lineRule="auto"/>
        <w:ind w:left="0" w:firstLine="0"/>
        <w:jc w:val="left"/>
      </w:pPr>
      <w:r>
        <w:rPr>
          <w:rFonts w:ascii="Calibri" w:eastAsia="Calibri" w:hAnsi="Calibri" w:cs="Calibri"/>
          <w:noProof/>
          <w:sz w:val="22"/>
        </w:rPr>
        <mc:AlternateContent>
          <mc:Choice Requires="wpg">
            <w:drawing>
              <wp:inline distT="0" distB="0" distL="0" distR="0" wp14:anchorId="0EE3B0CB" wp14:editId="500209AD">
                <wp:extent cx="5967601" cy="7620"/>
                <wp:effectExtent l="0" t="0" r="0" b="0"/>
                <wp:docPr id="9047" name="Group 9047"/>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464" name="Shape 464"/>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9A9A9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047" style="width:469.89pt;height:0.6pt;mso-position-horizontal-relative:char;mso-position-vertical-relative:line" coordsize="59676,76">
                <v:shape id="Shape 464" style="position:absolute;width:59676;height:0;left:0;top:0;" coordsize="5967601,0" path="m0,0l5967601,0">
                  <v:stroke weight="0.6pt" endcap="round" joinstyle="miter" miterlimit="10" on="true" color="#9a9a9a"/>
                  <v:fill on="false" color="#000000" opacity="0"/>
                </v:shape>
              </v:group>
            </w:pict>
          </mc:Fallback>
        </mc:AlternateContent>
      </w:r>
    </w:p>
    <w:p w14:paraId="2C043E96" w14:textId="77777777" w:rsidR="00364081" w:rsidRDefault="00000000">
      <w:pPr>
        <w:pStyle w:val="Heading1"/>
        <w:ind w:left="-5"/>
      </w:pPr>
      <w:r>
        <w:t>9. Insight Generation and Recommendations</w:t>
      </w:r>
    </w:p>
    <w:p w14:paraId="39E1D4CA" w14:textId="77777777" w:rsidR="00364081" w:rsidRDefault="00000000">
      <w:pPr>
        <w:spacing w:after="129"/>
      </w:pPr>
      <w:r>
        <w:t>The analysis of PLFS data identified clear patterns in how the labour market was hit by COVID-19 and how it recovered, along with persistent gender and state-level gaps.</w:t>
      </w:r>
    </w:p>
    <w:p w14:paraId="1ED77D9A" w14:textId="77777777" w:rsidR="008701FB" w:rsidRDefault="008701FB">
      <w:pPr>
        <w:spacing w:after="129"/>
      </w:pPr>
    </w:p>
    <w:p w14:paraId="27AD0A1F" w14:textId="77777777" w:rsidR="00364081" w:rsidRDefault="00000000">
      <w:pPr>
        <w:spacing w:after="94" w:line="259" w:lineRule="auto"/>
        <w:ind w:left="-5"/>
        <w:jc w:val="left"/>
      </w:pPr>
      <w:r>
        <w:rPr>
          <w:b/>
          <w:color w:val="2B3AA0"/>
          <w:sz w:val="22"/>
        </w:rPr>
        <w:t>Key Findings</w:t>
      </w:r>
    </w:p>
    <w:p w14:paraId="346A1EB4" w14:textId="77777777" w:rsidR="00364081" w:rsidRDefault="00000000">
      <w:pPr>
        <w:numPr>
          <w:ilvl w:val="0"/>
          <w:numId w:val="8"/>
        </w:numPr>
        <w:ind w:hanging="240"/>
      </w:pPr>
      <w:r>
        <w:t>Unemployment rose in every state in 2020. Maharashtra was hit hardest (6.8% to 19.6%, +12.8 points), followed by Jharkhand (+11.3) and Kerala (+7.1).</w:t>
      </w:r>
    </w:p>
    <w:p w14:paraId="6628B841" w14:textId="77777777" w:rsidR="00364081" w:rsidRDefault="00000000">
      <w:pPr>
        <w:numPr>
          <w:ilvl w:val="0"/>
          <w:numId w:val="8"/>
        </w:numPr>
        <w:ind w:hanging="240"/>
      </w:pPr>
      <w:r>
        <w:t>Nationally, average unemployment moved from about 9.5% (pre-COVID) to 13.7% (pandemic) and 8.8% (recovery), a rise of about 4 points that was fully reversed.</w:t>
      </w:r>
    </w:p>
    <w:p w14:paraId="43317FC9" w14:textId="77777777" w:rsidR="00364081" w:rsidRDefault="00000000">
      <w:pPr>
        <w:numPr>
          <w:ilvl w:val="0"/>
          <w:numId w:val="8"/>
        </w:numPr>
        <w:ind w:hanging="240"/>
      </w:pPr>
      <w:r>
        <w:t>15 of 22 states were back at or below their pre-COVID unemployment by 2022. Delhi did best: it fell 7.2 points from its peak and ended 6.0 points below its pre-COVID level.</w:t>
      </w:r>
    </w:p>
    <w:p w14:paraId="5D002A9E" w14:textId="77777777" w:rsidR="00364081" w:rsidRDefault="00000000">
      <w:pPr>
        <w:numPr>
          <w:ilvl w:val="0"/>
          <w:numId w:val="8"/>
        </w:numPr>
        <w:ind w:hanging="240"/>
      </w:pPr>
      <w:r>
        <w:t>Seven states were still above their pre-COVID level: Rajasthan (+2.8), Chhattisgarh (+2.3), Haryana (+2.2), Jammu and Kashmir (+1.2), Bihar (+1.0), Himachal Pradesh (+1.0) and Karnataka (+0.5).</w:t>
      </w:r>
    </w:p>
    <w:p w14:paraId="6A6FDF1D" w14:textId="77777777" w:rsidR="00364081" w:rsidRDefault="00000000">
      <w:pPr>
        <w:numPr>
          <w:ilvl w:val="0"/>
          <w:numId w:val="8"/>
        </w:numPr>
        <w:ind w:hanging="240"/>
      </w:pPr>
      <w:r>
        <w:t>States hit harder generally recovered more, but Rajasthan and Chhattisgarh took a big hit and had not fully recovered.</w:t>
      </w:r>
    </w:p>
    <w:p w14:paraId="60CF5511" w14:textId="77777777" w:rsidR="00364081" w:rsidRDefault="00000000">
      <w:pPr>
        <w:numPr>
          <w:ilvl w:val="0"/>
          <w:numId w:val="8"/>
        </w:numPr>
        <w:spacing w:after="7"/>
        <w:ind w:hanging="240"/>
      </w:pPr>
      <w:r>
        <w:t>Men's LFPR is 57.1% against women's 16.9%. Women's unemployment is also higher (11.1% versus</w:t>
      </w:r>
    </w:p>
    <w:p w14:paraId="0CFF5ED8" w14:textId="77777777" w:rsidR="00364081" w:rsidRDefault="00000000">
      <w:pPr>
        <w:ind w:left="370"/>
      </w:pPr>
      <w:r>
        <w:t>8.6%), and women's LFPR has risen from 15.6% to 20.3% since 2019.</w:t>
      </w:r>
    </w:p>
    <w:p w14:paraId="3BE64D00" w14:textId="77777777" w:rsidR="00364081" w:rsidRDefault="00000000">
      <w:pPr>
        <w:numPr>
          <w:ilvl w:val="0"/>
          <w:numId w:val="8"/>
        </w:numPr>
        <w:ind w:hanging="240"/>
      </w:pPr>
      <w:r>
        <w:t>Himachal Pradesh has the highest average LFPR (43.51%) and Bihar the lowest (28.39%), a gap of about 15 percentage points.</w:t>
      </w:r>
    </w:p>
    <w:p w14:paraId="0D24CC40" w14:textId="77777777" w:rsidR="00364081" w:rsidRDefault="00000000">
      <w:pPr>
        <w:numPr>
          <w:ilvl w:val="0"/>
          <w:numId w:val="8"/>
        </w:numPr>
        <w:ind w:hanging="240"/>
      </w:pPr>
      <w:r>
        <w:t>Male unemployment rose about 4.5 points in the pandemic against about 3 for women; men lost more jobs, but female unemployment stayed higher in every phase.</w:t>
      </w:r>
    </w:p>
    <w:p w14:paraId="57BC5F28" w14:textId="77777777" w:rsidR="00364081" w:rsidRDefault="00000000">
      <w:pPr>
        <w:numPr>
          <w:ilvl w:val="0"/>
          <w:numId w:val="8"/>
        </w:numPr>
        <w:spacing w:after="148"/>
        <w:ind w:hanging="240"/>
      </w:pPr>
      <w:r>
        <w:t>Services dominate employment (median about 63%), followed by industry (about 30%) and agriculture (about 6%).</w:t>
      </w:r>
    </w:p>
    <w:p w14:paraId="3849472A" w14:textId="77777777" w:rsidR="000415C3" w:rsidRDefault="000415C3" w:rsidP="000415C3">
      <w:pPr>
        <w:spacing w:after="148"/>
        <w:ind w:left="345" w:firstLine="0"/>
      </w:pPr>
    </w:p>
    <w:p w14:paraId="709B6C4D" w14:textId="4BFA4CBE" w:rsidR="00364081" w:rsidRDefault="00000000">
      <w:pPr>
        <w:pStyle w:val="Heading1"/>
        <w:ind w:left="-5"/>
      </w:pPr>
      <w:r>
        <w:t>Analysis Insights</w:t>
      </w:r>
      <w:r w:rsidR="008701FB">
        <w:t>:</w:t>
      </w:r>
    </w:p>
    <w:p w14:paraId="4390A857" w14:textId="77777777" w:rsidR="008701FB" w:rsidRPr="008701FB" w:rsidRDefault="008701FB" w:rsidP="008701FB"/>
    <w:p w14:paraId="1596BFF5" w14:textId="77777777" w:rsidR="00364081" w:rsidRDefault="00000000">
      <w:pPr>
        <w:spacing w:after="94" w:line="259" w:lineRule="auto"/>
        <w:ind w:left="-5"/>
        <w:jc w:val="left"/>
      </w:pPr>
      <w:r>
        <w:rPr>
          <w:b/>
          <w:color w:val="2B3AA0"/>
          <w:sz w:val="22"/>
        </w:rPr>
        <w:t>Descriptive</w:t>
      </w:r>
    </w:p>
    <w:p w14:paraId="534EE8C1" w14:textId="01B07287" w:rsidR="00364081" w:rsidRDefault="00000000">
      <w:pPr>
        <w:numPr>
          <w:ilvl w:val="0"/>
          <w:numId w:val="9"/>
        </w:numPr>
        <w:ind w:hanging="240"/>
      </w:pPr>
      <w:r>
        <w:t>Analy</w:t>
      </w:r>
      <w:r w:rsidR="000415C3">
        <w:t>sed</w:t>
      </w:r>
      <w:r>
        <w:t xml:space="preserve"> average LFPR, UR and WPR and their distributions.</w:t>
      </w:r>
    </w:p>
    <w:p w14:paraId="15440A49" w14:textId="77777777" w:rsidR="00364081" w:rsidRDefault="00000000">
      <w:pPr>
        <w:numPr>
          <w:ilvl w:val="0"/>
          <w:numId w:val="9"/>
        </w:numPr>
        <w:ind w:hanging="240"/>
      </w:pPr>
      <w:r>
        <w:t>Compared labour market indicators across states, genders, age groups and the three phases.</w:t>
      </w:r>
    </w:p>
    <w:p w14:paraId="6E4B41A6" w14:textId="77777777" w:rsidR="00364081" w:rsidRDefault="00000000">
      <w:pPr>
        <w:numPr>
          <w:ilvl w:val="0"/>
          <w:numId w:val="9"/>
        </w:numPr>
        <w:ind w:hanging="240"/>
      </w:pPr>
      <w:r>
        <w:t>Examined the trend in unemployment and participation from 2019 to 2024.</w:t>
      </w:r>
    </w:p>
    <w:p w14:paraId="582260CF" w14:textId="77777777" w:rsidR="00364081" w:rsidRDefault="00000000">
      <w:pPr>
        <w:numPr>
          <w:ilvl w:val="0"/>
          <w:numId w:val="9"/>
        </w:numPr>
        <w:spacing w:after="137"/>
        <w:ind w:hanging="240"/>
      </w:pPr>
      <w:r>
        <w:t>Described sector-wise employment shares across states.</w:t>
      </w:r>
    </w:p>
    <w:p w14:paraId="7E0F4C59" w14:textId="77777777" w:rsidR="008701FB" w:rsidRDefault="008701FB" w:rsidP="008701FB">
      <w:pPr>
        <w:spacing w:after="137"/>
        <w:ind w:left="345" w:firstLine="0"/>
      </w:pPr>
    </w:p>
    <w:p w14:paraId="39E8C76E" w14:textId="77777777" w:rsidR="00364081" w:rsidRDefault="00000000">
      <w:pPr>
        <w:spacing w:after="94" w:line="259" w:lineRule="auto"/>
        <w:ind w:left="-5"/>
        <w:jc w:val="left"/>
      </w:pPr>
      <w:r>
        <w:rPr>
          <w:b/>
          <w:color w:val="2B3AA0"/>
          <w:sz w:val="22"/>
        </w:rPr>
        <w:t>Diagnostic</w:t>
      </w:r>
    </w:p>
    <w:p w14:paraId="3237A5D2" w14:textId="77777777" w:rsidR="00364081" w:rsidRDefault="00000000">
      <w:pPr>
        <w:numPr>
          <w:ilvl w:val="0"/>
          <w:numId w:val="9"/>
        </w:numPr>
        <w:ind w:hanging="240"/>
      </w:pPr>
      <w:r>
        <w:t>Investigated how sector structure relates to participation and unemployment: agriculture-heavy states show weaker outcomes and secondary-sector states stronger ones.</w:t>
      </w:r>
    </w:p>
    <w:p w14:paraId="1BE1417B" w14:textId="77777777" w:rsidR="00364081" w:rsidRDefault="00000000">
      <w:pPr>
        <w:numPr>
          <w:ilvl w:val="0"/>
          <w:numId w:val="9"/>
        </w:numPr>
        <w:ind w:hanging="240"/>
      </w:pPr>
      <w:r>
        <w:lastRenderedPageBreak/>
        <w:t>Found that LFPR and WPR move almost together (0.99), while unemployment shows only moderate negative relationships.</w:t>
      </w:r>
    </w:p>
    <w:p w14:paraId="2B99DD82" w14:textId="77777777" w:rsidR="00364081" w:rsidRDefault="00000000">
      <w:pPr>
        <w:numPr>
          <w:ilvl w:val="0"/>
          <w:numId w:val="9"/>
        </w:numPr>
        <w:ind w:hanging="240"/>
      </w:pPr>
      <w:r>
        <w:t>Showed that sector structure alone does not explain unemployment; no clear relationship appears between tertiary share and UR.</w:t>
      </w:r>
    </w:p>
    <w:p w14:paraId="48D38530" w14:textId="77777777" w:rsidR="00364081" w:rsidRDefault="00000000">
      <w:pPr>
        <w:numPr>
          <w:ilvl w:val="0"/>
          <w:numId w:val="9"/>
        </w:numPr>
        <w:spacing w:after="128"/>
        <w:ind w:hanging="240"/>
      </w:pPr>
      <w:r>
        <w:t>Identified states with a sharp shock and fast recovery (Maharashtra, Jharkhand, Karnataka) versus persistently high unemployment (Jammu and Kashmir, Kerala).</w:t>
      </w:r>
    </w:p>
    <w:p w14:paraId="75A96EC8" w14:textId="77777777" w:rsidR="00364081" w:rsidRDefault="00000000">
      <w:pPr>
        <w:spacing w:after="94" w:line="259" w:lineRule="auto"/>
        <w:ind w:left="-5"/>
        <w:jc w:val="left"/>
      </w:pPr>
      <w:r>
        <w:rPr>
          <w:b/>
          <w:color w:val="2B3AA0"/>
          <w:sz w:val="22"/>
        </w:rPr>
        <w:t>Predictive</w:t>
      </w:r>
    </w:p>
    <w:p w14:paraId="000BE187" w14:textId="77777777" w:rsidR="00364081" w:rsidRDefault="00000000">
      <w:pPr>
        <w:spacing w:after="129"/>
      </w:pPr>
      <w:r>
        <w:t>Historical phase-wise patterns can help monitor how states may respond to future shocks. However, this project focuses on descriptive and diagnostic analysis using basic statistics, not predictive modelling.</w:t>
      </w:r>
    </w:p>
    <w:p w14:paraId="62D796B0" w14:textId="77777777" w:rsidR="00364081" w:rsidRDefault="00000000">
      <w:pPr>
        <w:spacing w:after="94" w:line="259" w:lineRule="auto"/>
        <w:ind w:left="-5"/>
        <w:jc w:val="left"/>
      </w:pPr>
      <w:r>
        <w:rPr>
          <w:b/>
          <w:color w:val="2B3AA0"/>
          <w:sz w:val="22"/>
        </w:rPr>
        <w:t>Prescriptive</w:t>
      </w:r>
    </w:p>
    <w:p w14:paraId="03BCC2F2" w14:textId="77777777" w:rsidR="00364081" w:rsidRDefault="00000000">
      <w:pPr>
        <w:numPr>
          <w:ilvl w:val="0"/>
          <w:numId w:val="9"/>
        </w:numPr>
        <w:ind w:hanging="240"/>
      </w:pPr>
      <w:r>
        <w:t>Prioritize the states still above their pre-COVID unemployment level.</w:t>
      </w:r>
    </w:p>
    <w:p w14:paraId="7B8F7954" w14:textId="77777777" w:rsidR="00364081" w:rsidRDefault="00000000">
      <w:pPr>
        <w:numPr>
          <w:ilvl w:val="0"/>
          <w:numId w:val="9"/>
        </w:numPr>
        <w:ind w:hanging="240"/>
      </w:pPr>
      <w:r>
        <w:t>Support women's participation and reduce the gap in unemployment between women and men.</w:t>
      </w:r>
    </w:p>
    <w:p w14:paraId="4A2E8D4B" w14:textId="77777777" w:rsidR="00364081" w:rsidRDefault="00000000">
      <w:pPr>
        <w:numPr>
          <w:ilvl w:val="0"/>
          <w:numId w:val="9"/>
        </w:numPr>
        <w:ind w:hanging="240"/>
      </w:pPr>
      <w:r>
        <w:t>Promote non-farm employment, since agriculture-heavy states show weaker outcomes.</w:t>
      </w:r>
    </w:p>
    <w:p w14:paraId="76EF40CC" w14:textId="77777777" w:rsidR="00364081" w:rsidRDefault="00000000">
      <w:pPr>
        <w:numPr>
          <w:ilvl w:val="0"/>
          <w:numId w:val="9"/>
        </w:numPr>
        <w:spacing w:after="157"/>
        <w:ind w:hanging="240"/>
      </w:pPr>
      <w:r>
        <w:t>Learn from states that recovered best and monitor unemployment together with participation.</w:t>
      </w:r>
    </w:p>
    <w:p w14:paraId="53593D2D" w14:textId="77777777" w:rsidR="008701FB" w:rsidRDefault="008701FB" w:rsidP="008701FB">
      <w:pPr>
        <w:spacing w:after="157"/>
        <w:ind w:left="345" w:firstLine="0"/>
      </w:pPr>
    </w:p>
    <w:p w14:paraId="5395C80C" w14:textId="77777777" w:rsidR="00364081" w:rsidRDefault="00000000">
      <w:pPr>
        <w:pStyle w:val="Heading1"/>
        <w:ind w:left="-5"/>
      </w:pPr>
      <w:r>
        <w:t>Recommendations</w:t>
      </w:r>
    </w:p>
    <w:p w14:paraId="34284A9A" w14:textId="77777777" w:rsidR="00364081" w:rsidRDefault="00000000">
      <w:pPr>
        <w:spacing w:after="144"/>
      </w:pPr>
      <w:r>
        <w:t>Based on the analysis:</w:t>
      </w:r>
    </w:p>
    <w:p w14:paraId="08C2D269" w14:textId="77777777" w:rsidR="00364081" w:rsidRDefault="00000000">
      <w:pPr>
        <w:numPr>
          <w:ilvl w:val="0"/>
          <w:numId w:val="10"/>
        </w:numPr>
        <w:ind w:hanging="240"/>
      </w:pPr>
      <w:r>
        <w:rPr>
          <w:b/>
        </w:rPr>
        <w:t>Target Slow-Recovering States</w:t>
      </w:r>
      <w:r>
        <w:t xml:space="preserve"> – Prioritize Rajasthan, Chhattisgarh and Haryana with long-term job creation, not short-term relief.</w:t>
      </w:r>
    </w:p>
    <w:p w14:paraId="350EBF2A" w14:textId="77777777" w:rsidR="00364081" w:rsidRDefault="00000000">
      <w:pPr>
        <w:numPr>
          <w:ilvl w:val="0"/>
          <w:numId w:val="10"/>
        </w:numPr>
        <w:ind w:hanging="240"/>
      </w:pPr>
      <w:r>
        <w:rPr>
          <w:b/>
        </w:rPr>
        <w:t>Boost Women's Participation</w:t>
      </w:r>
      <w:r>
        <w:t xml:space="preserve"> – Improve job access and childcare support, given LFPR of 16.9% for women against 57.1% for men.</w:t>
      </w:r>
    </w:p>
    <w:p w14:paraId="11C890DE" w14:textId="77777777" w:rsidR="00364081" w:rsidRDefault="00000000">
      <w:pPr>
        <w:numPr>
          <w:ilvl w:val="0"/>
          <w:numId w:val="10"/>
        </w:numPr>
        <w:ind w:hanging="240"/>
      </w:pPr>
      <w:r>
        <w:rPr>
          <w:b/>
        </w:rPr>
        <w:t>Reduce Women's Unemployment</w:t>
      </w:r>
      <w:r>
        <w:t xml:space="preserve"> – Use skilling and placement programmes to address the higher female unemployment rate (11.1% versus 8.6%).</w:t>
      </w:r>
    </w:p>
    <w:p w14:paraId="566A499F" w14:textId="77777777" w:rsidR="00364081" w:rsidRDefault="00000000" w:rsidP="00C170DE">
      <w:pPr>
        <w:numPr>
          <w:ilvl w:val="0"/>
          <w:numId w:val="10"/>
        </w:numPr>
        <w:ind w:hanging="240"/>
      </w:pPr>
      <w:r>
        <w:rPr>
          <w:b/>
        </w:rPr>
        <w:t>Expand Non-Farm Jobs</w:t>
      </w:r>
      <w:r>
        <w:t xml:space="preserve"> – Create local employment in low-participation states such as Bihar, using Himachal Pradesh as the benchmark.</w:t>
      </w:r>
    </w:p>
    <w:p w14:paraId="469742B6" w14:textId="77777777" w:rsidR="00364081" w:rsidRDefault="00000000">
      <w:pPr>
        <w:numPr>
          <w:ilvl w:val="0"/>
          <w:numId w:val="10"/>
        </w:numPr>
        <w:ind w:hanging="240"/>
      </w:pPr>
      <w:r>
        <w:rPr>
          <w:b/>
        </w:rPr>
        <w:t>Learn from Delhi and Strengthen Resilience</w:t>
      </w:r>
      <w:r>
        <w:t xml:space="preserve"> – Study Delhi's recovery, and add skilling and income support in high-shock states such as Maharashtra, Jharkhand and Kerala.</w:t>
      </w:r>
    </w:p>
    <w:p w14:paraId="33E713D0" w14:textId="77777777" w:rsidR="00364081" w:rsidRDefault="00000000">
      <w:pPr>
        <w:numPr>
          <w:ilvl w:val="0"/>
          <w:numId w:val="10"/>
        </w:numPr>
        <w:spacing w:after="1"/>
        <w:ind w:hanging="240"/>
      </w:pPr>
      <w:r>
        <w:rPr>
          <w:b/>
        </w:rPr>
        <w:t>Track Participation Alongside Unemployment</w:t>
      </w:r>
      <w:r>
        <w:t xml:space="preserve"> – Monitor LFPR and WPR with UR to confirm that recovery lasts.</w:t>
      </w:r>
    </w:p>
    <w:p w14:paraId="42EFE848" w14:textId="77777777" w:rsidR="00364081" w:rsidRDefault="00000000">
      <w:pPr>
        <w:spacing w:after="236" w:line="259" w:lineRule="auto"/>
        <w:ind w:left="0" w:firstLine="0"/>
        <w:jc w:val="left"/>
      </w:pPr>
      <w:r>
        <w:rPr>
          <w:rFonts w:ascii="Calibri" w:eastAsia="Calibri" w:hAnsi="Calibri" w:cs="Calibri"/>
          <w:noProof/>
          <w:sz w:val="22"/>
        </w:rPr>
        <mc:AlternateContent>
          <mc:Choice Requires="wpg">
            <w:drawing>
              <wp:inline distT="0" distB="0" distL="0" distR="0" wp14:anchorId="793A18F2" wp14:editId="44DBF9B8">
                <wp:extent cx="5967601" cy="7620"/>
                <wp:effectExtent l="0" t="0" r="0" b="0"/>
                <wp:docPr id="7047" name="Group 7047"/>
                <wp:cNvGraphicFramePr/>
                <a:graphic xmlns:a="http://schemas.openxmlformats.org/drawingml/2006/main">
                  <a:graphicData uri="http://schemas.microsoft.com/office/word/2010/wordprocessingGroup">
                    <wpg:wgp>
                      <wpg:cNvGrpSpPr/>
                      <wpg:grpSpPr>
                        <a:xfrm>
                          <a:off x="0" y="0"/>
                          <a:ext cx="5967601" cy="7620"/>
                          <a:chOff x="0" y="0"/>
                          <a:chExt cx="5967601" cy="7620"/>
                        </a:xfrm>
                      </wpg:grpSpPr>
                      <wps:wsp>
                        <wps:cNvPr id="584" name="Shape 584"/>
                        <wps:cNvSpPr/>
                        <wps:spPr>
                          <a:xfrm>
                            <a:off x="0" y="0"/>
                            <a:ext cx="5967601" cy="0"/>
                          </a:xfrm>
                          <a:custGeom>
                            <a:avLst/>
                            <a:gdLst/>
                            <a:ahLst/>
                            <a:cxnLst/>
                            <a:rect l="0" t="0" r="0" b="0"/>
                            <a:pathLst>
                              <a:path w="5967601">
                                <a:moveTo>
                                  <a:pt x="0" y="0"/>
                                </a:moveTo>
                                <a:lnTo>
                                  <a:pt x="5967601" y="0"/>
                                </a:lnTo>
                              </a:path>
                            </a:pathLst>
                          </a:custGeom>
                          <a:ln w="7620" cap="rnd">
                            <a:miter lim="127000"/>
                          </a:ln>
                        </wps:spPr>
                        <wps:style>
                          <a:lnRef idx="1">
                            <a:srgbClr val="9A9A9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47" style="width:469.89pt;height:0.6pt;mso-position-horizontal-relative:char;mso-position-vertical-relative:line" coordsize="59676,76">
                <v:shape id="Shape 584" style="position:absolute;width:59676;height:0;left:0;top:0;" coordsize="5967601,0" path="m0,0l5967601,0">
                  <v:stroke weight="0.6pt" endcap="round" joinstyle="miter" miterlimit="10" on="true" color="#9a9a9a"/>
                  <v:fill on="false" color="#000000" opacity="0"/>
                </v:shape>
              </v:group>
            </w:pict>
          </mc:Fallback>
        </mc:AlternateContent>
      </w:r>
    </w:p>
    <w:p w14:paraId="08AEE435" w14:textId="77777777" w:rsidR="00364081" w:rsidRDefault="00000000" w:rsidP="00C170DE">
      <w:pPr>
        <w:pStyle w:val="Heading1"/>
      </w:pPr>
      <w:r>
        <w:t>10. Conclusions</w:t>
      </w:r>
    </w:p>
    <w:p w14:paraId="00F342EA" w14:textId="77777777" w:rsidR="000415C3" w:rsidRDefault="00000000" w:rsidP="00C170DE">
      <w:pPr>
        <w:pStyle w:val="ListParagraph"/>
        <w:numPr>
          <w:ilvl w:val="0"/>
          <w:numId w:val="12"/>
        </w:numPr>
        <w:ind w:left="735"/>
        <w:jc w:val="left"/>
      </w:pPr>
      <w:r>
        <w:t xml:space="preserve">The project transformed four PLFS datasets into a clean, analysis-ready dataset and used Python and Power BI to show how India's labour market responded to COVID-19. </w:t>
      </w:r>
    </w:p>
    <w:p w14:paraId="27BD678C" w14:textId="77777777" w:rsidR="000415C3" w:rsidRDefault="00000000" w:rsidP="00C170DE">
      <w:pPr>
        <w:pStyle w:val="ListParagraph"/>
        <w:numPr>
          <w:ilvl w:val="0"/>
          <w:numId w:val="12"/>
        </w:numPr>
        <w:ind w:left="735"/>
        <w:jc w:val="left"/>
      </w:pPr>
      <w:r>
        <w:t xml:space="preserve">COVID-19 caused a sharp but temporary rise in unemployment, and the labour market recovered overall by 2022. </w:t>
      </w:r>
    </w:p>
    <w:p w14:paraId="5D9D9848" w14:textId="77777777" w:rsidR="000415C3" w:rsidRDefault="00000000" w:rsidP="00C170DE">
      <w:pPr>
        <w:pStyle w:val="ListParagraph"/>
        <w:numPr>
          <w:ilvl w:val="0"/>
          <w:numId w:val="12"/>
        </w:numPr>
        <w:ind w:left="735"/>
        <w:jc w:val="left"/>
      </w:pPr>
      <w:r>
        <w:t xml:space="preserve">The analysis also showed that the gender gap in participation and the differences between states remain large. </w:t>
      </w:r>
    </w:p>
    <w:p w14:paraId="387574C2" w14:textId="283A3F5D" w:rsidR="00364081" w:rsidRDefault="00000000" w:rsidP="00C170DE">
      <w:pPr>
        <w:pStyle w:val="ListParagraph"/>
        <w:numPr>
          <w:ilvl w:val="0"/>
          <w:numId w:val="12"/>
        </w:numPr>
        <w:ind w:left="735"/>
        <w:jc w:val="left"/>
      </w:pPr>
      <w:r>
        <w:t>The interactive dashboard lets users explore these patterns by state, gender and age group, and supports recommendations focused on women's participation, non-farm jobs and the states that have not yet fully recovered.</w:t>
      </w:r>
    </w:p>
    <w:sectPr w:rsidR="00364081">
      <w:headerReference w:type="even" r:id="rId15"/>
      <w:headerReference w:type="default" r:id="rId16"/>
      <w:footerReference w:type="even" r:id="rId17"/>
      <w:footerReference w:type="default" r:id="rId18"/>
      <w:headerReference w:type="first" r:id="rId19"/>
      <w:footerReference w:type="first" r:id="rId20"/>
      <w:pgSz w:w="11906" w:h="16838"/>
      <w:pgMar w:top="1254" w:right="1254" w:bottom="1188" w:left="1254" w:header="720" w:footer="5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1AB08" w14:textId="77777777" w:rsidR="00BB71B2" w:rsidRDefault="00BB71B2">
      <w:pPr>
        <w:spacing w:after="0" w:line="240" w:lineRule="auto"/>
      </w:pPr>
      <w:r>
        <w:separator/>
      </w:r>
    </w:p>
  </w:endnote>
  <w:endnote w:type="continuationSeparator" w:id="0">
    <w:p w14:paraId="0797C9BA" w14:textId="77777777" w:rsidR="00BB71B2" w:rsidRDefault="00BB7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87D17" w14:textId="77777777" w:rsidR="00364081" w:rsidRDefault="00000000">
    <w:pPr>
      <w:spacing w:after="0" w:line="259" w:lineRule="auto"/>
      <w:ind w:left="0" w:firstLine="0"/>
      <w:jc w:val="center"/>
    </w:pPr>
    <w:r>
      <w:fldChar w:fldCharType="begin"/>
    </w:r>
    <w:r>
      <w:instrText xml:space="preserve"> PAGE   \* MERGEFORMAT </w:instrText>
    </w:r>
    <w:r>
      <w:fldChar w:fldCharType="separate"/>
    </w:r>
    <w:r>
      <w:rPr>
        <w:color w:val="666666"/>
        <w:sz w:val="18"/>
      </w:rPr>
      <w:t>1</w:t>
    </w:r>
    <w:r>
      <w:rPr>
        <w:color w:val="666666"/>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FBCDC" w14:textId="77777777" w:rsidR="00364081" w:rsidRDefault="00000000">
    <w:pPr>
      <w:spacing w:after="0" w:line="259" w:lineRule="auto"/>
      <w:ind w:left="0" w:firstLine="0"/>
      <w:jc w:val="center"/>
    </w:pPr>
    <w:r>
      <w:fldChar w:fldCharType="begin"/>
    </w:r>
    <w:r>
      <w:instrText xml:space="preserve"> PAGE   \* MERGEFORMAT </w:instrText>
    </w:r>
    <w:r>
      <w:fldChar w:fldCharType="separate"/>
    </w:r>
    <w:r>
      <w:rPr>
        <w:color w:val="666666"/>
        <w:sz w:val="18"/>
      </w:rPr>
      <w:t>1</w:t>
    </w:r>
    <w:r>
      <w:rPr>
        <w:color w:val="666666"/>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11DFF" w14:textId="77777777" w:rsidR="00364081" w:rsidRDefault="00000000">
    <w:pPr>
      <w:spacing w:after="0" w:line="259" w:lineRule="auto"/>
      <w:ind w:left="0" w:firstLine="0"/>
      <w:jc w:val="center"/>
    </w:pPr>
    <w:r>
      <w:fldChar w:fldCharType="begin"/>
    </w:r>
    <w:r>
      <w:instrText xml:space="preserve"> PAGE   \* MERGEFORMAT </w:instrText>
    </w:r>
    <w:r>
      <w:fldChar w:fldCharType="separate"/>
    </w:r>
    <w:r>
      <w:rPr>
        <w:color w:val="666666"/>
        <w:sz w:val="18"/>
      </w:rPr>
      <w:t>1</w:t>
    </w:r>
    <w:r>
      <w:rPr>
        <w:color w:val="666666"/>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61F47" w14:textId="77777777" w:rsidR="00364081" w:rsidRDefault="00000000">
    <w:pPr>
      <w:spacing w:after="0" w:line="259" w:lineRule="auto"/>
      <w:ind w:left="0" w:firstLine="0"/>
      <w:jc w:val="center"/>
    </w:pPr>
    <w:r>
      <w:fldChar w:fldCharType="begin"/>
    </w:r>
    <w:r>
      <w:instrText xml:space="preserve"> PAGE   \* MERGEFORMAT </w:instrText>
    </w:r>
    <w:r>
      <w:fldChar w:fldCharType="separate"/>
    </w:r>
    <w:r>
      <w:rPr>
        <w:color w:val="666666"/>
        <w:sz w:val="18"/>
      </w:rPr>
      <w:t>1</w:t>
    </w:r>
    <w:r>
      <w:rPr>
        <w:color w:val="666666"/>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31065" w14:textId="77777777" w:rsidR="00364081" w:rsidRDefault="00000000">
    <w:pPr>
      <w:spacing w:after="0" w:line="259" w:lineRule="auto"/>
      <w:ind w:left="0" w:firstLine="0"/>
      <w:jc w:val="center"/>
    </w:pPr>
    <w:r>
      <w:fldChar w:fldCharType="begin"/>
    </w:r>
    <w:r>
      <w:instrText xml:space="preserve"> PAGE   \* MERGEFORMAT </w:instrText>
    </w:r>
    <w:r>
      <w:fldChar w:fldCharType="separate"/>
    </w:r>
    <w:r>
      <w:rPr>
        <w:color w:val="666666"/>
        <w:sz w:val="18"/>
      </w:rPr>
      <w:t>1</w:t>
    </w:r>
    <w:r>
      <w:rPr>
        <w:color w:val="666666"/>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25B67" w14:textId="77777777" w:rsidR="00364081" w:rsidRDefault="00000000">
    <w:pPr>
      <w:spacing w:after="0" w:line="259" w:lineRule="auto"/>
      <w:ind w:left="0" w:firstLine="0"/>
      <w:jc w:val="center"/>
    </w:pPr>
    <w:r>
      <w:fldChar w:fldCharType="begin"/>
    </w:r>
    <w:r>
      <w:instrText xml:space="preserve"> PAGE   \* MERGEFORMAT </w:instrText>
    </w:r>
    <w:r>
      <w:fldChar w:fldCharType="separate"/>
    </w:r>
    <w:r>
      <w:rPr>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D0935" w14:textId="77777777" w:rsidR="00BB71B2" w:rsidRDefault="00BB71B2">
      <w:pPr>
        <w:spacing w:after="0" w:line="240" w:lineRule="auto"/>
      </w:pPr>
      <w:r>
        <w:separator/>
      </w:r>
    </w:p>
  </w:footnote>
  <w:footnote w:type="continuationSeparator" w:id="0">
    <w:p w14:paraId="5F3EAFB7" w14:textId="77777777" w:rsidR="00BB71B2" w:rsidRDefault="00BB71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51DBC" w14:textId="77777777" w:rsidR="00364081" w:rsidRDefault="00000000">
    <w:pPr>
      <w:spacing w:after="0" w:line="259" w:lineRule="auto"/>
      <w:ind w:left="120" w:firstLine="0"/>
      <w:jc w:val="left"/>
    </w:pPr>
    <w:r>
      <w:rPr>
        <w:rFonts w:ascii="Arial" w:eastAsia="Arial" w:hAnsi="Arial" w:cs="Arial"/>
        <w:sz w:val="2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180A2" w14:textId="77777777" w:rsidR="00364081" w:rsidRDefault="00000000">
    <w:pPr>
      <w:spacing w:after="0" w:line="259" w:lineRule="auto"/>
      <w:ind w:left="120" w:firstLine="0"/>
      <w:jc w:val="left"/>
    </w:pPr>
    <w:r>
      <w:rPr>
        <w:rFonts w:ascii="Arial" w:eastAsia="Arial" w:hAnsi="Arial" w:cs="Arial"/>
        <w:sz w:val="20"/>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BB2B9" w14:textId="77777777" w:rsidR="00364081" w:rsidRDefault="00364081">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6A6A9" w14:textId="77777777" w:rsidR="00364081" w:rsidRDefault="00364081">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315BF" w14:textId="77777777" w:rsidR="00364081" w:rsidRDefault="00364081">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0372B" w14:textId="77777777" w:rsidR="00364081" w:rsidRDefault="00364081">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74FA"/>
    <w:multiLevelType w:val="hybridMultilevel"/>
    <w:tmpl w:val="6C346F32"/>
    <w:lvl w:ilvl="0" w:tplc="6368271A">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0682A65"/>
    <w:multiLevelType w:val="hybridMultilevel"/>
    <w:tmpl w:val="58288EAA"/>
    <w:lvl w:ilvl="0" w:tplc="A4A82C26">
      <w:start w:val="1"/>
      <w:numFmt w:val="decimal"/>
      <w:lvlText w:val="%1."/>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AA2478">
      <w:start w:val="1"/>
      <w:numFmt w:val="lowerLetter"/>
      <w:lvlText w:val="%2"/>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AA001A">
      <w:start w:val="1"/>
      <w:numFmt w:val="lowerRoman"/>
      <w:lvlText w:val="%3"/>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13A0034">
      <w:start w:val="1"/>
      <w:numFmt w:val="decimal"/>
      <w:lvlText w:val="%4"/>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C4E3E2">
      <w:start w:val="1"/>
      <w:numFmt w:val="lowerLetter"/>
      <w:lvlText w:val="%5"/>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C8A06A2">
      <w:start w:val="1"/>
      <w:numFmt w:val="lowerRoman"/>
      <w:lvlText w:val="%6"/>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FC2C2D6">
      <w:start w:val="1"/>
      <w:numFmt w:val="decimal"/>
      <w:lvlText w:val="%7"/>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32F1AC">
      <w:start w:val="1"/>
      <w:numFmt w:val="lowerLetter"/>
      <w:lvlText w:val="%8"/>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33689DE">
      <w:start w:val="1"/>
      <w:numFmt w:val="lowerRoman"/>
      <w:lvlText w:val="%9"/>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6E71403"/>
    <w:multiLevelType w:val="hybridMultilevel"/>
    <w:tmpl w:val="EEC45540"/>
    <w:lvl w:ilvl="0" w:tplc="D9505304">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C887F4">
      <w:start w:val="1"/>
      <w:numFmt w:val="bullet"/>
      <w:lvlText w:val="o"/>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66A02CA">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02A3180">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6C07A8">
      <w:start w:val="1"/>
      <w:numFmt w:val="bullet"/>
      <w:lvlText w:val="o"/>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8BEAFCC">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05A60B6">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4A46B8">
      <w:start w:val="1"/>
      <w:numFmt w:val="bullet"/>
      <w:lvlText w:val="o"/>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F16456E">
      <w:start w:val="1"/>
      <w:numFmt w:val="bullet"/>
      <w:lvlText w:val="▪"/>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90A7A30"/>
    <w:multiLevelType w:val="hybridMultilevel"/>
    <w:tmpl w:val="CE72AA7A"/>
    <w:lvl w:ilvl="0" w:tplc="96B29A28">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DC0872">
      <w:start w:val="1"/>
      <w:numFmt w:val="bullet"/>
      <w:lvlText w:val="o"/>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E4A5FF4">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6DAB564">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C2F094">
      <w:start w:val="1"/>
      <w:numFmt w:val="bullet"/>
      <w:lvlText w:val="o"/>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B8E914E">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EF2B94E">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50079E">
      <w:start w:val="1"/>
      <w:numFmt w:val="bullet"/>
      <w:lvlText w:val="o"/>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C321F3C">
      <w:start w:val="1"/>
      <w:numFmt w:val="bullet"/>
      <w:lvlText w:val="▪"/>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4C75103"/>
    <w:multiLevelType w:val="hybridMultilevel"/>
    <w:tmpl w:val="70CA848E"/>
    <w:lvl w:ilvl="0" w:tplc="C0701688">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A8B142">
      <w:start w:val="1"/>
      <w:numFmt w:val="bullet"/>
      <w:lvlText w:val="o"/>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B0E8A4C">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602ABCC">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30F302">
      <w:start w:val="1"/>
      <w:numFmt w:val="bullet"/>
      <w:lvlText w:val="o"/>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1F22FDA">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AB68306">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4A86AA">
      <w:start w:val="1"/>
      <w:numFmt w:val="bullet"/>
      <w:lvlText w:val="o"/>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DD8D654">
      <w:start w:val="1"/>
      <w:numFmt w:val="bullet"/>
      <w:lvlText w:val="▪"/>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9724DD4"/>
    <w:multiLevelType w:val="hybridMultilevel"/>
    <w:tmpl w:val="05DAF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C35A3C"/>
    <w:multiLevelType w:val="hybridMultilevel"/>
    <w:tmpl w:val="ED5EEC1C"/>
    <w:lvl w:ilvl="0" w:tplc="6DE442E6">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0E4A20">
      <w:start w:val="1"/>
      <w:numFmt w:val="bullet"/>
      <w:lvlText w:val="o"/>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15E9160">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6DE7F0C">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12F706">
      <w:start w:val="1"/>
      <w:numFmt w:val="bullet"/>
      <w:lvlText w:val="o"/>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26C730">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EA2B4A6">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0E73BA">
      <w:start w:val="1"/>
      <w:numFmt w:val="bullet"/>
      <w:lvlText w:val="o"/>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360C362">
      <w:start w:val="1"/>
      <w:numFmt w:val="bullet"/>
      <w:lvlText w:val="▪"/>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8E107E0"/>
    <w:multiLevelType w:val="hybridMultilevel"/>
    <w:tmpl w:val="85AC85F2"/>
    <w:lvl w:ilvl="0" w:tplc="1E74C3B6">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BE326A">
      <w:start w:val="1"/>
      <w:numFmt w:val="bullet"/>
      <w:lvlText w:val="o"/>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E7C0714">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4CE41DA">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D4305E">
      <w:start w:val="1"/>
      <w:numFmt w:val="bullet"/>
      <w:lvlText w:val="o"/>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EF23F60">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FD072F0">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809602">
      <w:start w:val="1"/>
      <w:numFmt w:val="bullet"/>
      <w:lvlText w:val="o"/>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4B63A8E">
      <w:start w:val="1"/>
      <w:numFmt w:val="bullet"/>
      <w:lvlText w:val="▪"/>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DDD43AB"/>
    <w:multiLevelType w:val="hybridMultilevel"/>
    <w:tmpl w:val="562436D8"/>
    <w:lvl w:ilvl="0" w:tplc="6368271A">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B6250E">
      <w:start w:val="1"/>
      <w:numFmt w:val="bullet"/>
      <w:lvlText w:val="o"/>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96C77A0">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9462F5C">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309B86">
      <w:start w:val="1"/>
      <w:numFmt w:val="bullet"/>
      <w:lvlText w:val="o"/>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82A3DD2">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41EF836">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5422FC">
      <w:start w:val="1"/>
      <w:numFmt w:val="bullet"/>
      <w:lvlText w:val="o"/>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F228BC0">
      <w:start w:val="1"/>
      <w:numFmt w:val="bullet"/>
      <w:lvlText w:val="▪"/>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905276F"/>
    <w:multiLevelType w:val="hybridMultilevel"/>
    <w:tmpl w:val="F3F80DEA"/>
    <w:lvl w:ilvl="0" w:tplc="3AD0AF90">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9A002A">
      <w:start w:val="1"/>
      <w:numFmt w:val="bullet"/>
      <w:lvlText w:val="o"/>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0A4510A">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7F6E366">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14DBDA">
      <w:start w:val="1"/>
      <w:numFmt w:val="bullet"/>
      <w:lvlText w:val="o"/>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230F72C">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B82CDAE">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FC03C6">
      <w:start w:val="1"/>
      <w:numFmt w:val="bullet"/>
      <w:lvlText w:val="o"/>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F788812">
      <w:start w:val="1"/>
      <w:numFmt w:val="bullet"/>
      <w:lvlText w:val="▪"/>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22C46E9"/>
    <w:multiLevelType w:val="hybridMultilevel"/>
    <w:tmpl w:val="52420D74"/>
    <w:lvl w:ilvl="0" w:tplc="67A6E9EE">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A8CD0C">
      <w:start w:val="1"/>
      <w:numFmt w:val="bullet"/>
      <w:lvlText w:val="o"/>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89ABB60">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38435F4">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7AF7A8">
      <w:start w:val="1"/>
      <w:numFmt w:val="bullet"/>
      <w:lvlText w:val="o"/>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5160A24">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D10B2F4">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CC22FA">
      <w:start w:val="1"/>
      <w:numFmt w:val="bullet"/>
      <w:lvlText w:val="o"/>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4D631D8">
      <w:start w:val="1"/>
      <w:numFmt w:val="bullet"/>
      <w:lvlText w:val="▪"/>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B56565A"/>
    <w:multiLevelType w:val="hybridMultilevel"/>
    <w:tmpl w:val="219A5226"/>
    <w:lvl w:ilvl="0" w:tplc="ECA88116">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D6B526">
      <w:start w:val="1"/>
      <w:numFmt w:val="bullet"/>
      <w:lvlText w:val="o"/>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4901E10">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ED85308">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D4A6FE">
      <w:start w:val="1"/>
      <w:numFmt w:val="bullet"/>
      <w:lvlText w:val="o"/>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9584176">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236E766">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4469E4">
      <w:start w:val="1"/>
      <w:numFmt w:val="bullet"/>
      <w:lvlText w:val="o"/>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D8C00A6">
      <w:start w:val="1"/>
      <w:numFmt w:val="bullet"/>
      <w:lvlText w:val="▪"/>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458650135">
    <w:abstractNumId w:val="8"/>
  </w:num>
  <w:num w:numId="2" w16cid:durableId="1785464038">
    <w:abstractNumId w:val="10"/>
  </w:num>
  <w:num w:numId="3" w16cid:durableId="2060667813">
    <w:abstractNumId w:val="9"/>
  </w:num>
  <w:num w:numId="4" w16cid:durableId="168834603">
    <w:abstractNumId w:val="2"/>
  </w:num>
  <w:num w:numId="5" w16cid:durableId="1431394745">
    <w:abstractNumId w:val="4"/>
  </w:num>
  <w:num w:numId="6" w16cid:durableId="1554267026">
    <w:abstractNumId w:val="3"/>
  </w:num>
  <w:num w:numId="7" w16cid:durableId="1314532107">
    <w:abstractNumId w:val="7"/>
  </w:num>
  <w:num w:numId="8" w16cid:durableId="2118063728">
    <w:abstractNumId w:val="11"/>
  </w:num>
  <w:num w:numId="9" w16cid:durableId="921723477">
    <w:abstractNumId w:val="6"/>
  </w:num>
  <w:num w:numId="10" w16cid:durableId="930771929">
    <w:abstractNumId w:val="1"/>
  </w:num>
  <w:num w:numId="11" w16cid:durableId="501697268">
    <w:abstractNumId w:val="5"/>
  </w:num>
  <w:num w:numId="12" w16cid:durableId="1743478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081"/>
    <w:rsid w:val="000415C3"/>
    <w:rsid w:val="001C6D31"/>
    <w:rsid w:val="00364081"/>
    <w:rsid w:val="008701FB"/>
    <w:rsid w:val="008D5BD9"/>
    <w:rsid w:val="00A25264"/>
    <w:rsid w:val="00BB71B2"/>
    <w:rsid w:val="00C170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5DD84"/>
  <w15:docId w15:val="{CD5E4E90-2E55-4648-957C-B2A2E07F3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2" w:line="297" w:lineRule="auto"/>
      <w:ind w:left="10" w:hanging="10"/>
      <w:jc w:val="both"/>
    </w:pPr>
    <w:rPr>
      <w:rFonts w:ascii="Times New Roman" w:eastAsia="Times New Roman" w:hAnsi="Times New Roman" w:cs="Times New Roman"/>
      <w:color w:val="000000"/>
      <w:sz w:val="21"/>
    </w:rPr>
  </w:style>
  <w:style w:type="paragraph" w:styleId="Heading1">
    <w:name w:val="heading 1"/>
    <w:next w:val="Normal"/>
    <w:link w:val="Heading1Char"/>
    <w:uiPriority w:val="9"/>
    <w:qFormat/>
    <w:pPr>
      <w:keepNext/>
      <w:keepLines/>
      <w:spacing w:after="115" w:line="259" w:lineRule="auto"/>
      <w:ind w:left="10" w:hanging="10"/>
      <w:outlineLvl w:val="0"/>
    </w:pPr>
    <w:rPr>
      <w:rFonts w:ascii="Times New Roman" w:eastAsia="Times New Roman" w:hAnsi="Times New Roman" w:cs="Times New Roman"/>
      <w:b/>
      <w:color w:val="2B3AA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2B3AA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415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9</Pages>
  <Words>2563</Words>
  <Characters>14610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Labour Market Analytics: Employment Resilience Across Indian States</vt:lpstr>
    </vt:vector>
  </TitlesOfParts>
  <Company/>
  <LinksUpToDate>false</LinksUpToDate>
  <CharactersWithSpaces>17139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Market Analytics: Employment Resilience Across Indian States</dc:title>
  <dc:subject>(unspecified)</dc:subject>
  <dc:creator>Rithish Vinoth Kumar</dc:creator>
  <cp:keywords/>
  <cp:lastModifiedBy>Rithish Vinoth Kumar</cp:lastModifiedBy>
  <cp:revision>5</cp:revision>
  <dcterms:created xsi:type="dcterms:W3CDTF">2026-10-24T17:04:00Z</dcterms:created>
  <dcterms:modified xsi:type="dcterms:W3CDTF">2026-10-24T17:46:00Z</dcterms:modified>
</cp:coreProperties>
</file>