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D5A80"/>
          <w:spacing w:val="24"/>
          <w:sz w:val="20"/>
          <w:szCs w:val="20"/>
        </w:rPr>
        <w:t xml:space="preserve">REQUEST FOR PROPOSAL</w:t>
      </w:r>
    </w:p>
    <w:p>
      <w:pPr>
        <w:spacing w:after="60"/>
      </w:pPr>
      <w:r>
        <w:rPr>
          <w:b/>
          <w:bCs/>
          <w:color w:val="1B2A4A"/>
          <w:sz w:val="36"/>
          <w:szCs w:val="36"/>
        </w:rPr>
        <w:t xml:space="preserve">Banking-as-a-Service Platform Selection</w:t>
      </w:r>
    </w:p>
    <w:p>
      <w:pPr>
        <w:pBdr>
          <w:bottom w:val="single" w:color="D9DEE7" w:sz="6" w:space="8"/>
        </w:pBdr>
        <w:spacing w:after="260"/>
      </w:pPr>
      <w:r>
        <w:rPr>
          <w:i/>
          <w:iCs/>
          <w:color w:val="5B6685"/>
          <w:sz w:val="20"/>
          <w:szCs w:val="20"/>
        </w:rPr>
        <w:t xml:space="preserve">For a new UK digital retail banking launch</w:t>
      </w:r>
    </w:p>
    <w:p>
      <w:pPr>
        <w:spacing w:after="140" w:line="300"/>
      </w:pPr>
      <w:r>
        <w:rPr>
          <w:b w:val="false"/>
          <w:bCs w:val="false"/>
          <w:color w:val="222222"/>
          <w:sz w:val="21"/>
          <w:szCs w:val="21"/>
        </w:rPr>
        <w:t xml:space="preserve">Issuing organization: Client X (a U.S.-headquartered retail bank), on behalf of its planned UK digital banking subsidiary</w:t>
      </w:r>
    </w:p>
    <w:p>
      <w:pPr>
        <w:spacing w:after="140" w:line="300"/>
      </w:pPr>
      <w:r>
        <w:rPr>
          <w:color w:val="222222"/>
          <w:sz w:val="21"/>
          <w:szCs w:val="21"/>
        </w:rPr>
        <w:t xml:space="preserve">RFP reference: [RFP reference number]</w:t>
      </w:r>
    </w:p>
    <w:p>
      <w:pPr>
        <w:spacing w:after="140" w:line="300"/>
      </w:pPr>
      <w:r>
        <w:rPr>
          <w:color w:val="222222"/>
          <w:sz w:val="21"/>
          <w:szCs w:val="21"/>
        </w:rPr>
        <w:t xml:space="preserve">Issue date: [Issue date]      Proposal deadline: [Issue date + 6 weeks]</w:t>
      </w:r>
    </w:p>
    <w:p>
      <w:pPr>
        <w:spacing w:after="140" w:line="300"/>
      </w:pPr>
      <w:r>
        <w:rPr>
          <w:color w:val="222222"/>
          <w:sz w:val="21"/>
          <w:szCs w:val="21"/>
        </w:rPr>
        <w:t xml:space="preserve">Single point of contact: [Procurement contact name / email] — vendors should direct all questions to this contact; contact with other Client X staff regarding this RFP may result in disqualification.</w:t>
      </w:r>
    </w:p>
    <w:p>
      <w:pPr>
        <w:spacing w:after="160" w:line="280"/>
      </w:pPr>
      <w:r>
        <w:rPr>
          <w:i/>
          <w:iCs/>
          <w:color w:val="5B6685"/>
          <w:sz w:val="18"/>
          <w:szCs w:val="18"/>
        </w:rPr>
        <w:t xml:space="preserve">This document is a reference/template version prepared for portfolio and illustrative purposes. Client and vendor identities are placeholders; evaluation weights are illustrative and should be confirmed against Client X's actual priorities before issuance.</w:t>
      </w:r>
    </w:p>
    <w:p>
      <w:pPr>
        <w:pStyle w:val="Heading1"/>
        <w:spacing w:after="140" w:before="340"/>
      </w:pPr>
      <w:r>
        <w:rPr>
          <w:b/>
          <w:bCs/>
          <w:color w:val="1B2A4A"/>
          <w:sz w:val="27"/>
          <w:szCs w:val="27"/>
        </w:rPr>
        <w:t xml:space="preserve">1. Issuing Organization &amp; Confidentiality</w:t>
      </w:r>
    </w:p>
    <w:p>
      <w:pPr>
        <w:spacing w:after="140" w:line="300"/>
      </w:pPr>
      <w:r>
        <w:rPr>
          <w:color w:val="222222"/>
          <w:sz w:val="21"/>
          <w:szCs w:val="21"/>
        </w:rPr>
        <w:t xml:space="preserve">This RFP is issued by Client X, a multi-billion-dollar retail bank headquartered in the United States, on behalf of its planned UK digital banking subsidiary. This document and any information exchanged during this process are confidential and provided solely to enable a proposal in response to this RFP. Recipients may not disclose its contents to third parties without Client X's written consent.</w:t>
      </w:r>
    </w:p>
    <w:p>
      <w:pPr>
        <w:pStyle w:val="Heading1"/>
        <w:spacing w:after="140" w:before="340"/>
      </w:pPr>
      <w:r>
        <w:rPr>
          <w:b/>
          <w:bCs/>
          <w:color w:val="1B2A4A"/>
          <w:sz w:val="27"/>
          <w:szCs w:val="27"/>
        </w:rPr>
        <w:t xml:space="preserve">2. Background</w:t>
      </w:r>
    </w:p>
    <w:p>
      <w:pPr>
        <w:spacing w:after="140" w:line="300"/>
      </w:pPr>
      <w:r>
        <w:rPr>
          <w:color w:val="222222"/>
          <w:sz w:val="21"/>
          <w:szCs w:val="21"/>
        </w:rPr>
        <w:t xml:space="preserve">Client X is entering the United Kingdom market with a new digital retail banking proposition. As part of this launch, Client X is seeking a Banking-as-a-Service (BaaS) platform partner to provide the core banking, payments, and card issuing infrastructure the new business will operate on.</w:t>
      </w:r>
    </w:p>
    <w:p>
      <w:pPr>
        <w:pStyle w:val="Heading1"/>
        <w:spacing w:after="140" w:before="340"/>
      </w:pPr>
      <w:r>
        <w:rPr>
          <w:b/>
          <w:bCs/>
          <w:color w:val="1B2A4A"/>
          <w:sz w:val="27"/>
          <w:szCs w:val="27"/>
        </w:rPr>
        <w:t xml:space="preserve">3. Purpose of this RFP</w:t>
      </w:r>
    </w:p>
    <w:p>
      <w:pPr>
        <w:spacing w:after="140" w:line="300"/>
      </w:pPr>
      <w:r>
        <w:rPr>
          <w:color w:val="222222"/>
          <w:sz w:val="21"/>
          <w:szCs w:val="21"/>
        </w:rPr>
        <w:t xml:space="preserve">This RFP is issued to identify and select a BaaS platform partner capable of supporting a new UK retail digital bank from initial launch through scale. Responses will be evaluated using a structured, weighted evaluation framework (see Section 6); this is a closed, criteria-based process rather than an open-ended inquiry, and vendors are encouraged to respond directly against each requirement below.</w:t>
      </w:r>
    </w:p>
    <w:p>
      <w:pPr>
        <w:pStyle w:val="Heading1"/>
        <w:spacing w:after="140" w:before="340"/>
      </w:pPr>
      <w:r>
        <w:rPr>
          <w:b/>
          <w:bCs/>
          <w:color w:val="1B2A4A"/>
          <w:sz w:val="27"/>
          <w:szCs w:val="27"/>
        </w:rPr>
        <w:t xml:space="preserve">4. Scope of Work</w:t>
      </w:r>
    </w:p>
    <w:p>
      <w:pPr>
        <w:pStyle w:val="Heading2"/>
        <w:spacing w:after="90" w:before="200"/>
      </w:pPr>
      <w:r>
        <w:rPr>
          <w:b/>
          <w:bCs/>
          <w:color w:val="3D5A80"/>
          <w:sz w:val="22"/>
          <w:szCs w:val="22"/>
        </w:rPr>
        <w:t xml:space="preserve">4.1 Core platform requirements</w:t>
      </w:r>
    </w:p>
    <w:p>
      <w:pPr>
        <w:pStyle w:val="ListParagraph"/>
        <w:numPr>
          <w:ilvl w:val="0"/>
          <w:numId w:val="2"/>
        </w:numPr>
        <w:spacing w:after="90" w:line="290"/>
      </w:pPr>
      <w:r>
        <w:rPr>
          <w:color w:val="222222"/>
          <w:sz w:val="21"/>
          <w:szCs w:val="21"/>
        </w:rPr>
        <w:t xml:space="preserve">Core banking and ledger infrastructure, hosted or API-delivered</w:t>
      </w:r>
    </w:p>
    <w:p>
      <w:pPr>
        <w:pStyle w:val="ListParagraph"/>
        <w:numPr>
          <w:ilvl w:val="0"/>
          <w:numId w:val="2"/>
        </w:numPr>
        <w:spacing w:after="90" w:line="290"/>
      </w:pPr>
      <w:r>
        <w:rPr>
          <w:color w:val="222222"/>
          <w:sz w:val="21"/>
          <w:szCs w:val="21"/>
        </w:rPr>
        <w:t xml:space="preserve">Card issuing, payments, and settlement capability for the UK market</w:t>
      </w:r>
    </w:p>
    <w:p>
      <w:pPr>
        <w:pStyle w:val="ListParagraph"/>
        <w:numPr>
          <w:ilvl w:val="0"/>
          <w:numId w:val="2"/>
        </w:numPr>
        <w:spacing w:after="90" w:line="290"/>
      </w:pPr>
      <w:r>
        <w:rPr>
          <w:color w:val="222222"/>
          <w:sz w:val="21"/>
          <w:szCs w:val="21"/>
        </w:rPr>
        <w:t xml:space="preserve">Open, well-documented APIs supporting integration with third-party services</w:t>
      </w:r>
    </w:p>
    <w:p>
      <w:pPr>
        <w:pStyle w:val="ListParagraph"/>
        <w:numPr>
          <w:ilvl w:val="0"/>
          <w:numId w:val="2"/>
        </w:numPr>
        <w:spacing w:after="90" w:line="290"/>
      </w:pPr>
      <w:r>
        <w:rPr>
          <w:color w:val="222222"/>
          <w:sz w:val="21"/>
          <w:szCs w:val="21"/>
        </w:rPr>
        <w:t xml:space="preserve">Demonstrated ability to scale transaction volume and customer count without a platform migration</w:t>
      </w:r>
    </w:p>
    <w:p>
      <w:pPr>
        <w:pStyle w:val="Heading2"/>
        <w:spacing w:after="90" w:before="200"/>
      </w:pPr>
      <w:r>
        <w:rPr>
          <w:b/>
          <w:bCs/>
          <w:color w:val="3D5A80"/>
          <w:sz w:val="22"/>
          <w:szCs w:val="22"/>
        </w:rPr>
        <w:t xml:space="preserve">4.2 Product &amp; customer experience capability requirements</w:t>
      </w:r>
    </w:p>
    <w:p>
      <w:pPr>
        <w:spacing w:after="140" w:line="300"/>
      </w:pPr>
      <w:r>
        <w:rPr>
          <w:color w:val="222222"/>
          <w:sz w:val="21"/>
          <w:szCs w:val="21"/>
        </w:rPr>
        <w:t xml:space="preserve">The platform must be capable of supporting the following product features as part of Client X's digital banking proposition. Vendors should describe how their platform enables each capability, whether natively or through supported integrations:</w:t>
      </w:r>
    </w:p>
    <w:p>
      <w:pPr>
        <w:pStyle w:val="ListParagraph"/>
        <w:numPr>
          <w:ilvl w:val="0"/>
          <w:numId w:val="2"/>
        </w:numPr>
        <w:spacing w:after="90" w:line="290"/>
      </w:pPr>
      <w:r>
        <w:rPr>
          <w:color w:val="222222"/>
          <w:sz w:val="21"/>
          <w:szCs w:val="21"/>
        </w:rPr>
        <w:t xml:space="preserve">AI-driven budgeting and personalized financial insight tools</w:t>
      </w:r>
    </w:p>
    <w:p>
      <w:pPr>
        <w:pStyle w:val="ListParagraph"/>
        <w:numPr>
          <w:ilvl w:val="0"/>
          <w:numId w:val="2"/>
        </w:numPr>
        <w:spacing w:after="90" w:line="290"/>
      </w:pPr>
      <w:r>
        <w:rPr>
          <w:color w:val="222222"/>
          <w:sz w:val="21"/>
          <w:szCs w:val="21"/>
        </w:rPr>
        <w:t xml:space="preserve">Embedded finance — the ability to surface third-party financial products natively within the app</w:t>
      </w:r>
    </w:p>
    <w:p>
      <w:pPr>
        <w:pStyle w:val="ListParagraph"/>
        <w:numPr>
          <w:ilvl w:val="0"/>
          <w:numId w:val="2"/>
        </w:numPr>
        <w:spacing w:after="90" w:line="290"/>
      </w:pPr>
      <w:r>
        <w:rPr>
          <w:color w:val="222222"/>
          <w:sz w:val="21"/>
          <w:szCs w:val="21"/>
        </w:rPr>
        <w:t xml:space="preserve">Sustainable/ESG-aligned banking product features (e.g., carbon tracking, sustainable investment options)</w:t>
      </w:r>
    </w:p>
    <w:p>
      <w:pPr>
        <w:pStyle w:val="ListParagraph"/>
        <w:numPr>
          <w:ilvl w:val="0"/>
          <w:numId w:val="2"/>
        </w:numPr>
        <w:spacing w:after="90" w:line="290"/>
      </w:pPr>
      <w:r>
        <w:rPr>
          <w:color w:val="222222"/>
          <w:sz w:val="21"/>
          <w:szCs w:val="21"/>
        </w:rPr>
        <w:t xml:space="preserve">A mobile-first, digital-only customer experience suited to a UK retail banking audience</w:t>
      </w:r>
    </w:p>
    <w:p>
      <w:pPr>
        <w:pStyle w:val="Heading2"/>
        <w:spacing w:after="90" w:before="200"/>
      </w:pPr>
      <w:r>
        <w:rPr>
          <w:b/>
          <w:bCs/>
          <w:color w:val="3D5A80"/>
          <w:sz w:val="22"/>
          <w:szCs w:val="22"/>
        </w:rPr>
        <w:t xml:space="preserve">4.3 Regulatory &amp; compliance requirements</w:t>
      </w:r>
    </w:p>
    <w:p>
      <w:pPr>
        <w:pStyle w:val="ListParagraph"/>
        <w:numPr>
          <w:ilvl w:val="0"/>
          <w:numId w:val="2"/>
        </w:numPr>
        <w:spacing w:after="90" w:line="290"/>
      </w:pPr>
      <w:r>
        <w:rPr>
          <w:color w:val="222222"/>
          <w:sz w:val="21"/>
          <w:szCs w:val="21"/>
        </w:rPr>
        <w:t xml:space="preserve">Support for compliance with applicable UK banking, payments, and data protection regulation</w:t>
      </w:r>
    </w:p>
    <w:p>
      <w:pPr>
        <w:pStyle w:val="ListParagraph"/>
        <w:numPr>
          <w:ilvl w:val="0"/>
          <w:numId w:val="2"/>
        </w:numPr>
        <w:spacing w:after="90" w:line="290"/>
      </w:pPr>
      <w:r>
        <w:rPr>
          <w:color w:val="222222"/>
          <w:sz w:val="21"/>
          <w:szCs w:val="21"/>
        </w:rPr>
        <w:t xml:space="preserve">Data residency and security controls appropriate to UK regulatory expectations</w:t>
      </w:r>
    </w:p>
    <w:p>
      <w:pPr>
        <w:pStyle w:val="ListParagraph"/>
        <w:numPr>
          <w:ilvl w:val="0"/>
          <w:numId w:val="2"/>
        </w:numPr>
        <w:spacing w:after="90" w:line="290"/>
      </w:pPr>
      <w:r>
        <w:rPr>
          <w:color w:val="222222"/>
          <w:sz w:val="21"/>
          <w:szCs w:val="21"/>
        </w:rPr>
        <w:t xml:space="preserve">Audit and reporting capability sufficient for UK regulatory examination</w:t>
      </w:r>
    </w:p>
    <w:p>
      <w:pPr>
        <w:pStyle w:val="Heading1"/>
        <w:spacing w:after="140" w:before="340"/>
      </w:pPr>
      <w:r>
        <w:rPr>
          <w:b/>
          <w:bCs/>
          <w:color w:val="1B2A4A"/>
          <w:sz w:val="27"/>
          <w:szCs w:val="27"/>
        </w:rPr>
        <w:t xml:space="preserve">5. Vendor Qualification Requirements</w:t>
      </w:r>
    </w:p>
    <w:p>
      <w:pPr>
        <w:pStyle w:val="ListParagraph"/>
        <w:numPr>
          <w:ilvl w:val="0"/>
          <w:numId w:val="2"/>
        </w:numPr>
        <w:spacing w:after="90" w:line="290"/>
      </w:pPr>
      <w:r>
        <w:rPr>
          <w:color w:val="222222"/>
          <w:sz w:val="21"/>
          <w:szCs w:val="21"/>
        </w:rPr>
        <w:t xml:space="preserve">Demonstrated track record supporting retail banking or fintech clients of comparable scale</w:t>
      </w:r>
    </w:p>
    <w:p>
      <w:pPr>
        <w:pStyle w:val="ListParagraph"/>
        <w:numPr>
          <w:ilvl w:val="0"/>
          <w:numId w:val="2"/>
        </w:numPr>
        <w:spacing w:after="90" w:line="290"/>
      </w:pPr>
      <w:r>
        <w:rPr>
          <w:color w:val="222222"/>
          <w:sz w:val="21"/>
          <w:szCs w:val="21"/>
        </w:rPr>
        <w:t xml:space="preserve">Financial stability sufficient to support a multi-year platform commitment</w:t>
      </w:r>
    </w:p>
    <w:p>
      <w:pPr>
        <w:pStyle w:val="ListParagraph"/>
        <w:numPr>
          <w:ilvl w:val="0"/>
          <w:numId w:val="2"/>
        </w:numPr>
        <w:spacing w:after="90" w:line="290"/>
      </w:pPr>
      <w:r>
        <w:rPr>
          <w:color w:val="222222"/>
          <w:sz w:val="21"/>
          <w:szCs w:val="21"/>
        </w:rPr>
        <w:t xml:space="preserve">Relevant regulatory authorizations or partnerships enabling UK operation</w:t>
      </w:r>
    </w:p>
    <w:p>
      <w:pPr>
        <w:pStyle w:val="ListParagraph"/>
        <w:numPr>
          <w:ilvl w:val="0"/>
          <w:numId w:val="2"/>
        </w:numPr>
        <w:spacing w:after="90" w:line="290"/>
      </w:pPr>
      <w:r>
        <w:rPr>
          <w:color w:val="222222"/>
          <w:sz w:val="21"/>
          <w:szCs w:val="21"/>
        </w:rPr>
        <w:t xml:space="preserve">At least [two] client references from comparable engagements</w:t>
      </w:r>
    </w:p>
    <w:p>
      <w:pPr>
        <w:pStyle w:val="Heading1"/>
        <w:spacing w:after="140" w:before="340"/>
      </w:pPr>
      <w:r>
        <w:rPr>
          <w:b/>
          <w:bCs/>
          <w:color w:val="1B2A4A"/>
          <w:sz w:val="27"/>
          <w:szCs w:val="27"/>
        </w:rPr>
        <w:t xml:space="preserve">6. Evaluation Criteria &amp; Weighting</w:t>
      </w:r>
    </w:p>
    <w:p>
      <w:pPr>
        <w:spacing w:after="140" w:line="300"/>
      </w:pPr>
      <w:r>
        <w:rPr>
          <w:color w:val="222222"/>
          <w:sz w:val="21"/>
          <w:szCs w:val="21"/>
        </w:rPr>
        <w:t xml:space="preserve">Proposals will be scored against the following weighted categories. This section reflects the evaluation method only; no scoring has been applied at the time of issuance.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gridCol w:w="1800"/>
      </w:tblGrid>
      <w:tr>
        <w:trPr>
          <w:tblHeader/>
        </w:trPr>
        <w:tc>
          <w:tcPr>
            <w:tcW w:type="dxa" w:w="3200"/>
            <w:shd w:fill="1B2A4A" w:val="clear"/>
            <w:tcMar>
              <w:top w:type="dxa" w:w="100"/>
              <w:left w:type="dxa" w:w="120"/>
              <w:bottom w:type="dxa" w:w="100"/>
              <w:right w:type="dxa" w:w="120"/>
            </w:tcMar>
          </w:tcPr>
          <w:p>
            <w:r>
              <w:rPr>
                <w:b/>
                <w:bCs/>
                <w:color w:val="FFFFFF"/>
                <w:sz w:val="19"/>
                <w:szCs w:val="19"/>
              </w:rPr>
              <w:t xml:space="preserve">Evaluation category</w:t>
            </w:r>
          </w:p>
        </w:tc>
        <w:tc>
          <w:tcPr>
            <w:tcW w:type="dxa" w:w="5600"/>
            <w:shd w:fill="1B2A4A" w:val="clear"/>
            <w:tcMar>
              <w:top w:type="dxa" w:w="100"/>
              <w:left w:type="dxa" w:w="120"/>
              <w:bottom w:type="dxa" w:w="100"/>
              <w:right w:type="dxa" w:w="120"/>
            </w:tcMar>
          </w:tcPr>
          <w:p>
            <w:r>
              <w:rPr>
                <w:b/>
                <w:bCs/>
                <w:color w:val="FFFFFF"/>
                <w:sz w:val="19"/>
                <w:szCs w:val="19"/>
              </w:rPr>
              <w:t xml:space="preserve">What is assessed</w:t>
            </w:r>
          </w:p>
        </w:tc>
        <w:tc>
          <w:tcPr>
            <w:tcW w:type="dxa" w:w="1800"/>
            <w:shd w:fill="1B2A4A" w:val="clear"/>
            <w:tcMar>
              <w:top w:type="dxa" w:w="100"/>
              <w:left w:type="dxa" w:w="120"/>
              <w:bottom w:type="dxa" w:w="100"/>
              <w:right w:type="dxa" w:w="120"/>
            </w:tcMar>
          </w:tcPr>
          <w:p>
            <w:r>
              <w:rPr>
                <w:b/>
                <w:bCs/>
                <w:color w:val="FFFFFF"/>
                <w:sz w:val="19"/>
                <w:szCs w:val="19"/>
              </w:rPr>
              <w:t xml:space="preserve">Weight*</w:t>
            </w:r>
          </w:p>
        </w:tc>
      </w:tr>
      <w:tr>
        <w:tc>
          <w:tcPr>
            <w:tcW w:type="dxa" w:w="3200"/>
            <w:shd w:fill="EEF1F5" w:val="clear"/>
            <w:tcMar>
              <w:top w:type="dxa" w:w="100"/>
              <w:left w:type="dxa" w:w="120"/>
              <w:bottom w:type="dxa" w:w="100"/>
              <w:right w:type="dxa" w:w="120"/>
            </w:tcMar>
          </w:tcPr>
          <w:p>
            <w:r>
              <w:rPr>
                <w:b w:val="false"/>
                <w:bCs w:val="false"/>
                <w:color w:val="222222"/>
                <w:sz w:val="19"/>
                <w:szCs w:val="19"/>
              </w:rPr>
              <w:t xml:space="preserve">Technology architecture</w:t>
            </w:r>
          </w:p>
        </w:tc>
        <w:tc>
          <w:tcPr>
            <w:tcW w:type="dxa" w:w="5600"/>
            <w:shd w:fill="EEF1F5" w:val="clear"/>
            <w:tcMar>
              <w:top w:type="dxa" w:w="100"/>
              <w:left w:type="dxa" w:w="120"/>
              <w:bottom w:type="dxa" w:w="100"/>
              <w:right w:type="dxa" w:w="120"/>
            </w:tcMar>
          </w:tcPr>
          <w:p>
            <w:r>
              <w:rPr>
                <w:b w:val="false"/>
                <w:bCs w:val="false"/>
                <w:color w:val="222222"/>
                <w:sz w:val="19"/>
                <w:szCs w:val="19"/>
              </w:rPr>
              <w:t xml:space="preserve">API design and openness, integration effort, core banking flexibility, extensibility for future product features</w:t>
            </w:r>
          </w:p>
        </w:tc>
        <w:tc>
          <w:tcPr>
            <w:tcW w:type="dxa" w:w="1800"/>
            <w:shd w:fill="EEF1F5" w:val="clear"/>
            <w:tcMar>
              <w:top w:type="dxa" w:w="100"/>
              <w:left w:type="dxa" w:w="120"/>
              <w:bottom w:type="dxa" w:w="100"/>
              <w:right w:type="dxa" w:w="120"/>
            </w:tcMar>
          </w:tcPr>
          <w:p>
            <w:r>
              <w:rPr>
                <w:b w:val="false"/>
                <w:bCs w:val="false"/>
                <w:color w:val="222222"/>
                <w:sz w:val="19"/>
                <w:szCs w:val="19"/>
              </w:rPr>
              <w:t xml:space="preserve">30%</w:t>
            </w:r>
          </w:p>
        </w:tc>
      </w:tr>
      <w:tr>
        <w:tc>
          <w:tcPr>
            <w:tcW w:type="dxa" w:w="3200"/>
            <w:tcMar>
              <w:top w:type="dxa" w:w="100"/>
              <w:left w:type="dxa" w:w="120"/>
              <w:bottom w:type="dxa" w:w="100"/>
              <w:right w:type="dxa" w:w="120"/>
            </w:tcMar>
          </w:tcPr>
          <w:p>
            <w:r>
              <w:rPr>
                <w:b w:val="false"/>
                <w:bCs w:val="false"/>
                <w:color w:val="222222"/>
                <w:sz w:val="19"/>
                <w:szCs w:val="19"/>
              </w:rPr>
              <w:t xml:space="preserve">Regulatory compliance</w:t>
            </w:r>
          </w:p>
        </w:tc>
        <w:tc>
          <w:tcPr>
            <w:tcW w:type="dxa" w:w="5600"/>
            <w:tcMar>
              <w:top w:type="dxa" w:w="100"/>
              <w:left w:type="dxa" w:w="120"/>
              <w:bottom w:type="dxa" w:w="100"/>
              <w:right w:type="dxa" w:w="120"/>
            </w:tcMar>
          </w:tcPr>
          <w:p>
            <w:r>
              <w:rPr>
                <w:b w:val="false"/>
                <w:bCs w:val="false"/>
                <w:color w:val="222222"/>
                <w:sz w:val="19"/>
                <w:szCs w:val="19"/>
              </w:rPr>
              <w:t xml:space="preserve">Fit with UK banking, payments, and data protection regulation; existing licenses/authorizations relevant to UK operation</w:t>
            </w:r>
          </w:p>
        </w:tc>
        <w:tc>
          <w:tcPr>
            <w:tcW w:type="dxa" w:w="1800"/>
            <w:tcMar>
              <w:top w:type="dxa" w:w="100"/>
              <w:left w:type="dxa" w:w="120"/>
              <w:bottom w:type="dxa" w:w="100"/>
              <w:right w:type="dxa" w:w="120"/>
            </w:tcMar>
          </w:tcPr>
          <w:p>
            <w:r>
              <w:rPr>
                <w:b w:val="false"/>
                <w:bCs w:val="false"/>
                <w:color w:val="222222"/>
                <w:sz w:val="19"/>
                <w:szCs w:val="19"/>
              </w:rPr>
              <w:t xml:space="preserve">30%</w:t>
            </w:r>
          </w:p>
        </w:tc>
      </w:tr>
      <w:tr>
        <w:tc>
          <w:tcPr>
            <w:tcW w:type="dxa" w:w="3200"/>
            <w:shd w:fill="EEF1F5" w:val="clear"/>
            <w:tcMar>
              <w:top w:type="dxa" w:w="100"/>
              <w:left w:type="dxa" w:w="120"/>
              <w:bottom w:type="dxa" w:w="100"/>
              <w:right w:type="dxa" w:w="120"/>
            </w:tcMar>
          </w:tcPr>
          <w:p>
            <w:r>
              <w:rPr>
                <w:b w:val="false"/>
                <w:bCs w:val="false"/>
                <w:color w:val="222222"/>
                <w:sz w:val="19"/>
                <w:szCs w:val="19"/>
              </w:rPr>
              <w:t xml:space="preserve">Scalability</w:t>
            </w:r>
          </w:p>
        </w:tc>
        <w:tc>
          <w:tcPr>
            <w:tcW w:type="dxa" w:w="5600"/>
            <w:shd w:fill="EEF1F5" w:val="clear"/>
            <w:tcMar>
              <w:top w:type="dxa" w:w="100"/>
              <w:left w:type="dxa" w:w="120"/>
              <w:bottom w:type="dxa" w:w="100"/>
              <w:right w:type="dxa" w:w="120"/>
            </w:tcMar>
          </w:tcPr>
          <w:p>
            <w:r>
              <w:rPr>
                <w:b w:val="false"/>
                <w:bCs w:val="false"/>
                <w:color w:val="222222"/>
                <w:sz w:val="19"/>
                <w:szCs w:val="19"/>
              </w:rPr>
              <w:t xml:space="preserve">Ability to support growth in customer volume and transaction throughput without re-platforming</w:t>
            </w:r>
          </w:p>
        </w:tc>
        <w:tc>
          <w:tcPr>
            <w:tcW w:type="dxa" w:w="1800"/>
            <w:shd w:fill="EEF1F5" w:val="clear"/>
            <w:tcMar>
              <w:top w:type="dxa" w:w="100"/>
              <w:left w:type="dxa" w:w="120"/>
              <w:bottom w:type="dxa" w:w="100"/>
              <w:right w:type="dxa" w:w="120"/>
            </w:tcMar>
          </w:tcPr>
          <w:p>
            <w:r>
              <w:rPr>
                <w:b w:val="false"/>
                <w:bCs w:val="false"/>
                <w:color w:val="222222"/>
                <w:sz w:val="19"/>
                <w:szCs w:val="19"/>
              </w:rPr>
              <w:t xml:space="preserve">20%</w:t>
            </w:r>
          </w:p>
        </w:tc>
      </w:tr>
      <w:tr>
        <w:tc>
          <w:tcPr>
            <w:tcW w:type="dxa" w:w="3200"/>
            <w:tcMar>
              <w:top w:type="dxa" w:w="100"/>
              <w:left w:type="dxa" w:w="120"/>
              <w:bottom w:type="dxa" w:w="100"/>
              <w:right w:type="dxa" w:w="120"/>
            </w:tcMar>
          </w:tcPr>
          <w:p>
            <w:r>
              <w:rPr>
                <w:b w:val="false"/>
                <w:bCs w:val="false"/>
                <w:color w:val="222222"/>
                <w:sz w:val="19"/>
                <w:szCs w:val="19"/>
              </w:rPr>
              <w:t xml:space="preserve">Cost structure</w:t>
            </w:r>
          </w:p>
        </w:tc>
        <w:tc>
          <w:tcPr>
            <w:tcW w:type="dxa" w:w="5600"/>
            <w:tcMar>
              <w:top w:type="dxa" w:w="100"/>
              <w:left w:type="dxa" w:w="120"/>
              <w:bottom w:type="dxa" w:w="100"/>
              <w:right w:type="dxa" w:w="120"/>
            </w:tcMar>
          </w:tcPr>
          <w:p>
            <w:r>
              <w:rPr>
                <w:b w:val="false"/>
                <w:bCs w:val="false"/>
                <w:color w:val="222222"/>
                <w:sz w:val="19"/>
                <w:szCs w:val="19"/>
              </w:rPr>
              <w:t xml:space="preserve">Licensing, per-transaction, and implementation costs; transparency and predictability of the pricing model</w:t>
            </w:r>
          </w:p>
        </w:tc>
        <w:tc>
          <w:tcPr>
            <w:tcW w:type="dxa" w:w="1800"/>
            <w:tcMar>
              <w:top w:type="dxa" w:w="100"/>
              <w:left w:type="dxa" w:w="120"/>
              <w:bottom w:type="dxa" w:w="100"/>
              <w:right w:type="dxa" w:w="120"/>
            </w:tcMar>
          </w:tcPr>
          <w:p>
            <w:r>
              <w:rPr>
                <w:b w:val="false"/>
                <w:bCs w:val="false"/>
                <w:color w:val="222222"/>
                <w:sz w:val="19"/>
                <w:szCs w:val="19"/>
              </w:rPr>
              <w:t xml:space="preserve">20%</w:t>
            </w:r>
          </w:p>
        </w:tc>
      </w:tr>
    </w:tbl>
    <w:p>
      <w:pPr>
        <w:spacing w:after="160" w:line="280"/>
      </w:pPr>
      <w:r>
        <w:rPr>
          <w:i/>
          <w:iCs/>
          <w:color w:val="5B6685"/>
          <w:sz w:val="18"/>
          <w:szCs w:val="18"/>
        </w:rPr>
        <w:t xml:space="preserve">*Illustrative weighting — to be confirmed against Client X's finalized priorities prior to issuance.</w:t>
      </w:r>
    </w:p>
    <w:p>
      <w:pPr>
        <w:pStyle w:val="Heading1"/>
        <w:spacing w:after="140" w:before="340"/>
      </w:pPr>
      <w:r>
        <w:rPr>
          <w:b/>
          <w:bCs/>
          <w:color w:val="1B2A4A"/>
          <w:sz w:val="27"/>
          <w:szCs w:val="27"/>
        </w:rPr>
        <w:t xml:space="preserve">7. Proposal Submission Requirements</w:t>
      </w:r>
    </w:p>
    <w:p>
      <w:pPr>
        <w:spacing w:after="140" w:line="300"/>
      </w:pPr>
      <w:r>
        <w:rPr>
          <w:color w:val="222222"/>
          <w:sz w:val="21"/>
          <w:szCs w:val="21"/>
        </w:rPr>
        <w:t xml:space="preserve">Vendor proposals must include the following sections:</w:t>
      </w:r>
    </w:p>
    <w:p>
      <w:pPr>
        <w:pStyle w:val="ListParagraph"/>
        <w:numPr>
          <w:ilvl w:val="0"/>
          <w:numId w:val="2"/>
        </w:numPr>
        <w:spacing w:after="90" w:line="290"/>
      </w:pPr>
      <w:r>
        <w:rPr>
          <w:color w:val="222222"/>
          <w:sz w:val="21"/>
          <w:szCs w:val="21"/>
        </w:rPr>
        <w:t xml:space="preserve">Company overview and relevant experience</w:t>
      </w:r>
    </w:p>
    <w:p>
      <w:pPr>
        <w:pStyle w:val="ListParagraph"/>
        <w:numPr>
          <w:ilvl w:val="0"/>
          <w:numId w:val="2"/>
        </w:numPr>
        <w:spacing w:after="90" w:line="290"/>
      </w:pPr>
      <w:r>
        <w:rPr>
          <w:color w:val="222222"/>
          <w:sz w:val="21"/>
          <w:szCs w:val="21"/>
        </w:rPr>
        <w:t xml:space="preserve">Technical approach, including how each requirement in Section 4 is met</w:t>
      </w:r>
    </w:p>
    <w:p>
      <w:pPr>
        <w:pStyle w:val="ListParagraph"/>
        <w:numPr>
          <w:ilvl w:val="0"/>
          <w:numId w:val="2"/>
        </w:numPr>
        <w:spacing w:after="90" w:line="290"/>
      </w:pPr>
      <w:r>
        <w:rPr>
          <w:color w:val="222222"/>
          <w:sz w:val="21"/>
          <w:szCs w:val="21"/>
        </w:rPr>
        <w:t xml:space="preserve">Security, compliance, and regulatory posture relevant to UK operation</w:t>
      </w:r>
    </w:p>
    <w:p>
      <w:pPr>
        <w:pStyle w:val="ListParagraph"/>
        <w:numPr>
          <w:ilvl w:val="0"/>
          <w:numId w:val="2"/>
        </w:numPr>
        <w:spacing w:after="90" w:line="290"/>
      </w:pPr>
      <w:r>
        <w:rPr>
          <w:color w:val="222222"/>
          <w:sz w:val="21"/>
          <w:szCs w:val="21"/>
        </w:rPr>
        <w:t xml:space="preserve">Pricing model, including licensing, transaction, and implementation costs</w:t>
      </w:r>
    </w:p>
    <w:p>
      <w:pPr>
        <w:pStyle w:val="ListParagraph"/>
        <w:numPr>
          <w:ilvl w:val="0"/>
          <w:numId w:val="2"/>
        </w:numPr>
        <w:spacing w:after="90" w:line="290"/>
      </w:pPr>
      <w:r>
        <w:rPr>
          <w:color w:val="222222"/>
          <w:sz w:val="21"/>
          <w:szCs w:val="21"/>
        </w:rPr>
        <w:t xml:space="preserve">Proposed implementation plan and timeline</w:t>
      </w:r>
    </w:p>
    <w:p>
      <w:pPr>
        <w:pStyle w:val="ListParagraph"/>
        <w:numPr>
          <w:ilvl w:val="0"/>
          <w:numId w:val="2"/>
        </w:numPr>
        <w:spacing w:after="90" w:line="290"/>
      </w:pPr>
      <w:r>
        <w:rPr>
          <w:color w:val="222222"/>
          <w:sz w:val="21"/>
          <w:szCs w:val="21"/>
        </w:rPr>
        <w:t xml:space="preserve">Client references</w:t>
      </w:r>
    </w:p>
    <w:p>
      <w:pPr>
        <w:pStyle w:val="Heading1"/>
        <w:spacing w:after="140" w:before="340"/>
      </w:pPr>
      <w:r>
        <w:rPr>
          <w:b/>
          <w:bCs/>
          <w:color w:val="1B2A4A"/>
          <w:sz w:val="27"/>
          <w:szCs w:val="27"/>
        </w:rPr>
        <w:t xml:space="preserve">8. Indicative Timeline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B2A4A" w:val="clear"/>
            <w:tcMar>
              <w:top w:type="dxa" w:w="100"/>
              <w:left w:type="dxa" w:w="120"/>
              <w:bottom w:type="dxa" w:w="100"/>
              <w:right w:type="dxa" w:w="120"/>
            </w:tcMar>
          </w:tcPr>
          <w:p>
            <w:r>
              <w:rPr>
                <w:b/>
                <w:bCs/>
                <w:color w:val="FFFFFF"/>
                <w:sz w:val="19"/>
                <w:szCs w:val="19"/>
              </w:rPr>
              <w:t xml:space="preserve">Milestone</w:t>
            </w:r>
          </w:p>
        </w:tc>
        <w:tc>
          <w:tcPr>
            <w:tcW w:type="dxa" w:w="7800"/>
            <w:shd w:fill="1B2A4A" w:val="clear"/>
            <w:tcMar>
              <w:top w:type="dxa" w:w="100"/>
              <w:left w:type="dxa" w:w="120"/>
              <w:bottom w:type="dxa" w:w="100"/>
              <w:right w:type="dxa" w:w="120"/>
            </w:tcMar>
          </w:tcPr>
          <w:p>
            <w:r>
              <w:rPr>
                <w:b/>
                <w:bCs/>
                <w:color w:val="FFFFFF"/>
                <w:sz w:val="19"/>
                <w:szCs w:val="19"/>
              </w:rPr>
              <w:t xml:space="preserve">Target date</w:t>
            </w:r>
          </w:p>
        </w:tc>
      </w:tr>
      <w:tr>
        <w:tc>
          <w:tcPr>
            <w:tcW w:type="dxa" w:w="2400"/>
            <w:shd w:fill="EEF1F5" w:val="clear"/>
            <w:tcMar>
              <w:top w:type="dxa" w:w="100"/>
              <w:left w:type="dxa" w:w="120"/>
              <w:bottom w:type="dxa" w:w="100"/>
              <w:right w:type="dxa" w:w="120"/>
            </w:tcMar>
          </w:tcPr>
          <w:p>
            <w:r>
              <w:rPr>
                <w:b w:val="false"/>
                <w:bCs w:val="false"/>
                <w:color w:val="222222"/>
                <w:sz w:val="19"/>
                <w:szCs w:val="19"/>
              </w:rPr>
              <w:t xml:space="preserve">RFP issued</w:t>
            </w:r>
          </w:p>
        </w:tc>
        <w:tc>
          <w:tcPr>
            <w:tcW w:type="dxa" w:w="7800"/>
            <w:shd w:fill="EEF1F5" w:val="clear"/>
            <w:tcMar>
              <w:top w:type="dxa" w:w="100"/>
              <w:left w:type="dxa" w:w="120"/>
              <w:bottom w:type="dxa" w:w="100"/>
              <w:right w:type="dxa" w:w="120"/>
            </w:tcMar>
          </w:tcPr>
          <w:p>
            <w:r>
              <w:rPr>
                <w:b w:val="false"/>
                <w:bCs w:val="false"/>
                <w:color w:val="222222"/>
                <w:sz w:val="19"/>
                <w:szCs w:val="19"/>
              </w:rPr>
              <w:t xml:space="preserve">[Issue date]</w:t>
            </w:r>
          </w:p>
        </w:tc>
      </w:tr>
      <w:tr>
        <w:tc>
          <w:tcPr>
            <w:tcW w:type="dxa" w:w="2400"/>
            <w:tcMar>
              <w:top w:type="dxa" w:w="100"/>
              <w:left w:type="dxa" w:w="120"/>
              <w:bottom w:type="dxa" w:w="100"/>
              <w:right w:type="dxa" w:w="120"/>
            </w:tcMar>
          </w:tcPr>
          <w:p>
            <w:r>
              <w:rPr>
                <w:b w:val="false"/>
                <w:bCs w:val="false"/>
                <w:color w:val="222222"/>
                <w:sz w:val="19"/>
                <w:szCs w:val="19"/>
              </w:rPr>
              <w:t xml:space="preserve">Vendor Q&amp;A window closes</w:t>
            </w:r>
          </w:p>
        </w:tc>
        <w:tc>
          <w:tcPr>
            <w:tcW w:type="dxa" w:w="7800"/>
            <w:tcMar>
              <w:top w:type="dxa" w:w="100"/>
              <w:left w:type="dxa" w:w="120"/>
              <w:bottom w:type="dxa" w:w="100"/>
              <w:right w:type="dxa" w:w="120"/>
            </w:tcMar>
          </w:tcPr>
          <w:p>
            <w:r>
              <w:rPr>
                <w:b w:val="false"/>
                <w:bCs w:val="false"/>
                <w:color w:val="222222"/>
                <w:sz w:val="19"/>
                <w:szCs w:val="19"/>
              </w:rPr>
              <w:t xml:space="preserve">[Issue date + 2 weeks]</w:t>
            </w:r>
          </w:p>
        </w:tc>
      </w:tr>
      <w:tr>
        <w:tc>
          <w:tcPr>
            <w:tcW w:type="dxa" w:w="2400"/>
            <w:shd w:fill="EEF1F5" w:val="clear"/>
            <w:tcMar>
              <w:top w:type="dxa" w:w="100"/>
              <w:left w:type="dxa" w:w="120"/>
              <w:bottom w:type="dxa" w:w="100"/>
              <w:right w:type="dxa" w:w="120"/>
            </w:tcMar>
          </w:tcPr>
          <w:p>
            <w:r>
              <w:rPr>
                <w:b w:val="false"/>
                <w:bCs w:val="false"/>
                <w:color w:val="222222"/>
                <w:sz w:val="19"/>
                <w:szCs w:val="19"/>
              </w:rPr>
              <w:t xml:space="preserve">Proposal submission deadline</w:t>
            </w:r>
          </w:p>
        </w:tc>
        <w:tc>
          <w:tcPr>
            <w:tcW w:type="dxa" w:w="7800"/>
            <w:shd w:fill="EEF1F5" w:val="clear"/>
            <w:tcMar>
              <w:top w:type="dxa" w:w="100"/>
              <w:left w:type="dxa" w:w="120"/>
              <w:bottom w:type="dxa" w:w="100"/>
              <w:right w:type="dxa" w:w="120"/>
            </w:tcMar>
          </w:tcPr>
          <w:p>
            <w:r>
              <w:rPr>
                <w:b w:val="false"/>
                <w:bCs w:val="false"/>
                <w:color w:val="222222"/>
                <w:sz w:val="19"/>
                <w:szCs w:val="19"/>
              </w:rPr>
              <w:t xml:space="preserve">[Issue date + 6 weeks]</w:t>
            </w:r>
          </w:p>
        </w:tc>
      </w:tr>
      <w:tr>
        <w:tc>
          <w:tcPr>
            <w:tcW w:type="dxa" w:w="2400"/>
            <w:tcMar>
              <w:top w:type="dxa" w:w="100"/>
              <w:left w:type="dxa" w:w="120"/>
              <w:bottom w:type="dxa" w:w="100"/>
              <w:right w:type="dxa" w:w="120"/>
            </w:tcMar>
          </w:tcPr>
          <w:p>
            <w:r>
              <w:rPr>
                <w:b w:val="false"/>
                <w:bCs w:val="false"/>
                <w:color w:val="222222"/>
                <w:sz w:val="19"/>
                <w:szCs w:val="19"/>
              </w:rPr>
              <w:t xml:space="preserve">Evaluation &amp; scoring period</w:t>
            </w:r>
          </w:p>
        </w:tc>
        <w:tc>
          <w:tcPr>
            <w:tcW w:type="dxa" w:w="7800"/>
            <w:tcMar>
              <w:top w:type="dxa" w:w="100"/>
              <w:left w:type="dxa" w:w="120"/>
              <w:bottom w:type="dxa" w:w="100"/>
              <w:right w:type="dxa" w:w="120"/>
            </w:tcMar>
          </w:tcPr>
          <w:p>
            <w:r>
              <w:rPr>
                <w:b w:val="false"/>
                <w:bCs w:val="false"/>
                <w:color w:val="222222"/>
                <w:sz w:val="19"/>
                <w:szCs w:val="19"/>
              </w:rPr>
              <w:t xml:space="preserve">[+ 2 weeks]</w:t>
            </w:r>
          </w:p>
        </w:tc>
      </w:tr>
      <w:tr>
        <w:tc>
          <w:tcPr>
            <w:tcW w:type="dxa" w:w="2400"/>
            <w:shd w:fill="EEF1F5" w:val="clear"/>
            <w:tcMar>
              <w:top w:type="dxa" w:w="100"/>
              <w:left w:type="dxa" w:w="120"/>
              <w:bottom w:type="dxa" w:w="100"/>
              <w:right w:type="dxa" w:w="120"/>
            </w:tcMar>
          </w:tcPr>
          <w:p>
            <w:r>
              <w:rPr>
                <w:b w:val="false"/>
                <w:bCs w:val="false"/>
                <w:color w:val="222222"/>
                <w:sz w:val="19"/>
                <w:szCs w:val="19"/>
              </w:rPr>
              <w:t xml:space="preserve">Shortlist demos &amp; due diligence</w:t>
            </w:r>
          </w:p>
        </w:tc>
        <w:tc>
          <w:tcPr>
            <w:tcW w:type="dxa" w:w="7800"/>
            <w:shd w:fill="EEF1F5" w:val="clear"/>
            <w:tcMar>
              <w:top w:type="dxa" w:w="100"/>
              <w:left w:type="dxa" w:w="120"/>
              <w:bottom w:type="dxa" w:w="100"/>
              <w:right w:type="dxa" w:w="120"/>
            </w:tcMar>
          </w:tcPr>
          <w:p>
            <w:r>
              <w:rPr>
                <w:b w:val="false"/>
                <w:bCs w:val="false"/>
                <w:color w:val="222222"/>
                <w:sz w:val="19"/>
                <w:szCs w:val="19"/>
              </w:rPr>
              <w:t xml:space="preserve">[+ 2 weeks]</w:t>
            </w:r>
          </w:p>
        </w:tc>
      </w:tr>
      <w:tr>
        <w:tc>
          <w:tcPr>
            <w:tcW w:type="dxa" w:w="2400"/>
            <w:tcMar>
              <w:top w:type="dxa" w:w="100"/>
              <w:left w:type="dxa" w:w="120"/>
              <w:bottom w:type="dxa" w:w="100"/>
              <w:right w:type="dxa" w:w="120"/>
            </w:tcMar>
          </w:tcPr>
          <w:p>
            <w:r>
              <w:rPr>
                <w:b w:val="false"/>
                <w:bCs w:val="false"/>
                <w:color w:val="222222"/>
                <w:sz w:val="19"/>
                <w:szCs w:val="19"/>
              </w:rPr>
              <w:t xml:space="preserve">Vendor selection &amp; notification</w:t>
            </w:r>
          </w:p>
        </w:tc>
        <w:tc>
          <w:tcPr>
            <w:tcW w:type="dxa" w:w="7800"/>
            <w:tcMar>
              <w:top w:type="dxa" w:w="100"/>
              <w:left w:type="dxa" w:w="120"/>
              <w:bottom w:type="dxa" w:w="100"/>
              <w:right w:type="dxa" w:w="120"/>
            </w:tcMar>
          </w:tcPr>
          <w:p>
            <w:r>
              <w:rPr>
                <w:b w:val="false"/>
                <w:bCs w:val="false"/>
                <w:color w:val="222222"/>
                <w:sz w:val="19"/>
                <w:szCs w:val="19"/>
              </w:rPr>
              <w:t xml:space="preserve">[+ 1 week]</w:t>
            </w:r>
          </w:p>
        </w:tc>
      </w:tr>
    </w:tbl>
    <w:p>
      <w:pPr>
        <w:pStyle w:val="Heading1"/>
        <w:spacing w:after="140" w:before="340"/>
      </w:pPr>
      <w:r>
        <w:rPr>
          <w:b/>
          <w:bCs/>
          <w:color w:val="1B2A4A"/>
          <w:sz w:val="27"/>
          <w:szCs w:val="27"/>
        </w:rPr>
        <w:t xml:space="preserve">9. Submission Instructions &amp; Terms</w:t>
      </w:r>
    </w:p>
    <w:p>
      <w:pPr>
        <w:pStyle w:val="ListParagraph"/>
        <w:numPr>
          <w:ilvl w:val="0"/>
          <w:numId w:val="2"/>
        </w:numPr>
        <w:spacing w:after="90" w:line="290"/>
      </w:pPr>
      <w:r>
        <w:rPr>
          <w:color w:val="222222"/>
          <w:sz w:val="21"/>
          <w:szCs w:val="21"/>
        </w:rPr>
        <w:t xml:space="preserve">Proposals must be submitted to [submission contact/portal] by the deadline stated above</w:t>
      </w:r>
    </w:p>
    <w:p>
      <w:pPr>
        <w:pStyle w:val="ListParagraph"/>
        <w:numPr>
          <w:ilvl w:val="0"/>
          <w:numId w:val="2"/>
        </w:numPr>
        <w:spacing w:after="90" w:line="290"/>
      </w:pPr>
      <w:r>
        <w:rPr>
          <w:color w:val="222222"/>
          <w:sz w:val="21"/>
          <w:szCs w:val="21"/>
        </w:rPr>
        <w:t xml:space="preserve">Client X reserves the right to reject any or all proposals, and to amend or withdraw this RFP at any time</w:t>
      </w:r>
    </w:p>
    <w:p>
      <w:pPr>
        <w:pStyle w:val="ListParagraph"/>
        <w:numPr>
          <w:ilvl w:val="0"/>
          <w:numId w:val="2"/>
        </w:numPr>
        <w:spacing w:after="90" w:line="290"/>
      </w:pPr>
      <w:r>
        <w:rPr>
          <w:color w:val="222222"/>
          <w:sz w:val="21"/>
          <w:szCs w:val="21"/>
        </w:rPr>
        <w:t xml:space="preserve">Costs of proposal preparation are borne solely by the vendor</w:t>
      </w:r>
    </w:p>
    <w:p>
      <w:pPr>
        <w:pStyle w:val="ListParagraph"/>
        <w:numPr>
          <w:ilvl w:val="0"/>
          <w:numId w:val="2"/>
        </w:numPr>
        <w:spacing w:after="90" w:line="290"/>
      </w:pPr>
      <w:r>
        <w:rPr>
          <w:color w:val="222222"/>
          <w:sz w:val="21"/>
          <w:szCs w:val="21"/>
        </w:rPr>
        <w:t xml:space="preserve">This RFP does not constitute an offer or a binding commitment to contract with any vendor</w:t>
      </w:r>
    </w:p>
    <w:p>
      <w:pPr>
        <w:pStyle w:val="ListParagraph"/>
        <w:numPr>
          <w:ilvl w:val="0"/>
          <w:numId w:val="2"/>
        </w:numPr>
        <w:spacing w:after="90" w:line="290"/>
      </w:pPr>
      <w:r>
        <w:rPr>
          <w:color w:val="222222"/>
          <w:sz w:val="21"/>
          <w:szCs w:val="21"/>
        </w:rPr>
        <w:t xml:space="preserve">Submitted materials will be treated as confidential and used solely for the purposes of this evaluation</w:t>
      </w:r>
    </w:p>
    <w:p>
      <w:pPr>
        <w:pBdr>
          <w:top w:val="single" w:color="D9DEE7" w:sz="6" w:space="8"/>
        </w:pBdr>
        <w:spacing w:before="260"/>
      </w:pPr>
      <w:r>
        <w:rPr>
          <w:i/>
          <w:iCs/>
          <w:color w:val="5B6685"/>
          <w:sz w:val="16"/>
          <w:szCs w:val="16"/>
        </w:rPr>
        <w:t xml:space="preserve">End of RFP. Prepared as a reference/template document — placeholders in brackets should be completed before issuance.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2026-08-16T06:19:27.785Z</dcterms:created>
  <dcterms:modified xsi:type="dcterms:W3CDTF">2026-08-16T06:19:27.798Z</dcterms:modified>
</cp:coreProperties>
</file>

<file path=docProps/custom.xml><?xml version="1.0" encoding="utf-8"?>
<Properties xmlns="http://schemas.openxmlformats.org/officeDocument/2006/custom-properties" xmlns:vt="http://schemas.openxmlformats.org/officeDocument/2006/docPropsVTypes"/>
</file>