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(the "Agreement") is entered into between Acme Corp and Widget Inc (each a "party" and together the "parties").</w:t>
      </w:r>
    </w:p>
    <w:p>
      <w:pPr>
        <w:pStyle w:val="Heading1"/>
      </w:pPr>
      <w:r>
        <w:t>Part A - Confidentiality</w:t>
      </w:r>
    </w:p>
    <w:p>
      <w:pPr>
        <w:pStyle w:val="Heading2"/>
      </w:pPr>
      <w:r>
        <w:t>1. Definitions</w:t>
      </w:r>
    </w:p>
    <w:p>
      <w:r>
        <w:t>"Confidential Information" means all information disclosed by the Disclosing Party to the Receiving Party, whether orally, in writing or in any other form, that is designated as confidential or that reasonably should be understood to be confidential.</w:t>
      </w:r>
    </w:p>
    <w:p>
      <w:pPr>
        <w:pStyle w:val="Heading2"/>
      </w:pPr>
      <w:r>
        <w:t>2. Confidentiality Obligations</w:t>
      </w:r>
    </w:p>
    <w:p>
      <w:r>
        <w:t>The Receiving Party shall hold the Confidential Information in strict confidence and shall not disclose it to any third party without the prior written consent of the Disclosing Party.</w:t>
      </w:r>
    </w:p>
    <w:p>
      <w:pPr>
        <w:pStyle w:val="Heading2"/>
      </w:pPr>
      <w:r>
        <w:t>3. Permitted Disclosures</w:t>
      </w:r>
    </w:p>
    <w:p>
      <w:r>
        <w:t>The Receiving Party may disclose Confidential Information to its employees and professional advisers who need to know it, provided that such persons are bound by confidentiality obligations no less onerous than those set out in this Agreement.</w:t>
      </w:r>
    </w:p>
    <w:p>
      <w:pPr>
        <w:sectPr>
          <w:pgSz w:w="12240" w:h="15840"/>
          <w:pgMar w:top="1440" w:right="1800" w:bottom="1440" w:left="1800" w:header="720" w:footer="720" w:gutter="0"/>
          <w:cols w:space="720"/>
          <w:docGrid w:linePitch="360"/>
        </w:sectPr>
      </w:pPr>
    </w:p>
    <w:p>
      <w:pPr>
        <w:pStyle w:val="Heading1"/>
      </w:pPr>
      <w:r>
        <w:t>Part B - Term and Materials</w:t>
      </w:r>
    </w:p>
    <w:p>
      <w:pPr>
        <w:pStyle w:val="Heading2"/>
      </w:pPr>
      <w:r>
        <w:t>4. Term and Termination</w:t>
      </w:r>
    </w:p>
    <w:p>
      <w:r>
        <w:t>This Agreement shall commence on the Effective Date and shall continue in force for a period of five (5) years, unless terminated earlier by either party on thirty (30) days written notice.</w:t>
      </w:r>
    </w:p>
    <w:p>
      <w:pPr>
        <w:pStyle w:val="Heading2"/>
      </w:pPr>
      <w:r>
        <w:t>5. Return of Materials</w:t>
      </w:r>
    </w:p>
    <w:p>
      <w:r>
        <w:t>Upon termination or expiry of this Agreement, the Receiving Party shall promptly return or destroy all materials containing Confidential Information and shall certify such destruction in writing if requested.</w:t>
      </w:r>
    </w:p>
    <w:p>
      <w:pPr>
        <w:pStyle w:val="Heading2"/>
      </w:pPr>
      <w:r>
        <w:t>6. No Licence</w:t>
      </w:r>
    </w:p>
    <w:p>
      <w:r>
        <w:t>Nothing in this Agreement grants the Receiving Party any licence or right in respect of any intellectual property of the Disclosing Party other than as expressly set out herein.</w:t>
      </w:r>
    </w:p>
    <w:p>
      <w:pPr>
        <w:sectPr>
          <w:pgSz w:w="12240" w:h="15840"/>
          <w:pgMar w:top="1440" w:right="1800" w:bottom="1440" w:left="1800" w:header="720" w:footer="720" w:gutter="0"/>
          <w:cols w:space="720"/>
          <w:docGrid w:linePitch="360"/>
        </w:sectPr>
      </w:pPr>
    </w:p>
    <w:p>
      <w:pPr>
        <w:pStyle w:val="Heading1"/>
      </w:pPr>
      <w:r>
        <w:t>Part C - General</w:t>
      </w:r>
    </w:p>
    <w:p>
      <w:pPr>
        <w:pStyle w:val="Heading2"/>
      </w:pPr>
      <w:r>
        <w:t>7. Governing Law</w:t>
      </w:r>
    </w:p>
    <w:p>
      <w:r>
        <w:t>This Agreement and any dispute or claim arising out of or in connection with it shall be governed by and construed in accordance with the laws of England and Wales.</w:t>
      </w:r>
    </w:p>
    <w:p>
      <w:pPr>
        <w:pStyle w:val="Heading2"/>
      </w:pPr>
      <w:r>
        <w:t>8. Limitation of Liability</w:t>
      </w:r>
    </w:p>
    <w:p>
      <w:r>
        <w:t>In no event shall either party be liable to the other for any indirect, special or consequential loss, including loss of profits, arising out of or in connection with this Agreement, whether in contract, tort or otherwise.</w:t>
      </w:r>
    </w:p>
    <w:p>
      <w:pPr>
        <w:pStyle w:val="Heading2"/>
      </w:pPr>
      <w:r>
        <w:t>9. Assignment and Novation</w:t>
      </w:r>
    </w:p>
    <w:p>
      <w:r>
        <w:t>Neither party may assign, novate or otherwise transfer any of its rights or obligations under this Agreement to any zephyr subsidiary or successor entity without the prior written consent of the other party, such consent not to be unreasonably withheld.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