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4D02" w14:textId="4E83CD49" w:rsidR="00DA061A" w:rsidRPr="008F5888" w:rsidRDefault="00DA061A" w:rsidP="00B5476C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F5888">
        <w:rPr>
          <w:b/>
          <w:bCs/>
          <w:color w:val="2F5496" w:themeColor="accent1" w:themeShade="BF"/>
          <w:sz w:val="24"/>
          <w:szCs w:val="24"/>
        </w:rPr>
        <w:t>InterQuaratile</w:t>
      </w:r>
      <w:proofErr w:type="spellEnd"/>
      <w:r w:rsidRPr="008F5888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B24BC0" w:rsidRPr="008F5888">
        <w:rPr>
          <w:b/>
          <w:bCs/>
          <w:color w:val="2F5496" w:themeColor="accent1" w:themeShade="BF"/>
          <w:sz w:val="24"/>
          <w:szCs w:val="24"/>
        </w:rPr>
        <w:t>Range</w:t>
      </w:r>
    </w:p>
    <w:p w14:paraId="198348CA" w14:textId="2289E3F7" w:rsidR="00B24BC0" w:rsidRPr="008F5888" w:rsidRDefault="00B24BC0" w:rsidP="00744BD9">
      <w:pPr>
        <w:tabs>
          <w:tab w:val="center" w:pos="4513"/>
        </w:tabs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Quartiles:</w:t>
      </w:r>
      <w:r w:rsidR="00744BD9" w:rsidRPr="008F5888">
        <w:rPr>
          <w:color w:val="FF0000"/>
          <w:sz w:val="24"/>
          <w:szCs w:val="24"/>
        </w:rPr>
        <w:tab/>
      </w:r>
    </w:p>
    <w:p w14:paraId="277E5E07" w14:textId="43723971" w:rsidR="00744BD9" w:rsidRPr="008F5888" w:rsidRDefault="00477820" w:rsidP="00744BD9">
      <w:pPr>
        <w:tabs>
          <w:tab w:val="center" w:pos="4513"/>
        </w:tabs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drawing>
          <wp:inline distT="0" distB="0" distL="0" distR="0" wp14:anchorId="10127401" wp14:editId="575AACCE">
            <wp:extent cx="4602480" cy="1368489"/>
            <wp:effectExtent l="0" t="0" r="7620" b="3175"/>
            <wp:docPr id="59616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0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374" cy="13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E9C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data is divided into four equal parts known as quartiles.</w:t>
      </w:r>
    </w:p>
    <w:p w14:paraId="067F2D7A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first quartile (Q1) is the value below which 25% of the data falls.</w:t>
      </w:r>
    </w:p>
    <w:p w14:paraId="58005CE3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third quartile (Q3) is the value below which 75% of the data falls.</w:t>
      </w:r>
    </w:p>
    <w:p w14:paraId="10B7D2AE" w14:textId="20F859D1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second quartile is the median, representing the middle value.</w:t>
      </w:r>
    </w:p>
    <w:p w14:paraId="468B93D3" w14:textId="58CAE489" w:rsidR="00B24BC0" w:rsidRPr="008F5888" w:rsidRDefault="00B24BC0" w:rsidP="00B24BC0">
      <w:pPr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IQR Calculation:</w:t>
      </w:r>
    </w:p>
    <w:p w14:paraId="73B2EF13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IQR is the range between the first quartile (Q1) and the third quartile (Q3).</w:t>
      </w:r>
    </w:p>
    <w:p w14:paraId="68BF09D5" w14:textId="14006FA1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 xml:space="preserve">Mathematically, </w:t>
      </w:r>
      <w:r w:rsidRPr="008F5888">
        <w:rPr>
          <w:b/>
          <w:bCs/>
          <w:sz w:val="24"/>
          <w:szCs w:val="24"/>
        </w:rPr>
        <w:t>IQR=Q3−Q1.</w:t>
      </w:r>
    </w:p>
    <w:p w14:paraId="4BA570FE" w14:textId="77777777" w:rsidR="00B24BC0" w:rsidRPr="008F5888" w:rsidRDefault="00B24BC0" w:rsidP="00B24BC0">
      <w:pPr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1.5 times IQR Rule:</w:t>
      </w:r>
    </w:p>
    <w:p w14:paraId="5F6FD04C" w14:textId="7AAE4DA8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The 1.5 times IQR rule is used to identify potential outliers in a dataset.</w:t>
      </w:r>
    </w:p>
    <w:p w14:paraId="37CD4105" w14:textId="0BE629D5" w:rsidR="00B24BC0" w:rsidRPr="008F5888" w:rsidRDefault="00B24BC0" w:rsidP="00B24BC0">
      <w:pPr>
        <w:rPr>
          <w:sz w:val="24"/>
          <w:szCs w:val="24"/>
        </w:rPr>
      </w:pPr>
      <w:r w:rsidRPr="008F5888">
        <w:rPr>
          <w:color w:val="FF0000"/>
          <w:sz w:val="24"/>
          <w:szCs w:val="24"/>
        </w:rPr>
        <w:t>Upper Outlier Threshold</w:t>
      </w:r>
      <w:r w:rsidRPr="008F5888">
        <w:rPr>
          <w:sz w:val="24"/>
          <w:szCs w:val="24"/>
        </w:rPr>
        <w:t>:</w:t>
      </w:r>
    </w:p>
    <w:p w14:paraId="58442293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 xml:space="preserve">Calculate an upper threshold for potential outliers: </w:t>
      </w:r>
    </w:p>
    <w:p w14:paraId="7CFEB54B" w14:textId="77777777" w:rsidR="00B24BC0" w:rsidRPr="008F5888" w:rsidRDefault="00B24BC0" w:rsidP="00B24BC0">
      <w:pPr>
        <w:rPr>
          <w:b/>
          <w:bCs/>
          <w:sz w:val="24"/>
          <w:szCs w:val="24"/>
        </w:rPr>
      </w:pPr>
      <w:r w:rsidRPr="008F5888">
        <w:rPr>
          <w:b/>
          <w:bCs/>
          <w:sz w:val="24"/>
          <w:szCs w:val="24"/>
        </w:rPr>
        <w:t>Q3+1.5×IQR.</w:t>
      </w:r>
    </w:p>
    <w:p w14:paraId="46D690AE" w14:textId="17DF9757" w:rsidR="00B24BC0" w:rsidRPr="008F5888" w:rsidRDefault="00B24BC0" w:rsidP="00B24BC0">
      <w:pPr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Lower Outlier Threshold:</w:t>
      </w:r>
    </w:p>
    <w:p w14:paraId="307935A2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 xml:space="preserve">Calculate a lower threshold for potential outliers: </w:t>
      </w:r>
    </w:p>
    <w:p w14:paraId="5E131A12" w14:textId="199AC558" w:rsidR="008F5888" w:rsidRPr="008F5888" w:rsidRDefault="00B24BC0" w:rsidP="00B24BC0">
      <w:pPr>
        <w:rPr>
          <w:b/>
          <w:bCs/>
          <w:sz w:val="24"/>
          <w:szCs w:val="24"/>
        </w:rPr>
      </w:pPr>
      <w:r w:rsidRPr="008F5888">
        <w:rPr>
          <w:b/>
          <w:bCs/>
          <w:sz w:val="24"/>
          <w:szCs w:val="24"/>
        </w:rPr>
        <w:t>Q1−1.5×IQR.</w:t>
      </w:r>
    </w:p>
    <w:p w14:paraId="24129AD2" w14:textId="77BD989A" w:rsidR="00B24BC0" w:rsidRPr="008F5888" w:rsidRDefault="00B24BC0" w:rsidP="00B24BC0">
      <w:pPr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Identifying Outliers:</w:t>
      </w:r>
    </w:p>
    <w:p w14:paraId="78CA4134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Any data point above the upper threshold is considered a potential upper outlier.</w:t>
      </w:r>
    </w:p>
    <w:p w14:paraId="02345CB5" w14:textId="77777777" w:rsidR="00B24BC0" w:rsidRPr="008F5888" w:rsidRDefault="00B24BC0" w:rsidP="00B24BC0">
      <w:pPr>
        <w:rPr>
          <w:sz w:val="24"/>
          <w:szCs w:val="24"/>
        </w:rPr>
      </w:pPr>
      <w:r w:rsidRPr="008F5888">
        <w:rPr>
          <w:sz w:val="24"/>
          <w:szCs w:val="24"/>
        </w:rPr>
        <w:t>Any data point below the lower threshold is considered a potential lower outlier.</w:t>
      </w:r>
    </w:p>
    <w:p w14:paraId="3819AD4D" w14:textId="44852A5F" w:rsidR="00744BD9" w:rsidRPr="008F5888" w:rsidRDefault="00744BD9" w:rsidP="00B24BC0">
      <w:pPr>
        <w:rPr>
          <w:color w:val="FF0000"/>
          <w:sz w:val="24"/>
          <w:szCs w:val="24"/>
        </w:rPr>
      </w:pPr>
      <w:r w:rsidRPr="008F5888">
        <w:rPr>
          <w:color w:val="FF0000"/>
          <w:sz w:val="24"/>
          <w:szCs w:val="24"/>
        </w:rPr>
        <w:t>Uses:</w:t>
      </w:r>
    </w:p>
    <w:p w14:paraId="3E4DD1F5" w14:textId="227955B9" w:rsidR="00477820" w:rsidRPr="008F5888" w:rsidRDefault="00B24BC0" w:rsidP="00477820">
      <w:pPr>
        <w:rPr>
          <w:sz w:val="24"/>
          <w:szCs w:val="24"/>
        </w:rPr>
      </w:pPr>
      <w:r w:rsidRPr="008F5888">
        <w:rPr>
          <w:sz w:val="24"/>
          <w:szCs w:val="24"/>
        </w:rPr>
        <w:t>If a data point falls significantly outside this 1.5 times IQR range, it may be flagged as a potential outlier.</w:t>
      </w:r>
      <w:r w:rsidR="00744BD9" w:rsidRPr="008F5888">
        <w:rPr>
          <w:sz w:val="24"/>
          <w:szCs w:val="24"/>
        </w:rPr>
        <w:t xml:space="preserve"> </w:t>
      </w:r>
      <w:r w:rsidRPr="008F5888">
        <w:rPr>
          <w:sz w:val="24"/>
          <w:szCs w:val="24"/>
        </w:rPr>
        <w:t xml:space="preserve">This rule is a compromise between being sensitive to potential outliers and avoiding </w:t>
      </w:r>
      <w:proofErr w:type="spellStart"/>
      <w:r w:rsidRPr="008F5888">
        <w:rPr>
          <w:sz w:val="24"/>
          <w:szCs w:val="24"/>
        </w:rPr>
        <w:t>labeling</w:t>
      </w:r>
      <w:proofErr w:type="spellEnd"/>
      <w:r w:rsidRPr="008F5888">
        <w:rPr>
          <w:sz w:val="24"/>
          <w:szCs w:val="24"/>
        </w:rPr>
        <w:t xml:space="preserve"> too many points as outliers.</w:t>
      </w:r>
      <w:r w:rsidR="00477820" w:rsidRPr="008F5888">
        <w:rPr>
          <w:sz w:val="24"/>
          <w:szCs w:val="24"/>
        </w:rPr>
        <w:t xml:space="preserve"> </w:t>
      </w:r>
      <w:r w:rsidR="00477820" w:rsidRPr="008F5888">
        <w:rPr>
          <w:sz w:val="24"/>
          <w:szCs w:val="24"/>
        </w:rPr>
        <w:t>Using this rule to identify the outliers in the dataset and we can replace it for further calculations.</w:t>
      </w:r>
    </w:p>
    <w:p w14:paraId="7AB21D9F" w14:textId="4A7C6D49" w:rsidR="00B24BC0" w:rsidRPr="008F5888" w:rsidRDefault="00B24BC0" w:rsidP="00B24BC0">
      <w:pPr>
        <w:rPr>
          <w:sz w:val="24"/>
          <w:szCs w:val="24"/>
        </w:rPr>
      </w:pPr>
    </w:p>
    <w:sectPr w:rsidR="00B24BC0" w:rsidRPr="008F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6C"/>
    <w:rsid w:val="00477820"/>
    <w:rsid w:val="006729E5"/>
    <w:rsid w:val="00744BD9"/>
    <w:rsid w:val="00781E74"/>
    <w:rsid w:val="008F5888"/>
    <w:rsid w:val="00B24BC0"/>
    <w:rsid w:val="00B5476C"/>
    <w:rsid w:val="00DA061A"/>
    <w:rsid w:val="00F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0B85"/>
  <w15:chartTrackingRefBased/>
  <w15:docId w15:val="{F7A2A35A-7ED9-4C3F-8D88-60C3108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2024-02-01T04:07:00Z</dcterms:created>
  <dcterms:modified xsi:type="dcterms:W3CDTF">2024-02-01T04:07:00Z</dcterms:modified>
</cp:coreProperties>
</file>