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056e8ab6d4849c3094237ed8ba419be992f31f"/>
    <w:p>
      <w:pPr>
        <w:pStyle w:val="Heading1"/>
      </w:pPr>
      <w:r>
        <w:t xml:space="preserve">Option-maximizing co-constitution: experience, observation points, and the unity of observer and cosmos</w:t>
      </w:r>
    </w:p>
    <w:p>
      <w:pPr>
        <w:pStyle w:val="FirstParagraph"/>
      </w:pPr>
      <w:r>
        <w:rPr>
          <w:b/>
          <w:bCs/>
        </w:rPr>
        <w:t xml:space="preserve">Author</w:t>
      </w:r>
      <w:r>
        <w:t xml:space="preserve">: Akito Shiraishi</w:t>
      </w:r>
      <w:r>
        <w:t xml:space="preserve"> </w:t>
      </w:r>
      <w:r>
        <w:rPr>
          <w:b/>
          <w:bCs/>
        </w:rPr>
        <w:t xml:space="preserve">Draft</w:t>
      </w:r>
      <w:r>
        <w:t xml:space="preserve">: PhilArchive philosophy version, EN v0.1 (2026-06-03). Companion physics version on arXiv (gr-qc).</w:t>
      </w:r>
      <w:r>
        <w:t xml:space="preserve"> </w:t>
      </w:r>
      <w:r>
        <w:rPr>
          <w:b/>
          <w:bCs/>
        </w:rPr>
        <w:t xml:space="preserve">Stance</w:t>
      </w:r>
      <w:r>
        <w:t xml:space="preserve">: A first-person experiential account, scaffolded on Tegmark, Wheeler, and Wigner, advanced to an explicit metaphysical thesis (OMCC). Evaluated by unifying economy (pragmatic structural realism), not by truth-correspondence—so the unfalsifiability objection is structurally disarmed, while in-frame predictions remain testable.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Why does the mathematics an observer discovers coincide with the mathematics of the cosmos? Wigner called this coincidence inexplicable. Tegmark answers that the cosmos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mathematical structure and the observer a self-aware substructure (so coincidence is necessary, with the cosmos prior); Wheeler answers that the observer constitutes the cosmos (participatory, so coincidence is authored, with the observer prior). These conflict. We propose</w:t>
      </w:r>
      <w:r>
        <w:t xml:space="preserve"> </w:t>
      </w:r>
      <w:r>
        <w:rPr>
          <w:b/>
          <w:bCs/>
        </w:rPr>
        <w:t xml:space="preserve">Option-Maximizing Co-constitution (OMCC)</w:t>
      </w:r>
      <w:r>
        <w:t xml:space="preserve">: observer and cosmos are neither prior, but</w:t>
      </w:r>
      <w:r>
        <w:t xml:space="preserve"> </w:t>
      </w:r>
      <w:r>
        <w:rPr>
          <w:b/>
          <w:bCs/>
        </w:rPr>
        <w:t xml:space="preserve">co-constituted within a self-exciting cycle that runs toward maximizing the option quantity</w:t>
      </w:r>
      <w:r>
        <w:rPr>
          <w:b/>
          <w:bCs/>
        </w:rPr>
        <w:t xml:space="preserve"> </w:t>
      </w:r>
      <m:oMath>
        <m:r>
          <m:rPr>
            <m:sty m:val="p"/>
          </m:rPr>
          <m:t>Ω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(future reachable states)</w:t>
      </w:r>
      <w:r>
        <w:t xml:space="preserve">; their mathematics coincide because they occupy the same phase of one cycle. The infinite regress</w:t>
      </w:r>
      <w:r>
        <w:t xml:space="preserve"> </w:t>
      </w:r>
      <w:r>
        <w:t xml:space="preserve">“why the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-direction?”</w:t>
      </w:r>
      <w:r>
        <w:t xml:space="preserve"> </w:t>
      </w:r>
      <w:r>
        <w:t xml:space="preserve">is closed not as a linear wall (the Past Hypothesis) but as 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(Penrose’s conformal cyclic cosmology; autopoiesis; Wheeler’s self-exciting circuit). The thesis’s distinctive content—beyond the three named figures—is the</w:t>
      </w:r>
      <w:r>
        <w:t xml:space="preserve"> </w:t>
      </w:r>
      <w:r>
        <w:rPr>
          <w:b/>
          <w:bCs/>
        </w:rPr>
        <w:t xml:space="preserve">observation point</w:t>
      </w:r>
      <w:r>
        <w:t xml:space="preserve"> </w:t>
      </w:r>
      <w:r>
        <w:t xml:space="preserve">(the finest observing unit, recurring fractally across micro and macro), the</w:t>
      </w:r>
      <w:r>
        <w:t xml:space="preserve"> </w:t>
      </w:r>
      <m:oMath>
        <m:r>
          <m:rPr>
            <m:sty m:val="p"/>
          </m:rPr>
          <m:t>Ω</m:t>
        </m:r>
      </m:oMath>
      <w:r>
        <w:rPr>
          <w:b/>
          <w:bCs/>
        </w:rPr>
        <w:t xml:space="preserve">-maximization drive</w:t>
      </w:r>
      <w:r>
        <w:t xml:space="preserve">, the</w:t>
      </w:r>
      <w:r>
        <w:t xml:space="preserve"> </w:t>
      </w:r>
      <w:r>
        <w:rPr>
          <w:b/>
          <w:bCs/>
        </w:rPr>
        <w:t xml:space="preserve">solenoid geometry</w:t>
      </w:r>
      <w:r>
        <w:t xml:space="preserve">, and a</w:t>
      </w:r>
      <w:r>
        <w:t xml:space="preserve"> </w:t>
      </w:r>
      <w:r>
        <w:rPr>
          <w:b/>
          <w:bCs/>
        </w:rPr>
        <w:t xml:space="preserve">first-person experiential datum</w:t>
      </w:r>
      <w:r>
        <w:t xml:space="preserve"> </w:t>
      </w:r>
      <w:r>
        <w:t xml:space="preserve">(a directly seen nested cycle) that plays the philosophical role of adjudicating the Tegmark–Wheeler tension.</w:t>
      </w:r>
    </w:p>
    <w:p>
      <w:r>
        <w:pict>
          <v:rect style="width:0;height:1.5pt" o:hralign="center" o:hrstd="t" o:hr="t"/>
        </w:pict>
      </w:r>
    </w:p>
    <w:bookmarkEnd w:id="9"/>
    <w:bookmarkStart w:id="10" w:name="X2ba8e71db1131980e825f0cb1d0c541869d4566"/>
    <w:p>
      <w:pPr>
        <w:pStyle w:val="Heading2"/>
      </w:pPr>
      <w:r>
        <w:t xml:space="preserve">1. The problem (Wigner) and two answers in tension</w:t>
      </w:r>
    </w:p>
    <w:p>
      <w:pPr>
        <w:pStyle w:val="FirstParagraph"/>
      </w:pPr>
      <w:r>
        <w:t xml:space="preserve">Wigner (1960): the effectiveness of mathematics in describing nature borders on the mysterious, with no rational explanation. Two later positions answer, but conflict: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Tegmark (MUH)</w:t>
      </w:r>
      <w:r>
        <w:t xml:space="preserve">: external reality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mathematical structure; observers are self-aware substructures (SAS). Coincidence is necessary—</w:t>
      </w:r>
      <w:r>
        <w:rPr>
          <w:b/>
          <w:bCs/>
        </w:rPr>
        <w:t xml:space="preserve">cosmos prior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Wheeler (participatory universe;</w:t>
      </w:r>
      <w:r>
        <w:rPr>
          <w:b/>
          <w:bCs/>
        </w:rPr>
        <w:t xml:space="preserve"> </w:t>
      </w:r>
      <w:r>
        <w:rPr>
          <w:b/>
          <w:bCs/>
        </w:rPr>
        <w:t xml:space="preserve">“It from Bit”</w:t>
      </w:r>
      <w:r>
        <w:rPr>
          <w:b/>
          <w:bCs/>
        </w:rPr>
        <w:t xml:space="preserve">; self-exciting circuit)</w:t>
      </w:r>
      <w:r>
        <w:t xml:space="preserve">: observer-participancy constitutes reality; the universe evolves observers through which it observes itself into being. Coincidence is authored—</w:t>
      </w:r>
      <w:r>
        <w:rPr>
          <w:b/>
          <w:bCs/>
        </w:rPr>
        <w:t xml:space="preserve">observer prior</w:t>
      </w:r>
      <w:r>
        <w:t xml:space="preserve">.</w:t>
      </w:r>
    </w:p>
    <w:p>
      <w:pPr>
        <w:pStyle w:val="BodyText"/>
      </w:pPr>
      <w:r>
        <w:t xml:space="preserve">The tension is the chicken-and-egg of priority.</w:t>
      </w:r>
    </w:p>
    <w:bookmarkEnd w:id="10"/>
    <w:bookmarkStart w:id="11" w:name="omcc-the-co-constitution-cycle"/>
    <w:p>
      <w:pPr>
        <w:pStyle w:val="Heading2"/>
      </w:pPr>
      <w:r>
        <w:t xml:space="preserve">2. OMCC: the co-constitution cycle</w:t>
      </w:r>
    </w:p>
    <w:p>
      <w:pPr>
        <w:pStyle w:val="BlockText"/>
      </w:pPr>
      <w:r>
        <w:t xml:space="preserve">Observer and cosmos are neither prior. They are</w:t>
      </w:r>
      <w:r>
        <w:t xml:space="preserve"> </w:t>
      </w:r>
      <w:r>
        <w:rPr>
          <w:b/>
          <w:bCs/>
        </w:rPr>
        <w:t xml:space="preserve">co-constituted within a self-exciting cycle running toward</w:t>
      </w:r>
      <w:r>
        <w:rPr>
          <w:b/>
          <w:bCs/>
        </w:rPr>
        <w:t xml:space="preserve"> </w:t>
      </w:r>
      <m:oMath>
        <m:r>
          <m:rPr>
            <m:sty m:val="p"/>
          </m:rPr>
          <m:t>Ω</m:t>
        </m:r>
      </m:oMath>
      <w:r>
        <w:rPr>
          <w:b/>
          <w:bCs/>
        </w:rPr>
        <w:t xml:space="preserve">-maximization</w:t>
      </w:r>
      <w:r>
        <w:t xml:space="preserve">. The observer’s mathematics coincides with the cosmos’s because both are the same cycle viewed at the same phase (synchrony). Wigner’s mystery dissolves once description (observer-mathematics) and the described (cosmos-mathematics) are seen as one cycle’s self-reference.</w:t>
      </w:r>
    </w:p>
    <w:p>
      <w:pPr>
        <w:pStyle w:val="FirstParagraph"/>
      </w:pPr>
      <w:r>
        <w:t xml:space="preserve">This sublates Tegmark (realism) and Wheeler (participation) as two phases of one cycle—akin to Whitehead’s mutual immanence, but with the</w:t>
      </w:r>
      <w:r>
        <w:t xml:space="preserve"> </w:t>
      </w:r>
      <w:r>
        <w:rPr>
          <w:b/>
          <w:bCs/>
        </w:rPr>
        <w:t xml:space="preserve">drive specified as</w:t>
      </w:r>
      <w:r>
        <w:rPr>
          <w:b/>
          <w:bCs/>
        </w:rPr>
        <w:t xml:space="preserve"> </w:t>
      </w:r>
      <m:oMath>
        <m:r>
          <m:rPr>
            <m:sty m:val="p"/>
          </m:rPr>
          <m:t>Ω</m:t>
        </m:r>
      </m:oMath>
      <w:r>
        <w:rPr>
          <w:b/>
          <w:bCs/>
        </w:rPr>
        <w:t xml:space="preserve">-maximization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geometry specified as a solenoid</w:t>
      </w:r>
      <w:r>
        <w:t xml:space="preserve">, which is the author’s own contribution.</w:t>
      </w:r>
    </w:p>
    <w:bookmarkEnd w:id="11"/>
    <w:bookmarkStart w:id="12" w:name="X92ad6409205afeb9edd8bdadf4fef0afaf21287"/>
    <w:p>
      <w:pPr>
        <w:pStyle w:val="Heading2"/>
      </w:pPr>
      <w:r>
        <w:t xml:space="preserve">3. Observation points (a contribution absent in the three figures)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observation point</w:t>
      </w:r>
      <w:r>
        <w:t xml:space="preserve"> </w:t>
      </w:r>
      <w:r>
        <w:t xml:space="preserve">is the finest observing unit from a given vantage; an individual is a weighted set of observation points with energy allocations; and observation points</w:t>
      </w:r>
      <w:r>
        <w:t xml:space="preserve"> </w:t>
      </w:r>
      <w:r>
        <w:rPr>
          <w:b/>
          <w:bCs/>
        </w:rPr>
        <w:t xml:space="preserve">recur fractally across micro and macro scales</w:t>
      </w:r>
      <w:r>
        <w:t xml:space="preserve">. This refines Tegmark’s SAS by giving it (i) a scale-recursive structure and (ii) an internal energy/attention allocation. On a torus, an observation point is a point whose dense (irrational-winding) trajectory scans the whole—formalizing the experiential</w:t>
      </w:r>
      <w:r>
        <w:t xml:space="preserve"> </w:t>
      </w:r>
      <w:r>
        <w:t xml:space="preserve">“stage-4”</w:t>
      </w:r>
      <w:r>
        <w:t xml:space="preserve"> </w:t>
      </w:r>
      <w:r>
        <w:t xml:space="preserve">pervasive access.</w:t>
      </w:r>
    </w:p>
    <w:bookmarkEnd w:id="12"/>
    <w:bookmarkStart w:id="13" w:name="X119ec94cf54ef6d0181e79f0c70eb05fa292821"/>
    <w:p>
      <w:pPr>
        <w:pStyle w:val="Heading2"/>
      </w:pPr>
      <w:r>
        <w:t xml:space="preserve">4. Experience as primary datum (the experiential method)</w:t>
      </w:r>
    </w:p>
    <w:p>
      <w:pPr>
        <w:pStyle w:val="FirstParagraph"/>
      </w:pPr>
      <w:r>
        <w:t xml:space="preserve">In a non-ordinary state the author directly</w:t>
      </w:r>
      <w:r>
        <w:t xml:space="preserve"> </w:t>
      </w:r>
      <w:r>
        <w:rPr>
          <w:i/>
          <w:iCs/>
        </w:rPr>
        <w:t xml:space="preserve">saw</w:t>
      </w:r>
      <w:r>
        <w:t xml:space="preserve"> </w:t>
      </w:r>
      <w:r>
        <w:t xml:space="preserve">a</w:t>
      </w:r>
      <w:r>
        <w:t xml:space="preserve"> </w:t>
      </w:r>
      <w:r>
        <w:t xml:space="preserve">“nested cycle”</w:t>
      </w:r>
      <w:r>
        <w:t xml:space="preserve">—the image that motivates OMCC. The methodological claim: rather than decoration,</w:t>
      </w:r>
      <w:r>
        <w:t xml:space="preserve"> </w:t>
      </w:r>
      <w:r>
        <w:rPr>
          <w:b/>
          <w:bCs/>
        </w:rPr>
        <w:t xml:space="preserve">this experience does philosophical work</w:t>
      </w:r>
      <w:r>
        <w:t xml:space="preserve">—because the cycle was seen, it can serve as the candidate structure that resolves the Tegmark–Wheeler tension. The scaffolding (Tegmark/Wheeler/Wigner) is used as authority/premise; the experience is the first-person datum advanced on top. We separate two senses of</w:t>
      </w:r>
      <w:r>
        <w:t xml:space="preserve"> </w:t>
      </w:r>
      <w:r>
        <w:t xml:space="preserve">“fact”</w:t>
      </w:r>
      <w:r>
        <w:t xml:space="preserve">: the experience is a</w:t>
      </w:r>
      <w:r>
        <w:t xml:space="preserve"> </w:t>
      </w:r>
      <w:r>
        <w:rPr>
          <w:b/>
          <w:bCs/>
        </w:rPr>
        <w:t xml:space="preserve">phenomenological fact</w:t>
      </w:r>
      <w:r>
        <w:t xml:space="preserve"> </w:t>
      </w:r>
      <w:r>
        <w:t xml:space="preserve">(certain qua experience); its identity with cosmic structure is a</w:t>
      </w:r>
      <w:r>
        <w:t xml:space="preserve"> </w:t>
      </w:r>
      <w:r>
        <w:rPr>
          <w:b/>
          <w:bCs/>
        </w:rPr>
        <w:t xml:space="preserve">hypothesis</w:t>
      </w:r>
      <w:r>
        <w:t xml:space="preserve"> </w:t>
      </w:r>
      <w:r>
        <w:t xml:space="preserve">(partly testable via cosmic topology, in the companion physics version). The brain-side fact (the neural correlates of the experience) and the cosmos-side fact are distinct; OMCC predicts their coincidence because the observing brain is co-constituted within the cosmic cycle.</w:t>
      </w:r>
    </w:p>
    <w:bookmarkEnd w:id="13"/>
    <w:bookmarkStart w:id="14" w:name="unity-truth-the-thesiss-epistemic-core"/>
    <w:p>
      <w:pPr>
        <w:pStyle w:val="Heading2"/>
      </w:pPr>
      <w:r>
        <w:t xml:space="preserve">5. Unity = truth (the thesis’s epistemic core)</w:t>
      </w:r>
    </w:p>
    <w:p>
      <w:pPr>
        <w:pStyle w:val="BlockText"/>
      </w:pPr>
      <w:r>
        <w:t xml:space="preserve">The mathematical structure a self-aware observation point discovers coincides with the mathematical structure of the cosmos that contains it;</w:t>
      </w:r>
      <w:r>
        <w:t xml:space="preserve"> </w:t>
      </w:r>
      <w:r>
        <w:rPr>
          <w:b/>
          <w:bCs/>
        </w:rPr>
        <w:t xml:space="preserve">this coincidence is the core of truth.</w:t>
      </w:r>
    </w:p>
    <w:p>
      <w:pPr>
        <w:pStyle w:val="FirstParagraph"/>
      </w:pPr>
      <w:r>
        <w:t xml:space="preserve">Tegmark holds coincidence</w:t>
      </w:r>
      <w:r>
        <w:t xml:space="preserve"> </w:t>
      </w:r>
      <w:r>
        <w:rPr>
          <w:i/>
          <w:iCs/>
        </w:rPr>
        <w:t xml:space="preserve">necessary</w:t>
      </w:r>
      <w:r>
        <w:t xml:space="preserve">; the author advances one step—</w:t>
      </w:r>
      <w:r>
        <w:rPr>
          <w:b/>
          <w:bCs/>
        </w:rPr>
        <w:t xml:space="preserve">coincidence as the definition of truth’s core</w:t>
      </w:r>
      <w:r>
        <w:t xml:space="preserve">. This is a stance, not a proof; it answers Wigner by fiat (declaring the synchrony point to be where truth lives), which is a philosophical choice evaluated by fruitfulness, not correspondence.</w:t>
      </w:r>
    </w:p>
    <w:bookmarkEnd w:id="14"/>
    <w:bookmarkStart w:id="15" w:name="closing-the-regress-as-a-cycle"/>
    <w:p>
      <w:pPr>
        <w:pStyle w:val="Heading2"/>
      </w:pPr>
      <w:r>
        <w:t xml:space="preserve">6. Closing the regress as a cycle</w:t>
      </w:r>
    </w:p>
    <w:p>
      <w:pPr>
        <w:pStyle w:val="FirstParagraph"/>
      </w:pPr>
      <w:r>
        <w:t xml:space="preserve">“Why the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-direction?”</w:t>
      </w:r>
      <w:r>
        <w:t xml:space="preserve"> </w:t>
      </w:r>
      <w:r>
        <w:t xml:space="preserve">regresses, in the physics companion, to the Past Hypothesis (a wall). Philosophically, OMCC closes it as a</w:t>
      </w:r>
      <w:r>
        <w:t xml:space="preserve"> </w:t>
      </w:r>
      <w:r>
        <w:rPr>
          <w:b/>
          <w:bCs/>
        </w:rPr>
        <w:t xml:space="preserve">cycle</w:t>
      </w:r>
      <w:r>
        <w:t xml:space="preserve">: Penrose’s conformal cyclic cosmology (an aeon’s high-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far future conformally supplies the next low-entropy beginning),</w:t>
      </w:r>
      <w:r>
        <w:t xml:space="preserve"> </w:t>
      </w:r>
      <w:r>
        <w:rPr>
          <w:b/>
          <w:bCs/>
        </w:rPr>
        <w:t xml:space="preserve">autopoiesis</w:t>
      </w:r>
      <w:r>
        <w:t xml:space="preserve"> </w:t>
      </w:r>
      <w:r>
        <w:t xml:space="preserve">(self-production’s closed loop), and Wheeler’s</w:t>
      </w:r>
      <w:r>
        <w:t xml:space="preserve"> </w:t>
      </w:r>
      <w:r>
        <w:rPr>
          <w:b/>
          <w:bCs/>
        </w:rPr>
        <w:t xml:space="preserve">self-exciting circuit</w:t>
      </w:r>
      <w:r>
        <w:t xml:space="preserve"> </w:t>
      </w:r>
      <w:r>
        <w:t xml:space="preserve">all say the regress is not a line ending at a wall but a self-supplying loop. The ultimate</w:t>
      </w:r>
      <w:r>
        <w:t xml:space="preserve"> </w:t>
      </w:r>
      <w:r>
        <w:t xml:space="preserve">“why is there a cycle at all?”</w:t>
      </w:r>
      <w:r>
        <w:t xml:space="preserve"> </w:t>
      </w:r>
      <w:r>
        <w:t xml:space="preserve">remains (the metaphysical wall is not removed, only relocated), and we say so.</w:t>
      </w:r>
    </w:p>
    <w:bookmarkEnd w:id="15"/>
    <w:bookmarkStart w:id="16" w:name="Xd9f195a1502a02cd3ea6ca67e9b5b9e2e67b6b6"/>
    <w:p>
      <w:pPr>
        <w:pStyle w:val="Heading2"/>
      </w:pPr>
      <w:r>
        <w:t xml:space="preserve">7. Honest epistemic status (pragmatic structural realism)</w:t>
      </w:r>
    </w:p>
    <w:p>
      <w:pPr>
        <w:pStyle w:val="FirstParagraph"/>
      </w:pPr>
      <w:r>
        <w:t xml:space="preserve">OMCC is</w:t>
      </w:r>
      <w:r>
        <w:t xml:space="preserve"> </w:t>
      </w:r>
      <w:r>
        <w:rPr>
          <w:b/>
          <w:bCs/>
        </w:rPr>
        <w:t xml:space="preserve">metaphysics evaluated by unifying economy, not truth-correspondence</w:t>
      </w:r>
      <w:r>
        <w:t xml:space="preserve">. This disarms the unfalsifiability objection at its premise (the objection assumes a theory must correspond and be refutable to have value; we evaluate by how economically the frame unifies). But we keep a strict duality: the</w:t>
      </w:r>
      <w: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is judged by economy, while</w:t>
      </w:r>
      <w:r>
        <w:t xml:space="preserve"> </w:t>
      </w:r>
      <w:r>
        <w:rPr>
          <w:b/>
          <w:bCs/>
        </w:rPr>
        <w:t xml:space="preserve">in-frame empirical claims</w:t>
      </w:r>
      <w:r>
        <w:t xml:space="preserve"> </w:t>
      </w:r>
      <w:r>
        <w:t xml:space="preserve">(the companion’s cosmic-topology hook; the</w:t>
      </w:r>
      <w:r>
        <w:t xml:space="preserve"> </w:t>
      </w:r>
      <w:r>
        <w:rPr>
          <w:i/>
          <w:iCs/>
        </w:rPr>
        <w:t xml:space="preserve">refuted</w:t>
      </w:r>
      <w:r>
        <w:t xml:space="preserve"> </w:t>
      </w:r>
      <w:r>
        <w:t xml:space="preserve">solenoid spectral-dimension prediction) remain testable and were tested—one was refuted and is reported as such. We explicitly refuse to claim universal truth (</w:t>
      </w:r>
      <w:r>
        <w:t xml:space="preserve">“this is the author’s frame, not a universal doctrine”</w:t>
      </w:r>
      <w:r>
        <w:t xml:space="preserve">), forestalling the cultic failure mode (no external verifier). The named-authority coincidence (independently reaching Tegmark/Wheeler/Wigner/Penrose) attests to the quality of the intuition; the missing piece was descriptive language, here supplied.</w:t>
      </w:r>
    </w:p>
    <w:bookmarkEnd w:id="16"/>
    <w:bookmarkStart w:id="17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OMCC offers a single organizing idea—co-constitution of observer and cosmos within an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-maximizing cycle—that sublates the Tegmark–Wheeler tension, answers Wigner by locating truth at the synchrony point, closes the regress as a cycle, and contributes the observation point, the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-drive, the solenoid geometry, and a first-person experiential datum. It is metaphysics, openly: evaluated by unifying economy, anchored to one falsifiable observational hook (cosmic topology, companion paper) and one honestly refuted prediction. We publish it for external verification and extension.</w:t>
      </w:r>
    </w:p>
    <w:bookmarkEnd w:id="17"/>
    <w:bookmarkStart w:id="1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Wigner (1960)</w:t>
      </w:r>
      <w:r>
        <w:t xml:space="preserve"> </w:t>
      </w:r>
      <w:r>
        <w:rPr>
          <w:i/>
          <w:iCs/>
        </w:rPr>
        <w:t xml:space="preserve">Comm. Pure Appl. Math.</w:t>
      </w:r>
      <w:r>
        <w:t xml:space="preserve"> </w:t>
      </w:r>
      <w:r>
        <w:t xml:space="preserve">13:1; Tegmark (2008)</w:t>
      </w:r>
      <w:r>
        <w:t xml:space="preserve"> </w:t>
      </w:r>
      <w:r>
        <w:rPr>
          <w:i/>
          <w:iCs/>
        </w:rPr>
        <w:t xml:space="preserve">Found. Phys.</w:t>
      </w:r>
      <w:r>
        <w:t xml:space="preserve">, (2014)</w:t>
      </w:r>
      <w:r>
        <w:t xml:space="preserve"> </w:t>
      </w:r>
      <w:r>
        <w:rPr>
          <w:i/>
          <w:iCs/>
        </w:rPr>
        <w:t xml:space="preserve">Our Mathematical Universe</w:t>
      </w:r>
      <w:r>
        <w:t xml:space="preserve">; Wheeler (1990)</w:t>
      </w:r>
      <w:r>
        <w:t xml:space="preserve"> </w:t>
      </w:r>
      <w:r>
        <w:t xml:space="preserve">“Information, Physics, Quantum”</w:t>
      </w:r>
      <w:r>
        <w:t xml:space="preserve">; Penrose (2010)</w:t>
      </w:r>
      <w:r>
        <w:t xml:space="preserve"> </w:t>
      </w:r>
      <w:r>
        <w:rPr>
          <w:i/>
          <w:iCs/>
        </w:rPr>
        <w:t xml:space="preserve">Cycles of Time</w:t>
      </w:r>
      <w:r>
        <w:t xml:space="preserve">; Maturana &amp; Varela (1972)</w:t>
      </w:r>
      <w:r>
        <w:t xml:space="preserve"> </w:t>
      </w:r>
      <w:r>
        <w:rPr>
          <w:i/>
          <w:iCs/>
        </w:rPr>
        <w:t xml:space="preserve">Autopoiesis and Cognition</w:t>
      </w:r>
      <w:r>
        <w:t xml:space="preserve">; Whitehead,</w:t>
      </w:r>
      <w:r>
        <w:t xml:space="preserve"> </w:t>
      </w:r>
      <w:r>
        <w:rPr>
          <w:i/>
          <w:iCs/>
        </w:rPr>
        <w:t xml:space="preserve">Process and Reality</w:t>
      </w:r>
      <w:r>
        <w:t xml:space="preserve">; Husserl (co-constitution); Worrall (structural realism); James/Peirce (pragmatism); companion physics version (arXiv).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2026-06-04T02:53:06Z</dcterms:created>
  <dcterms:modified xsi:type="dcterms:W3CDTF">2026-06-04T02:53:06Z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