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17815778b39845ef6da4b952e35740da1c422fc"/>
    <w:p>
      <w:pPr>
        <w:pStyle w:val="Heading1"/>
      </w:pPr>
      <w:r>
        <w:t xml:space="preserve">Option maximization across scales: evolvability, the arrow of time, and a refuted solenoid prediction for quantum-gravity dimensional reduction</w:t>
      </w:r>
    </w:p>
    <w:p>
      <w:pPr>
        <w:pStyle w:val="FirstParagraph"/>
      </w:pPr>
      <w:r>
        <w:rPr>
          <w:b/>
          <w:bCs/>
        </w:rPr>
        <w:t xml:space="preserve">Author</w:t>
      </w:r>
      <w:r>
        <w:t xml:space="preserve">: Akito Shiraishi</w:t>
      </w:r>
      <w:r>
        <w:t xml:space="preserve"> </w:t>
      </w:r>
      <w:r>
        <w:rPr>
          <w:b/>
          <w:bCs/>
        </w:rPr>
        <w:t xml:space="preserve">Draft</w:t>
      </w:r>
      <w:r>
        <w:t xml:space="preserve">: arXiv physics version, EN v0.1 (2026-06-03). Target: gr-qc / physics.gen-ph (perspective). Companion philosophy version on PhilArchive.</w:t>
      </w:r>
      <w:r>
        <w:t xml:space="preserve"> </w:t>
      </w:r>
      <w:r>
        <w:rPr>
          <w:b/>
          <w:bCs/>
        </w:rPr>
        <w:t xml:space="preserve">Stance</w:t>
      </w:r>
      <w:r>
        <w:t xml:space="preserve">: A unifying perspective with a deliberately three-layer honesty structure: established results, an observationally decidable point, and an openly metaphysical organizing idea. Predictions are stated with their refutations included.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present a unifying perspective in which a single control quantity—the number of future reachable states, or</w:t>
      </w:r>
      <w:r>
        <w:t xml:space="preserve"> </w:t>
      </w:r>
      <w:r>
        <w:t xml:space="preserve">“option quantity”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—organizes several established results across scales. (i)</w:t>
      </w:r>
      <w:r>
        <w:t xml:space="preserve"> </w:t>
      </w:r>
      <w:r>
        <w:rPr>
          <w:b/>
          <w:bCs/>
        </w:rPr>
        <w:t xml:space="preserve">Established</w:t>
      </w:r>
      <w:r>
        <w:t xml:space="preserve">: in fluctuating environments the optimal evolvability rises with environmental volatility (Ishii et al. 1989), and a population’s relative entropy to its stationary distribution contracts monotonically (a numerically verified arrow of time, max per-step increase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); a diffusion H-theorem yields an exact law for complexity-growth rate</w:t>
      </w:r>
      <w:r>
        <w:t xml:space="preserve"> </w:t>
      </w:r>
      <w:r>
        <w:t xml:space="preserve">$\propto e^{-2H_{\rm init}}$</w:t>
      </w:r>
      <w:r>
        <w:t xml:space="preserve"> </w:t>
      </w:r>
      <w:r>
        <w:t xml:space="preserve">(numerically, slope</w:t>
      </w:r>
      <w:r>
        <w:t xml:space="preserve"> </w:t>
      </w:r>
      <m:oMath>
        <m:r>
          <m:rPr>
            <m:sty m:val="p"/>
          </m:rPr>
          <m:t>−</m:t>
        </m:r>
        <m:r>
          <m:t>1.978</m:t>
        </m:r>
      </m:oMath>
      <w:r>
        <w:t xml:space="preserve"> </w:t>
      </w:r>
      <w:r>
        <w:t xml:space="preserve">vs predicted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). (ii)</w:t>
      </w:r>
      <w:r>
        <w:t xml:space="preserve"> </w:t>
      </w:r>
      <w:r>
        <w:rPr>
          <w:b/>
          <w:bCs/>
        </w:rPr>
        <w:t xml:space="preserve">Geometric</w:t>
      </w:r>
      <w:r>
        <w:t xml:space="preserve">: across scales, integrable dynamics live on invariant tori (KAM; electron and planetary orbits), and an infinite nesting of tori is a Smale–Williams solenoid with Čech invariant</w:t>
      </w:r>
      <w:r>
        <w:t xml:space="preserve"> </w:t>
      </w:r>
      <m:oMath>
        <m:sSup>
          <m:e>
            <m:acc>
              <m:accPr>
                <m:chr m:val="̌"/>
              </m:accPr>
              <m:e>
                <m:r>
                  <m:t>H</m:t>
                </m:r>
              </m:e>
            </m:acc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]</m:t>
        </m:r>
      </m:oMath>
      <w:r>
        <w:t xml:space="preserve">. (iii)</w:t>
      </w:r>
      <w:r>
        <w:t xml:space="preserve"> </w:t>
      </w:r>
      <w:r>
        <w:rPr>
          <w:b/>
          <w:bCs/>
        </w:rPr>
        <w:t xml:space="preserve">Observable</w:t>
      </w:r>
      <w:r>
        <w:t xml:space="preserve">: the cosmological reach is confined to the empirically decidable question of cosmic topology (is the spatial topology a 3-torus?). We then state, test, and</w:t>
      </w:r>
      <w:r>
        <w:t xml:space="preserve"> </w:t>
      </w:r>
      <w:r>
        <w:rPr>
          <w:b/>
          <w:bCs/>
        </w:rPr>
        <w:t xml:space="preserve">refute</w:t>
      </w:r>
      <w:r>
        <w:t xml:space="preserve"> </w:t>
      </w:r>
      <w:r>
        <w:t xml:space="preserve">a sharp prediction—that a solenoid’s spectral dimension runs to 2 at small scales, matching quantum-gravity dimensional reduction—reporting the negative numerical result honestly so that specialists can carry out the rigorous calculation. The contribution is not a new quantitative law (the central monotonicity is due to Ishii 1989) but an integrative frame with an explicit observational hook and a fully disclosed failed prediction.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second law predicts decay of order, yet complexity grows (life, cognition). Several principles each capture a fragment—maximum entropy production (Dewar 2003), dissipative adaptation (England 2013; bound refuted by Kolchinsky 2024), causal entropic forces (Wissner-Gross &amp; Freer 2013), Wagner’s evolvability (2008). We organize them by</w:t>
      </w:r>
      <w:r>
        <w:t xml:space="preserve"> </w:t>
      </w:r>
      <w:r>
        <w:rPr>
          <w:b/>
          <w:bCs/>
        </w:rPr>
        <w:t xml:space="preserve">option maximization</w:t>
      </w:r>
      <w:r>
        <w:t xml:space="preserve">: selection toward maximizing future reachable states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 controlled by environmental volatility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via a time horizon</w:t>
      </w:r>
      <w:r>
        <w:t xml:space="preserve"> </w:t>
      </w:r>
      <m:oMath>
        <m:r>
          <m:t>τ</m:t>
        </m:r>
      </m:oMath>
      <w:r>
        <w:t xml:space="preserve">. We are explicit about what is established, what is observationally decidable, and what is metaphysical—and we include a refuted prediction rather than hiding it.</w:t>
      </w:r>
    </w:p>
    <w:bookmarkEnd w:id="10"/>
    <w:bookmarkStart w:id="11" w:name="established-layer"/>
    <w:p>
      <w:pPr>
        <w:pStyle w:val="Heading2"/>
      </w:pPr>
      <w:r>
        <w:t xml:space="preserve">2. Established layer</w:t>
      </w:r>
    </w:p>
    <w:p>
      <w:pPr>
        <w:pStyle w:val="FirstParagraph"/>
      </w:pPr>
      <w:r>
        <w:rPr>
          <w:b/>
          <w:bCs/>
        </w:rPr>
        <w:t xml:space="preserve">2.1 Evolvability vs volatility.</w:t>
      </w:r>
      <w:r>
        <w:t xml:space="preserve"> </w:t>
      </w:r>
      <w:r>
        <w:t xml:space="preserve">Let the long-term growth rate (geometric-mean log-fitness / dominant Lyapunov exponent) be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lin"/>
            </m:fPr>
            <m:num>
              <m:r>
                <m:t>1</m:t>
              </m:r>
            </m:num>
            <m:den>
              <m:r>
                <m:t>T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r>
                <m:rPr>
                  <m:sty m:val="p"/>
                </m:rPr>
                <m:t>log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maximized over evolvability</w:t>
      </w:r>
      <w:r>
        <w:t xml:space="preserve"> </w:t>
      </w:r>
      <m:oMath>
        <m:r>
          <m:t>μ</m:t>
        </m:r>
      </m:oMath>
      <w:r>
        <w:t xml:space="preserve">. Ishii–Matsuda–Iwasa–Sasaki (1989) solved</w:t>
      </w:r>
      <w:r>
        <w:t xml:space="preserve"> </w:t>
      </w:r>
      <m:oMath>
        <m:sSup>
          <m:e>
            <m:r>
              <m:t>μ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ν</m:t>
        </m:r>
      </m:oMath>
      <w:r>
        <w:t xml:space="preserve"> </w:t>
      </w:r>
      <w:r>
        <w:t xml:space="preserve">in the strong-selection limit. A toy model (</w:t>
      </w:r>
      <m:oMath>
        <m:r>
          <m:t>K</m:t>
        </m:r>
        <m:r>
          <m:rPr>
            <m:sty m:val="p"/>
          </m:rPr>
          <m:t>=</m:t>
        </m:r>
        <m:r>
          <m:t>11</m:t>
        </m:r>
      </m:oMath>
      <w:r>
        <w:t xml:space="preserve"> </w:t>
      </w:r>
      <w:r>
        <w:t xml:space="preserve">phenotypes, Gaussian fitness, jump environment) reproduces monotone</w:t>
      </w:r>
      <w:r>
        <w:t xml:space="preserve"> </w:t>
      </w:r>
      <m:oMath>
        <m:sSup>
          <m:e>
            <m:r>
              <m:t>μ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with scaling exponent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(prefactor model-dependent).</w:t>
      </w:r>
      <w:r>
        <w:t xml:space="preserve"> </w:t>
      </w:r>
      <w:r>
        <w:rPr>
          <w:i/>
          <w:iCs/>
        </w:rPr>
        <w:t xml:space="preserve">We note honestly that a</w:t>
      </w:r>
      <w:r>
        <w:rPr>
          <w:i/>
          <w:iCs/>
        </w:rPr>
        <w:t xml:space="preserve"> </w:t>
      </w:r>
      <w:r>
        <w:rPr>
          <w:i/>
          <w:iCs/>
        </w:rPr>
        <w:t xml:space="preserve">“three-phase law”</w:t>
      </w:r>
      <w:r>
        <w:rPr>
          <w:i/>
          <w:iCs/>
        </w:rPr>
        <w:t xml:space="preserve"> </w:t>
      </w:r>
      <w:r>
        <w:rPr>
          <w:i/>
          <w:iCs/>
        </w:rPr>
        <w:t xml:space="preserve">we initially conjectured (efficiency/option/saturation phases) was found to be a grid/threshold artifact under refinement and is withdrawn.</w:t>
      </w:r>
    </w:p>
    <w:p>
      <w:pPr>
        <w:pStyle w:val="BodyText"/>
      </w:pPr>
      <w:r>
        <w:rPr>
          <w:b/>
          <w:bCs/>
        </w:rPr>
        <w:t xml:space="preserve">2.2 Arrow of time (numerically verified).</w:t>
      </w:r>
      <w:r>
        <w:t xml:space="preserve"> </w:t>
      </w:r>
      <w:r>
        <w:t xml:space="preserve">Under a fixed environment, the selection–mutation operator has a unique stationary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(Perron–Frobenius); the relative entropy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∥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decreases monotonically to zero for all tested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 maximum per-step</w:t>
      </w:r>
      <w:r>
        <w:t xml:space="preserve"> </w:t>
      </w:r>
      <w:r>
        <w:rPr>
          <w:i/>
          <w:iCs/>
        </w:rPr>
        <w:t xml:space="preserve">increase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(numerical noise). The selection-inclusive nonlinear dynamics preserves the contraction.</w:t>
      </w:r>
      <w:r>
        <w:t xml:space="preserve"> </w:t>
      </w:r>
      <w:r>
        <w:rPr>
          <w:i/>
          <w:iCs/>
        </w:rPr>
        <w:t xml:space="preserve">We retract an earlier claim that a fluctuation-theorem symmetry unifies growth rate and arrow: replicator dynamics is time-irreversible, so the Crooks-type symmetry is not expected; the arrow rests on relative-entropy contraction, the large-deviation principle (numerically convex SCGF) on growth-rate fluctuations—two distinct statements.</w:t>
      </w:r>
    </w:p>
    <w:p>
      <w:pPr>
        <w:pStyle w:val="BodyText"/>
      </w:pPr>
      <w:r>
        <w:rPr>
          <w:b/>
          <w:bCs/>
        </w:rPr>
        <w:t xml:space="preserve">2.3 Past Hypothesis, conditional law.</w:t>
      </w:r>
      <w:r>
        <w:t xml:space="preserve"> </w:t>
      </w:r>
      <w:r>
        <w:t xml:space="preserve">For pure diffusion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p</m:t>
        </m:r>
        <m:r>
          <m:rPr>
            <m:sty m:val="p"/>
          </m:rPr>
          <m:t>=</m:t>
        </m:r>
        <m:r>
          <m:t>D</m:t>
        </m:r>
        <m:sSubSup>
          <m:e>
            <m:r>
              <m:rPr>
                <m:sty m:val="p"/>
              </m:rPr>
              <m:t>∂</m:t>
            </m:r>
          </m:e>
          <m:sub>
            <m:r>
              <m:t>x</m:t>
            </m:r>
          </m:sub>
          <m:sup>
            <m:r>
              <m:t>2</m:t>
            </m:r>
          </m:sup>
        </m:sSubSup>
        <m:r>
          <m:t>p</m:t>
        </m:r>
      </m:oMath>
      <w:r>
        <w:t xml:space="preserve">,</w:t>
      </w:r>
      <w:r>
        <w:t xml:space="preserve"> </w:t>
      </w:r>
      <w:r>
        <w:t xml:space="preserve">$dH/dt=D\,I_{\rm Fisher}[p]\ge0$</w:t>
      </w:r>
      <w:r>
        <w:t xml:space="preserve"> </w:t>
      </w:r>
      <w:r>
        <w:t xml:space="preserve">(de Bruijn). The Gaussian solution gives</w:t>
      </w:r>
      <w:r>
        <w:t xml:space="preserve"> </w:t>
      </w:r>
      <w:r>
        <w:t xml:space="preserve">$dH/dt|_0=D/\sigma_0^2\propto e^{-2H_{\rm init}}$</w:t>
      </w:r>
      <w:r>
        <w:t xml:space="preserve">. Numerically the slope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d</m:t>
        </m:r>
        <m:r>
          <m:t>H</m:t>
        </m:r>
        <m:r>
          <m:rPr>
            <m:sty m:val="p"/>
          </m:rPr>
          <m:t>/</m:t>
        </m:r>
        <m:r>
          <m:t>d</m:t>
        </m:r>
        <m:r>
          <m:t>t</m:t>
        </m:r>
        <m:sSub>
          <m:e>
            <m:r>
              <m:rPr>
                <m:sty m:val="p"/>
              </m:rPr>
              <m:t>|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vs</w:t>
      </w:r>
      <w:r>
        <w:t xml:space="preserve"> </w:t>
      </w:r>
      <w:r>
        <w:t xml:space="preserve">$H_{\rm init}$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1.978</m:t>
        </m:r>
      </m:oMath>
      <w:r>
        <w:t xml:space="preserve"> </w:t>
      </w:r>
      <w:r>
        <w:t xml:space="preserve">(predicted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). This is a conditional statement (given a low-entropy initial state);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explain why that state obtained (initial-condition problem). Penrose’s conformal cyclic cosmology offers a cyclic closure (aeons supply the next low-entropy state), but CCC is itself contested.</w:t>
      </w:r>
    </w:p>
    <w:bookmarkEnd w:id="11"/>
    <w:bookmarkStart w:id="12" w:name="geometric-layer-tori-across-scales"/>
    <w:p>
      <w:pPr>
        <w:pStyle w:val="Heading2"/>
      </w:pPr>
      <w:r>
        <w:t xml:space="preserve">3. Geometric layer: tori across scales</w:t>
      </w:r>
    </w:p>
    <w:p>
      <w:pPr>
        <w:pStyle w:val="FirstParagraph"/>
      </w:pPr>
      <w:r>
        <w:t xml:space="preserve">Integrable Hamiltonian systems live on invariant tori (Liouville–Arnold; KAM under perturbation). Hydrogen (Kepler) and planets alike:</w:t>
      </w:r>
      <w:r>
        <w:t xml:space="preserve"> </w:t>
      </w:r>
      <w:r>
        <w:rPr>
          <w:b/>
          <w:bCs/>
        </w:rPr>
        <w:t xml:space="preserve">micro and macro share the same invariant-torus structure</w:t>
      </w:r>
      <w:r>
        <w:t xml:space="preserve">. Bohr–Sommerfeld quantization</w:t>
      </w:r>
      <w:r>
        <w:t xml:space="preserve"> </w:t>
      </w:r>
      <m:oMath>
        <m:nary>
          <m:naryPr>
            <m:chr m:val="∮"/>
            <m:limLoc m:val="subSup"/>
            <m:subHide m:val="off"/>
            <m:supHide m:val="on"/>
          </m:naryPr>
          <m:sub>
            <m:sSub>
              <m:e>
                <m:r>
                  <m:t>γ</m:t>
                </m:r>
              </m:e>
              <m:sub>
                <m:r>
                  <m:t>i</m:t>
                </m:r>
              </m:sub>
            </m:sSub>
          </m:sub>
          <m:sup>
            <m:r>
              <m:t>​</m:t>
            </m:r>
          </m:sup>
          <m:e>
            <m:r>
              <m:t>p</m:t>
            </m:r>
          </m:e>
        </m:nary>
        <m:r>
          <m:t> </m:t>
        </m:r>
        <m:r>
          <m:t>d</m:t>
        </m:r>
        <m:r>
          <m:t>q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t>h</m:t>
        </m:r>
      </m:oMath>
      <w:r>
        <w:t xml:space="preserve"> </w:t>
      </w:r>
      <w:r>
        <w:t xml:space="preserve">is action quantization on torus cycles. The</w:t>
      </w:r>
      <w:r>
        <w:t xml:space="preserve"> </w:t>
      </w:r>
      <w:r>
        <w:t xml:space="preserve">“stage-4”</w:t>
      </w:r>
      <w:r>
        <w:t xml:space="preserve"> </w:t>
      </w:r>
      <w:r>
        <w:t xml:space="preserve">experience of pervasive access corresponds to irrational-winding dense orbits (Weyl equidistribution). An infinite nesting</w:t>
      </w:r>
      <w:r>
        <w:t xml:space="preserve"> </w:t>
      </w:r>
      <w:r>
        <w:t xml:space="preserve">“torus within torus”</w:t>
      </w:r>
      <w:r>
        <w:t xml:space="preserve"> </w:t>
      </w:r>
      <w:r>
        <w:t xml:space="preserve">is precisely the</w:t>
      </w:r>
      <w:r>
        <w:t xml:space="preserve"> </w:t>
      </w:r>
      <w:r>
        <w:rPr>
          <w:b/>
          <w:bCs/>
        </w:rPr>
        <w:t xml:space="preserve">Smale–Williams solenoid</w:t>
      </w:r>
      <w:r>
        <w:t xml:space="preserve"> </w:t>
      </w:r>
      <w:r>
        <w:t xml:space="preserve">$\Sigma_k=\varprojlim(T^n\xleftarrow{\times k}T^n)$</w:t>
      </w:r>
      <w:r>
        <w:t xml:space="preserve">, locally Cantor</w:t>
      </w:r>
      <m:oMath>
        <m:r>
          <m:rPr>
            <m:sty m:val="p"/>
          </m:rPr>
          <m:t>×</m:t>
        </m:r>
      </m:oMath>
      <w:r>
        <w:t xml:space="preserve">interval, with</w:t>
      </w:r>
      <w:r>
        <w:t xml:space="preserve"> </w:t>
      </w:r>
      <m:oMath>
        <m:sSup>
          <m:e>
            <m:acc>
              <m:accPr>
                <m:chr m:val="̌"/>
              </m:accPr>
              <m:e>
                <m:r>
                  <m:t>H</m:t>
                </m:r>
              </m:e>
            </m:acc>
          </m:e>
          <m:sup>
            <m:r>
              <m:t>1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Σ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distinguishing it from a manifold torus.</w:t>
      </w:r>
    </w:p>
    <w:bookmarkEnd w:id="12"/>
    <w:bookmarkStart w:id="13" w:name="observable-layer-cosmic-topology"/>
    <w:p>
      <w:pPr>
        <w:pStyle w:val="Heading2"/>
      </w:pPr>
      <w:r>
        <w:t xml:space="preserve">4. Observable layer: cosmic topology</w:t>
      </w:r>
    </w:p>
    <w:p>
      <w:pPr>
        <w:pStyle w:val="FirstParagraph"/>
      </w:pPr>
      <w:r>
        <w:t xml:space="preserve">The only empirically decidable cosmological claim is whether the spatial topology is non-trivial (e.g. 3-torus): a multiply connected universe imprints</w:t>
      </w:r>
      <w:r>
        <w:t xml:space="preserve"> </w:t>
      </w:r>
      <w:r>
        <w:t xml:space="preserve">“circles in the sky”</w:t>
      </w:r>
      <w:r>
        <w:t xml:space="preserve"> </w:t>
      </w:r>
      <w:r>
        <w:t xml:space="preserve">(matched circle pairs) on the CMB. Planck shows no clear pairs (shortest loop</w:t>
      </w:r>
      <w:r>
        <w:t xml:space="preserve"> </w:t>
      </w:r>
      <m:oMath>
        <m:r>
          <m:rPr>
            <m:sty m:val="p"/>
          </m:rPr>
          <m:t>&gt;</m:t>
        </m:r>
        <m:r>
          <m:t>98.5</m:t>
        </m:r>
        <m:r>
          <m:rPr>
            <m:sty m:val="p"/>
          </m:rPr>
          <m:t>%</m:t>
        </m:r>
      </m:oMath>
      <w:r>
        <w:t xml:space="preserve"> </w:t>
      </w:r>
      <w:r>
        <w:t xml:space="preserve">of the last-scattering diameter), but 2024 analyses (COMPACT collaboration; arXiv:2403.09221) report weak hints of non-trivial topology. This is the single point where the framework touches falsifiable observation.</w:t>
      </w:r>
    </w:p>
    <w:bookmarkEnd w:id="13"/>
    <w:bookmarkStart w:id="14" w:name="a-sharp-predictionand-its-refutation"/>
    <w:p>
      <w:pPr>
        <w:pStyle w:val="Heading2"/>
      </w:pPr>
      <w:r>
        <w:t xml:space="preserve">5. A sharp prediction—and its refutation</w:t>
      </w:r>
    </w:p>
    <w:p>
      <w:pPr>
        <w:pStyle w:val="FirstParagraph"/>
      </w:pPr>
      <w:r>
        <w:rPr>
          <w:b/>
          <w:bCs/>
        </w:rPr>
        <w:t xml:space="preserve">Prediction (stated, then tested).</w:t>
      </w:r>
      <w:r>
        <w:t xml:space="preserve"> </w:t>
      </w:r>
      <w:r>
        <w:t xml:space="preserve">Quantum gravity (causal sets, CDT, asymptotic safety, Hořava–Lifshitz, spin foams) near-universally predicts a running spectral dimension</w:t>
      </w:r>
      <w:r>
        <w:t xml:space="preserve"> </w:t>
      </w:r>
      <m:oMath>
        <m:sSub>
          <m:e>
            <m:r>
              <m:t>d</m:t>
            </m:r>
          </m:e>
          <m:sub>
            <m:r>
              <m:t>s</m:t>
            </m:r>
          </m:sub>
        </m:sSub>
        <m:r>
          <m:rPr>
            <m:sty m:val="p"/>
          </m:rPr>
          <m:t>:</m:t>
        </m:r>
        <m:r>
          <m:t>4</m:t>
        </m:r>
        <m:r>
          <m:rPr>
            <m:sty m:val="p"/>
          </m:rPr>
          <m:t>→</m:t>
        </m:r>
        <m:r>
          <m:t>2</m:t>
        </m:r>
      </m:oMath>
      <w:r>
        <w:t xml:space="preserve"> </w:t>
      </w:r>
      <w:r>
        <w:t xml:space="preserve">toward the Planck scale—spacetime becomes non-manifold/fractal, so the</w:t>
      </w:r>
      <w:r>
        <w:t xml:space="preserve"> </w:t>
      </w:r>
      <w:r>
        <w:t xml:space="preserve">“smooth-manifold”</w:t>
      </w:r>
      <w:r>
        <w:t xml:space="preserve"> </w:t>
      </w:r>
      <w:r>
        <w:t xml:space="preserve">premise that excludes solenoids breaks. We therefore predicted:</w:t>
      </w:r>
      <w:r>
        <w:t xml:space="preserve"> </w:t>
      </w:r>
      <w:r>
        <w:rPr>
          <w:i/>
          <w:iCs/>
        </w:rPr>
        <w:t xml:space="preserve">spacetime has solenoidal structure at the Planck scale, with</w:t>
      </w:r>
      <w:r>
        <w:rPr>
          <w:i/>
          <w:iCs/>
        </w:rPr>
        <w:t xml:space="preserve"> </w:t>
      </w:r>
      <m:oMath>
        <m:sSub>
          <m:e>
            <m:r>
              <m:t>d</m:t>
            </m:r>
          </m:e>
          <m:sub>
            <m:r>
              <m:t>s</m:t>
            </m:r>
          </m:sub>
        </m:sSub>
        <m:r>
          <m:rPr>
            <m:sty m:val="p"/>
          </m:rPr>
          <m:t>→</m:t>
        </m:r>
        <m:r>
          <m:t>2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at small scales.</w:t>
      </w:r>
    </w:p>
    <w:p>
      <w:pPr>
        <w:pStyle w:val="BodyText"/>
      </w:pPr>
      <w:r>
        <w:rPr>
          <w:b/>
          <w:bCs/>
        </w:rPr>
        <w:t xml:space="preserve">Test (numerical).</w:t>
      </w:r>
      <w:r>
        <w:t xml:space="preserve"> </w:t>
      </w:r>
      <w:r>
        <w:t xml:space="preserve">We computed</w:t>
      </w:r>
      <w:r>
        <w:t xml:space="preserve"> </w:t>
      </w:r>
      <m:oMath>
        <m:sSub>
          <m:e>
            <m:r>
              <m:t>d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t>d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from the heat trace of a discrete Smale–Williams solenoid (twisted circle bundle, graph Laplacian). Result:</w:t>
      </w:r>
      <w:r>
        <w:t xml:space="preserve"> </w:t>
      </w:r>
      <m:oMath>
        <m:sSub>
          <m:e>
            <m:r>
              <m:t>d</m:t>
            </m:r>
          </m:e>
          <m:sub>
            <m:r>
              <m:t>s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at small scales (k=2: 0.36, k=3: 0.48),</w:t>
      </w:r>
      <w:r>
        <w:t xml:space="preserve"> </w:t>
      </w:r>
      <m:oMath>
        <m:sSub>
          <m:e>
            <m:r>
              <m:t>d</m:t>
            </m:r>
          </m:e>
          <m:sub>
            <m:r>
              <m:t>s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at large scales (circle dominates), with a mid-scale peak (</w:t>
      </w:r>
      <m:oMath>
        <m:sSub>
          <m:e>
            <m:r>
              <m:t>d</m:t>
            </m:r>
          </m:e>
          <m:sub>
            <m:r>
              <m:t>s</m:t>
            </m:r>
          </m:sub>
        </m:sSub>
        <m:r>
          <m:rPr>
            <m:sty m:val="p"/>
          </m:rPr>
          <m:t>≈</m:t>
        </m:r>
        <m:r>
          <m:t>2.05</m:t>
        </m:r>
      </m:oMath>
      <w:r>
        <w:t xml:space="preserve"> </w:t>
      </w:r>
      <w:r>
        <w:t xml:space="preserve">at k=3).</w:t>
      </w:r>
    </w:p>
    <w:p>
      <w:pPr>
        <w:pStyle w:val="BodyText"/>
      </w:pPr>
      <w:r>
        <w:rPr>
          <w:b/>
          <w:bCs/>
        </w:rPr>
        <w:t xml:space="preserve">Refutation.</w:t>
      </w:r>
      <w:r>
        <w:t xml:space="preserve"> </w:t>
      </w:r>
      <w:r>
        <w:t xml:space="preserve">The small-scale behavior (</w:t>
      </w:r>
      <m:oMath>
        <m:sSub>
          <m:e>
            <m:r>
              <m:t>d</m:t>
            </m:r>
          </m:e>
          <m:sub>
            <m:r>
              <m:t>s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) is</w:t>
      </w:r>
      <w:r>
        <w:t xml:space="preserve"> </w:t>
      </w:r>
      <w:r>
        <w:rPr>
          <w:b/>
          <w:bCs/>
        </w:rPr>
        <w:t xml:space="preserve">opposite</w:t>
      </w:r>
      <w:r>
        <w:t xml:space="preserve"> </w:t>
      </w:r>
      <w:r>
        <w:t xml:space="preserve">to the quantum-gravity prediction (</w:t>
      </w:r>
      <m:oMath>
        <m:sSub>
          <m:e>
            <m:r>
              <m:t>d</m:t>
            </m:r>
          </m:e>
          <m:sub>
            <m:r>
              <m:t>s</m:t>
            </m:r>
          </m:sub>
        </m:sSub>
        <m:r>
          <m:rPr>
            <m:sty m:val="p"/>
          </m:rPr>
          <m:t>→</m:t>
        </m:r>
        <m:r>
          <m:t>2</m:t>
        </m:r>
      </m:oMath>
      <w:r>
        <w:t xml:space="preserve">). The mid-scale</w:t>
      </w:r>
      <w:r>
        <w:t xml:space="preserve"> </w:t>
      </w:r>
      <m:oMath>
        <m:sSub>
          <m:e>
            <m:r>
              <m:t>d</m:t>
            </m:r>
          </m:e>
          <m:sub>
            <m:r>
              <m:t>s</m:t>
            </m:r>
          </m:sub>
        </m:sSub>
        <m:r>
          <m:rPr>
            <m:sty m:val="p"/>
          </m:rPr>
          <m:t>≈</m:t>
        </m:r>
        <m:r>
          <m:t>2</m:t>
        </m:r>
      </m:oMath>
      <w:r>
        <w:t xml:space="preserve"> </w:t>
      </w:r>
      <w:r>
        <w:t xml:space="preserve">is at the wrong location and is not claimed as a match.</w:t>
      </w:r>
      <w:r>
        <w:t xml:space="preserve"> </w:t>
      </w:r>
      <w:r>
        <w:rPr>
          <w:b/>
          <w:bCs/>
        </w:rPr>
        <w:t xml:space="preserve">The prediction is not supported by this calculation.</w:t>
      </w:r>
      <w:r>
        <w:t xml:space="preserve"> </w:t>
      </w:r>
      <w:r>
        <w:t xml:space="preserve">The discrete model is coarse (last-digit diffusion; higher hierarchy only via monodromy), so a rigorous solenoid heat-kernel could differ—but the present result is negative. We report it in full and invite specialists to perform the rigorous computation.</w:t>
      </w:r>
      <w:r>
        <w:t xml:space="preserve"> </w:t>
      </w:r>
      <w:r>
        <w:rPr>
          <w:i/>
          <w:iCs/>
        </w:rPr>
        <w:t xml:space="preserve">(This is the honesty the three-layer structure demands: a stated, tested, refuted prediction, disclosed rather than buried.)</w:t>
      </w:r>
    </w:p>
    <w:bookmarkEnd w:id="14"/>
    <w:bookmarkStart w:id="15" w:name="discussion-three-layer-honesty"/>
    <w:p>
      <w:pPr>
        <w:pStyle w:val="Heading2"/>
      </w:pPr>
      <w:r>
        <w:t xml:space="preserve">6. Discussion: three-layer honesty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Established</w:t>
      </w:r>
      <w:r>
        <w:t xml:space="preserve"> </w:t>
      </w:r>
      <w:r>
        <w:t xml:space="preserve">(§2–3): evolvability, arrow of time, Past-Hypothesis conditional law, KAM tori—standard or numerically verified.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Observable</w:t>
      </w:r>
      <w:r>
        <w:t xml:space="preserve"> </w:t>
      </w:r>
      <w:r>
        <w:t xml:space="preserve">(§4): cosmic topology—decidable by future CMB analysis.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Metaphysical/refuted</w:t>
      </w:r>
      <w:r>
        <w:t xml:space="preserve"> </w:t>
      </w:r>
      <w:r>
        <w:t xml:space="preserve">(§5 and the companion OMCC perspective): the option-maximizing co-constitution organizing idea is evaluated by unifying economy, not truth; the solenoid–spacetime prediction is refuted as stated.</w:t>
      </w:r>
    </w:p>
    <w:p>
      <w:pPr>
        <w:pStyle w:val="FirstParagraph"/>
      </w:pPr>
      <w:r>
        <w:t xml:space="preserve">The contribution is</w:t>
      </w:r>
      <w:r>
        <w:t xml:space="preserve"> </w:t>
      </w:r>
      <w:r>
        <w:rPr>
          <w:b/>
          <w:bCs/>
        </w:rPr>
        <w:t xml:space="preserve">integrative</w:t>
      </w:r>
      <w:r>
        <w:t xml:space="preserve">: a single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-maximization lens, with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interpolating dissipation (</w:t>
      </w:r>
      <m:oMath>
        <m:r>
          <m:t>τ</m:t>
        </m:r>
        <m:r>
          <m:rPr>
            <m:sty m:val="p"/>
          </m:rPr>
          <m:t>→</m:t>
        </m:r>
        <m:r>
          <m:t>0</m:t>
        </m:r>
      </m:oMath>
      <w:r>
        <w:t xml:space="preserve">) and option (</w:t>
      </w:r>
      <m:oMath>
        <m:r>
          <m:t>τ</m:t>
        </m:r>
        <m:r>
          <m:rPr>
            <m:sty m:val="p"/>
          </m:rPr>
          <m:t>&gt;</m:t>
        </m:r>
        <m:r>
          <m:t>0</m:t>
        </m:r>
      </m:oMath>
      <w:r>
        <w:t xml:space="preserve">) regimes, containing MEP/England/Wagner/causal-entropic-force as limits. We claim no new quantitative law; the value is the unifying frame plus an explicit observational hook (§4) and disclosed failure (§5).</w:t>
      </w:r>
    </w:p>
    <w:bookmarkEnd w:id="15"/>
    <w:bookmarkStart w:id="16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Option maximization organizes evolvability, the arrow of time, and a cross-scale torus geometry into one perspective, touches falsifiable observation at cosmic topology, and—tested honestly—does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support a solenoid model of Planck-scale spacetime. We publish the frame, the observational hook, and the refuted prediction together, inviting external verification and the rigorous solenoid spectral-dimension computation we could not complete.</w:t>
      </w:r>
    </w:p>
    <w:bookmarkEnd w:id="16"/>
    <w:bookmarkStart w:id="17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Ishii, Matsuda, Iwasa &amp; Sasaki (1989)</w:t>
      </w:r>
      <w:r>
        <w:t xml:space="preserve"> </w:t>
      </w:r>
      <w:r>
        <w:rPr>
          <w:i/>
          <w:iCs/>
        </w:rPr>
        <w:t xml:space="preserve">Genetics</w:t>
      </w:r>
      <w:r>
        <w:t xml:space="preserve"> </w:t>
      </w:r>
      <w:r>
        <w:t xml:space="preserve">121:163; Wagner (2008)</w:t>
      </w:r>
      <w:r>
        <w:t xml:space="preserve"> </w:t>
      </w:r>
      <w:r>
        <w:rPr>
          <w:i/>
          <w:iCs/>
        </w:rPr>
        <w:t xml:space="preserve">Proc. R. Soc. B</w:t>
      </w:r>
      <w:r>
        <w:t xml:space="preserve">; Wissner-Gross &amp; Freer (2013)</w:t>
      </w:r>
      <w:r>
        <w:t xml:space="preserve"> </w:t>
      </w:r>
      <w:r>
        <w:rPr>
          <w:i/>
          <w:iCs/>
        </w:rPr>
        <w:t xml:space="preserve">PRL</w:t>
      </w:r>
      <w:r>
        <w:t xml:space="preserve"> </w:t>
      </w:r>
      <w:r>
        <w:t xml:space="preserve">110:168702; Dewar (2003)</w:t>
      </w:r>
      <w:r>
        <w:t xml:space="preserve"> </w:t>
      </w:r>
      <w:r>
        <w:rPr>
          <w:i/>
          <w:iCs/>
        </w:rPr>
        <w:t xml:space="preserve">J. Phys. A</w:t>
      </w:r>
      <w:r>
        <w:t xml:space="preserve">; England (2013)</w:t>
      </w:r>
      <w:r>
        <w:t xml:space="preserve"> </w:t>
      </w:r>
      <w:r>
        <w:rPr>
          <w:i/>
          <w:iCs/>
        </w:rPr>
        <w:t xml:space="preserve">J. Chem. Phys.</w:t>
      </w:r>
      <w:r>
        <w:t xml:space="preserve">; Kolchinsky (2024) arXiv:2404.01130; de Bruijn / Carroll–Chen (2004); Penrose (2010)</w:t>
      </w:r>
      <w:r>
        <w:t xml:space="preserve"> </w:t>
      </w:r>
      <w:r>
        <w:rPr>
          <w:i/>
          <w:iCs/>
        </w:rPr>
        <w:t xml:space="preserve">Cycles of Time</w:t>
      </w:r>
      <w:r>
        <w:t xml:space="preserve">; Arnold,</w:t>
      </w:r>
      <w:r>
        <w:t xml:space="preserve"> </w:t>
      </w:r>
      <w:r>
        <w:rPr>
          <w:i/>
          <w:iCs/>
        </w:rPr>
        <w:t xml:space="preserve">Mathematical Methods of Classical Mechanics</w:t>
      </w:r>
      <w:r>
        <w:t xml:space="preserve">; Smale (1967)</w:t>
      </w:r>
      <w:r>
        <w:t xml:space="preserve"> </w:t>
      </w:r>
      <w:r>
        <w:rPr>
          <w:i/>
          <w:iCs/>
        </w:rPr>
        <w:t xml:space="preserve">Bull. AMS</w:t>
      </w:r>
      <w:r>
        <w:t xml:space="preserve">; Williams (1974); COMPACT collaboration, arXiv:2210.11426, 2403.09221; Ambjørn–Jurkiewicz–Loll (CDT); Reuter (asymptotic safety); companion: OMCC philosophy version (PhilArchive),</w:t>
      </w:r>
      <w:r>
        <w:t xml:space="preserve"> </w:t>
      </w:r>
      <w:r>
        <w:rPr>
          <w:rStyle w:val="VerbatimChar"/>
          <w:rFonts w:hint="eastAsia"/>
        </w:rPr>
        <w:t xml:space="preserve">2026-06-03_白石統合学説v2.0_決定版.md</w:t>
      </w:r>
      <w:r>
        <w:t xml:space="preserve">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2026-06-03T12:28:34Z</dcterms:created>
  <dcterms:modified xsi:type="dcterms:W3CDTF">2026-06-03T12:28:34Z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