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51" w:rsidRDefault="00C22036" w:rsidP="00CA4E6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04</w:t>
      </w:r>
    </w:p>
    <w:p w:rsidR="00CA4E65" w:rsidRPr="00CA4E65" w:rsidRDefault="00CA4E65" w:rsidP="00CA4E6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HOME ASSIGNMENT</w:t>
      </w:r>
    </w:p>
    <w:p w:rsidR="00CA4E65" w:rsidRPr="00CA4E65" w:rsidRDefault="00CA4E65" w:rsidP="00CA4E65">
      <w:pPr>
        <w:pStyle w:val="Heading2"/>
        <w:shd w:val="clear" w:color="auto" w:fill="FFFFFF"/>
        <w:spacing w:before="0" w:line="480" w:lineRule="atLeast"/>
        <w:textAlignment w:val="baseline"/>
        <w:rPr>
          <w:rFonts w:ascii="inherit" w:hAnsi="inherit" w:cs="Arial"/>
          <w:b/>
          <w:color w:val="202124"/>
          <w:sz w:val="36"/>
        </w:rPr>
      </w:pPr>
      <w:r w:rsidRPr="00CA4E65">
        <w:rPr>
          <w:rFonts w:ascii="inherit" w:hAnsi="inherit" w:cs="Arial"/>
          <w:b/>
          <w:color w:val="202124"/>
        </w:rPr>
        <w:t>About Dataset</w:t>
      </w:r>
    </w:p>
    <w:p w:rsidR="00CA4E65" w:rsidRDefault="00CA4E65" w:rsidP="00CA4E65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This data set contains 13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clinicopathologic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features aiming to predict recurrence of well differentiated thyroid cancer. The data set was collected in duration of 15 years and each patient was followed for at least 10 years.</w:t>
      </w:r>
    </w:p>
    <w:p w:rsidR="00CA4E65" w:rsidRDefault="00CA4E65" w:rsidP="00CA4E6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CA4E65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Source</w:t>
      </w:r>
      <w:r>
        <w:rPr>
          <w:rFonts w:ascii="inherit" w:hAnsi="inherit" w:cs="Arial"/>
          <w:color w:val="3C4043"/>
          <w:sz w:val="21"/>
          <w:szCs w:val="21"/>
        </w:rPr>
        <w:br/>
        <w:t>The data was procured from </w:t>
      </w:r>
      <w:hyperlink r:id="rId8" w:tgtFrame="_blank" w:history="1">
        <w:r>
          <w:rPr>
            <w:rStyle w:val="Hyperlink"/>
            <w:rFonts w:ascii="inherit" w:hAnsi="inherit" w:cs="Arial"/>
            <w:color w:val="202124"/>
            <w:sz w:val="21"/>
            <w:szCs w:val="21"/>
            <w:bdr w:val="none" w:sz="0" w:space="0" w:color="auto" w:frame="1"/>
          </w:rPr>
          <w:t>thyroid disease datasets</w:t>
        </w:r>
      </w:hyperlink>
      <w:r>
        <w:rPr>
          <w:rFonts w:ascii="inherit" w:hAnsi="inherit" w:cs="Arial"/>
          <w:color w:val="3C4043"/>
          <w:sz w:val="21"/>
          <w:szCs w:val="21"/>
        </w:rPr>
        <w:t> provided by the UCI Machine Learning Repository.</w:t>
      </w:r>
    </w:p>
    <w:p w:rsidR="00CA4E65" w:rsidRDefault="00CA4E65" w:rsidP="00CA4E65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CA4E65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Content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The size for the file featured within this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Kaggle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dataset is shown below — along with a list of attributes, and their description summaries: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Age: The age of the patient at the time of diagnosis or treatment.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Gender: The gender of the patient (male or female).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Smoking: Whether the patient is a smoker or not.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Hx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Smoking: Smoking history of the patient (e.g., whether they have ever smoked).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Hx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Radiotherapy: History of radiotherapy treatment for any condition.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Thyroid Function: The status of thyroid function, possibly indicating if there are any abnormalities.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Physical Examination: Findings from a physical examination of the patient, which may include palpation of the thyroid gland and surrounding structures.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Adenopathy: Presence or absence of enlarged lymph nodes (adenopathy) in the neck region.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Pathology: Specific types of thyroid cancer as determined by pathology examination of biopsy samples.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Focality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: Whether the cancer is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unifocal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(limited to one location) or multifocal (present in multiple locations).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Risk: The risk category of the cancer based on various factors, such as tumor size, extent of spread, and histological type.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T: Tumor classification based on its size and extent of invasion into nearby structures.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N: Nodal classification indicating the involvement of lymph nodes.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M: Metastasis classification indicating the presence or absence of distant metastases.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Stage: The overall stage of the cancer, typically determined by combining T, N, and M classifications.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Response: Response to treatment, indicating whether the cancer responded positively, negatively, or remained stable after treatment.</w:t>
      </w:r>
    </w:p>
    <w:p w:rsidR="00CA4E65" w:rsidRDefault="00CA4E65" w:rsidP="00CA4E65">
      <w:pPr>
        <w:numPr>
          <w:ilvl w:val="0"/>
          <w:numId w:val="2"/>
        </w:numPr>
        <w:shd w:val="clear" w:color="auto" w:fill="FFFFFF"/>
        <w:spacing w:before="120" w:line="330" w:lineRule="atLeast"/>
        <w:ind w:left="0"/>
        <w:jc w:val="lef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lastRenderedPageBreak/>
        <w:t>Recurred: Indicates whether the cancer has recurred after initial treatment.</w:t>
      </w:r>
    </w:p>
    <w:p w:rsidR="00DF0751" w:rsidRDefault="00DF0751" w:rsidP="00DF0751"/>
    <w:p w:rsidR="00D54E0E" w:rsidRDefault="00CA4E65" w:rsidP="00DF0751">
      <w:pPr>
        <w:rPr>
          <w:b/>
          <w:sz w:val="28"/>
          <w:u w:val="single"/>
        </w:rPr>
      </w:pPr>
      <w:r w:rsidRPr="00CA4E65">
        <w:rPr>
          <w:b/>
          <w:noProof/>
          <w:sz w:val="28"/>
          <w:u w:val="single"/>
        </w:rPr>
        <w:drawing>
          <wp:inline distT="0" distB="0" distL="0" distR="0" wp14:anchorId="201A27AD" wp14:editId="0EA0C72C">
            <wp:extent cx="5943600" cy="2743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213" cy="274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E0E" w:rsidRDefault="00CA4E65" w:rsidP="00DF075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 AND OUTPUT</w:t>
      </w:r>
    </w:p>
    <w:p w:rsidR="00DF0751" w:rsidRDefault="00C22036" w:rsidP="00DF0751">
      <w:pPr>
        <w:rPr>
          <w:b/>
          <w:sz w:val="28"/>
          <w:u w:val="single"/>
        </w:rPr>
      </w:pPr>
      <w:r w:rsidRPr="00C22036">
        <w:rPr>
          <w:b/>
          <w:sz w:val="28"/>
          <w:u w:val="single"/>
        </w:rPr>
        <w:drawing>
          <wp:inline distT="0" distB="0" distL="0" distR="0" wp14:anchorId="666E3A9F" wp14:editId="67B366E1">
            <wp:extent cx="5942965" cy="3232088"/>
            <wp:effectExtent l="19050" t="19050" r="1968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92" cy="323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036" w:rsidRDefault="00C22036" w:rsidP="00DF0751">
      <w:pPr>
        <w:rPr>
          <w:b/>
          <w:sz w:val="28"/>
          <w:u w:val="single"/>
        </w:rPr>
      </w:pPr>
    </w:p>
    <w:p w:rsidR="00C22036" w:rsidRDefault="00C22036" w:rsidP="00DF0751">
      <w:pPr>
        <w:rPr>
          <w:b/>
          <w:sz w:val="28"/>
          <w:u w:val="single"/>
        </w:rPr>
      </w:pPr>
    </w:p>
    <w:p w:rsidR="00C22036" w:rsidRDefault="00C22036" w:rsidP="00DF0751">
      <w:pPr>
        <w:rPr>
          <w:b/>
          <w:sz w:val="28"/>
          <w:u w:val="single"/>
        </w:rPr>
      </w:pPr>
    </w:p>
    <w:p w:rsidR="00C22036" w:rsidRDefault="00C22036" w:rsidP="00DF0751">
      <w:pPr>
        <w:rPr>
          <w:b/>
          <w:sz w:val="28"/>
          <w:u w:val="single"/>
        </w:rPr>
      </w:pPr>
      <w:r w:rsidRPr="00C22036">
        <w:rPr>
          <w:b/>
          <w:sz w:val="28"/>
          <w:u w:val="single"/>
        </w:rPr>
        <w:lastRenderedPageBreak/>
        <w:drawing>
          <wp:inline distT="0" distB="0" distL="0" distR="0" wp14:anchorId="32398756" wp14:editId="6B3EF617">
            <wp:extent cx="5943600" cy="23920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036" w:rsidRDefault="00C22036" w:rsidP="00DF0751">
      <w:pPr>
        <w:rPr>
          <w:b/>
          <w:sz w:val="28"/>
          <w:u w:val="single"/>
        </w:rPr>
      </w:pPr>
      <w:r w:rsidRPr="00C22036">
        <w:rPr>
          <w:b/>
          <w:sz w:val="28"/>
          <w:u w:val="single"/>
        </w:rPr>
        <w:drawing>
          <wp:inline distT="0" distB="0" distL="0" distR="0" wp14:anchorId="1702A151" wp14:editId="3CD52DB9">
            <wp:extent cx="4309450" cy="2262848"/>
            <wp:effectExtent l="19050" t="19050" r="1524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528" cy="22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036" w:rsidRDefault="00C22036" w:rsidP="00DF0751">
      <w:pPr>
        <w:rPr>
          <w:b/>
          <w:sz w:val="28"/>
          <w:u w:val="single"/>
        </w:rPr>
      </w:pPr>
    </w:p>
    <w:p w:rsidR="00C22036" w:rsidRPr="00D54E0E" w:rsidRDefault="00C22036" w:rsidP="00DF0751">
      <w:pPr>
        <w:rPr>
          <w:b/>
          <w:sz w:val="28"/>
          <w:u w:val="single"/>
        </w:rPr>
      </w:pPr>
    </w:p>
    <w:sectPr w:rsidR="00C22036" w:rsidRPr="00D54E0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8A" w:rsidRDefault="0047358A" w:rsidP="00DF0751">
      <w:pPr>
        <w:spacing w:after="0"/>
      </w:pPr>
      <w:r>
        <w:separator/>
      </w:r>
    </w:p>
  </w:endnote>
  <w:endnote w:type="continuationSeparator" w:id="0">
    <w:p w:rsidR="0047358A" w:rsidRDefault="0047358A" w:rsidP="00DF0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8A" w:rsidRDefault="0047358A" w:rsidP="00DF0751">
      <w:pPr>
        <w:spacing w:after="0"/>
      </w:pPr>
      <w:r>
        <w:separator/>
      </w:r>
    </w:p>
  </w:footnote>
  <w:footnote w:type="continuationSeparator" w:id="0">
    <w:p w:rsidR="0047358A" w:rsidRDefault="0047358A" w:rsidP="00DF07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51" w:rsidRPr="00D95EB5" w:rsidRDefault="00DF0751" w:rsidP="00DF0751">
    <w:pPr>
      <w:pStyle w:val="Header"/>
      <w:jc w:val="center"/>
      <w:rPr>
        <w:rFonts w:ascii="Agency FB" w:hAnsi="Agency FB"/>
        <w:sz w:val="28"/>
        <w:u w:val="single"/>
      </w:rPr>
    </w:pPr>
    <w:r w:rsidRPr="00151B03">
      <w:rPr>
        <w:rFonts w:ascii="Agency FB" w:hAnsi="Agency FB"/>
        <w:sz w:val="28"/>
        <w:highlight w:val="lightGray"/>
        <w:u w:val="single"/>
      </w:rPr>
      <w:t xml:space="preserve">NAME: UMAIR KHAN                   </w:t>
    </w:r>
    <w:r>
      <w:rPr>
        <w:rFonts w:ascii="Agency FB" w:hAnsi="Agency FB"/>
        <w:sz w:val="28"/>
        <w:highlight w:val="lightGray"/>
        <w:u w:val="single"/>
      </w:rPr>
      <w:t xml:space="preserve">   </w:t>
    </w:r>
    <w:r w:rsidRPr="00151B03">
      <w:rPr>
        <w:rFonts w:ascii="Agency FB" w:hAnsi="Agency FB"/>
        <w:sz w:val="28"/>
        <w:highlight w:val="lightGray"/>
        <w:u w:val="single"/>
      </w:rPr>
      <w:t xml:space="preserve">        </w:t>
    </w:r>
    <w:r>
      <w:rPr>
        <w:rFonts w:ascii="Agency FB" w:hAnsi="Agency FB"/>
        <w:sz w:val="28"/>
        <w:highlight w:val="lightGray"/>
        <w:u w:val="single"/>
      </w:rPr>
      <w:t xml:space="preserve">          </w:t>
    </w:r>
    <w:r w:rsidRPr="00151B03">
      <w:rPr>
        <w:rFonts w:ascii="Agency FB" w:hAnsi="Agency FB"/>
        <w:sz w:val="28"/>
        <w:highlight w:val="lightGray"/>
        <w:u w:val="single"/>
      </w:rPr>
      <w:t xml:space="preserve">  </w:t>
    </w:r>
    <w:r>
      <w:rPr>
        <w:rFonts w:ascii="Agency FB" w:hAnsi="Agency FB"/>
        <w:sz w:val="28"/>
        <w:highlight w:val="lightGray"/>
        <w:u w:val="single"/>
      </w:rPr>
      <w:t xml:space="preserve">   </w:t>
    </w:r>
    <w:r w:rsidRPr="00151B03">
      <w:rPr>
        <w:rFonts w:ascii="Agency FB" w:hAnsi="Agency FB"/>
        <w:sz w:val="28"/>
        <w:highlight w:val="lightGray"/>
        <w:u w:val="single"/>
      </w:rPr>
      <w:t xml:space="preserve"> </w:t>
    </w:r>
    <w:r>
      <w:rPr>
        <w:rFonts w:ascii="Agency FB" w:hAnsi="Agency FB"/>
        <w:sz w:val="28"/>
        <w:highlight w:val="lightGray"/>
        <w:u w:val="single"/>
      </w:rPr>
      <w:t xml:space="preserve">  </w:t>
    </w:r>
    <w:r w:rsidRPr="00151B03">
      <w:rPr>
        <w:rFonts w:ascii="Agency FB" w:hAnsi="Agency FB"/>
        <w:sz w:val="28"/>
        <w:highlight w:val="lightGray"/>
        <w:u w:val="single"/>
      </w:rPr>
      <w:t xml:space="preserve">ROLL NO: 273                                </w:t>
    </w:r>
    <w:r>
      <w:rPr>
        <w:rFonts w:ascii="Agency FB" w:hAnsi="Agency FB"/>
        <w:sz w:val="28"/>
        <w:highlight w:val="lightGray"/>
        <w:u w:val="single"/>
      </w:rPr>
      <w:t xml:space="preserve">                   </w:t>
    </w:r>
    <w:r w:rsidRPr="00151B03">
      <w:rPr>
        <w:rFonts w:ascii="Agency FB" w:hAnsi="Agency FB"/>
        <w:sz w:val="28"/>
        <w:highlight w:val="lightGray"/>
        <w:u w:val="single"/>
      </w:rPr>
      <w:t xml:space="preserve">   SECTION: A</w:t>
    </w:r>
    <w:r>
      <w:rPr>
        <w:rFonts w:ascii="Agency FB" w:hAnsi="Agency FB"/>
        <w:sz w:val="28"/>
        <w:u w:val="single"/>
      </w:rPr>
      <w:br/>
    </w:r>
    <w:r>
      <w:rPr>
        <w:rFonts w:ascii="Agency FB" w:hAnsi="Agency FB"/>
        <w:sz w:val="28"/>
        <w:u w:val="single"/>
      </w:rPr>
      <w:br/>
    </w:r>
    <w:r>
      <w:rPr>
        <w:rFonts w:ascii="Agency FB" w:hAnsi="Agency FB"/>
        <w:b/>
        <w:sz w:val="28"/>
        <w:u w:val="single"/>
      </w:rPr>
      <w:t>ARTIFICIAL INTELLIGENCE SE314L</w:t>
    </w:r>
  </w:p>
  <w:p w:rsidR="00DF0751" w:rsidRDefault="00DF0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45D8F"/>
    <w:multiLevelType w:val="multilevel"/>
    <w:tmpl w:val="111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F172D"/>
    <w:multiLevelType w:val="hybridMultilevel"/>
    <w:tmpl w:val="BE36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1"/>
    <w:rsid w:val="00091A2E"/>
    <w:rsid w:val="0047358A"/>
    <w:rsid w:val="00671640"/>
    <w:rsid w:val="00694990"/>
    <w:rsid w:val="00B15F91"/>
    <w:rsid w:val="00C22036"/>
    <w:rsid w:val="00CA4E65"/>
    <w:rsid w:val="00D54E0E"/>
    <w:rsid w:val="00D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936C"/>
  <w15:chartTrackingRefBased/>
  <w15:docId w15:val="{47B9FE68-C086-43DC-89D3-C039DC05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1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7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0751"/>
  </w:style>
  <w:style w:type="paragraph" w:styleId="Footer">
    <w:name w:val="footer"/>
    <w:basedOn w:val="Normal"/>
    <w:link w:val="FooterChar"/>
    <w:uiPriority w:val="99"/>
    <w:unhideWhenUsed/>
    <w:rsid w:val="00DF07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0751"/>
  </w:style>
  <w:style w:type="paragraph" w:styleId="NoSpacing">
    <w:name w:val="No Spacing"/>
    <w:uiPriority w:val="1"/>
    <w:qFormat/>
    <w:rsid w:val="00DF075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075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4E65"/>
    <w:pPr>
      <w:spacing w:before="100" w:beforeAutospacing="1" w:after="100" w:afterAutospacing="1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A4E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03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dataset/915/differentiated+thyroid+cancer+recurren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C216B-3A45-4B12-9A83-BAFA9568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3</cp:revision>
  <dcterms:created xsi:type="dcterms:W3CDTF">2024-11-13T07:56:00Z</dcterms:created>
  <dcterms:modified xsi:type="dcterms:W3CDTF">2024-11-20T03:57:00Z</dcterms:modified>
</cp:coreProperties>
</file>