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C00000"/>
          <w:sz w:val="20"/>
          <w:szCs w:val="20"/>
        </w:rPr>
        <w:t xml:space="preserve">DAWN FOODS CORP. LTD. (DFCL)</w:t>
      </w:r>
    </w:p>
    <w:p>
      <w:pPr>
        <w:spacing w:after="200"/>
        <w:jc w:val="center"/>
      </w:pPr>
      <w:r>
        <w:rPr>
          <w:color w:val="404040"/>
          <w:sz w:val="18"/>
          <w:szCs w:val="18"/>
        </w:rPr>
        <w:t xml:space="preserve">Commercial Quality Assurance</w:t>
      </w:r>
    </w:p>
    <w:p>
      <w:pPr>
        <w:spacing w:after="100"/>
        <w:jc w:val="center"/>
      </w:pPr>
      <w:r>
        <w:rPr>
          <w:b/>
          <w:bCs/>
          <w:color w:val="C00000"/>
          <w:sz w:val="40"/>
          <w:szCs w:val="40"/>
        </w:rPr>
        <w:t xml:space="preserve">SOFTWARE REQUIREMENTS DOCUMENT</w:t>
      </w:r>
    </w:p>
    <w:p>
      <w:pPr>
        <w:pBdr>
          <w:bottom w:val="single" w:color="C00000" w:sz="12" w:space="8"/>
        </w:pBdr>
        <w:spacing w:after="300"/>
        <w:jc w:val="center"/>
      </w:pPr>
      <w:r>
        <w:rPr>
          <w:b/>
          <w:bCs/>
          <w:color w:val="404040"/>
          <w:sz w:val="30"/>
          <w:szCs w:val="30"/>
        </w:rPr>
        <w:t xml:space="preserve">Sensory Evaluation Software (SES)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C00000" w:val="clear"/>
            <w:tcMar>
              <w:top w:type="dxa" w:w="80"/>
              <w:left w:type="dxa" w:w="100"/>
              <w:bottom w:type="dxa" w:w="80"/>
              <w:right w:type="dxa" w:w="100"/>
            </w:tcMar>
          </w:tcPr>
          <w:p>
            <w:r>
              <w:rPr>
                <w:b/>
                <w:bCs/>
                <w:color w:val="FFFFFF"/>
                <w:sz w:val="20"/>
                <w:szCs w:val="20"/>
              </w:rPr>
              <w:t xml:space="preserve">Document Title</w:t>
            </w:r>
          </w:p>
        </w:tc>
        <w:tc>
          <w:tcPr>
            <w:tcW w:type="dxa" w:w="7020"/>
            <w:tcMar>
              <w:top w:type="dxa" w:w="80"/>
              <w:left w:type="dxa" w:w="100"/>
              <w:bottom w:type="dxa" w:w="80"/>
              <w:right w:type="dxa" w:w="100"/>
            </w:tcMar>
          </w:tcPr>
          <w:p>
            <w:r>
              <w:rPr>
                <w:b w:val="false"/>
                <w:bCs w:val="false"/>
                <w:color w:val="000000"/>
                <w:sz w:val="20"/>
                <w:szCs w:val="20"/>
              </w:rPr>
              <w:t xml:space="preserve">Sensory Evaluation Software — Requirements Specification</w:t>
            </w:r>
          </w:p>
        </w:tc>
      </w:tr>
      <w:tr>
        <w:tc>
          <w:tcPr>
            <w:tcW w:type="dxa" w:w="2340"/>
            <w:shd w:fill="C00000" w:val="clear"/>
            <w:tcMar>
              <w:top w:type="dxa" w:w="80"/>
              <w:left w:type="dxa" w:w="100"/>
              <w:bottom w:type="dxa" w:w="80"/>
              <w:right w:type="dxa" w:w="100"/>
            </w:tcMar>
          </w:tcPr>
          <w:p>
            <w:r>
              <w:rPr>
                <w:b/>
                <w:bCs/>
                <w:color w:val="FFFFFF"/>
                <w:sz w:val="20"/>
                <w:szCs w:val="20"/>
              </w:rPr>
              <w:t xml:space="preserve">Prepared For</w:t>
            </w:r>
          </w:p>
        </w:tc>
        <w:tc>
          <w:tcPr>
            <w:tcW w:type="dxa" w:w="7020"/>
            <w:tcMar>
              <w:top w:type="dxa" w:w="80"/>
              <w:left w:type="dxa" w:w="100"/>
              <w:bottom w:type="dxa" w:w="80"/>
              <w:right w:type="dxa" w:w="100"/>
            </w:tcMar>
          </w:tcPr>
          <w:p>
            <w:r>
              <w:rPr>
                <w:b w:val="false"/>
                <w:bCs w:val="false"/>
                <w:color w:val="000000"/>
                <w:sz w:val="20"/>
                <w:szCs w:val="20"/>
              </w:rPr>
              <w:t xml:space="preserve">Software Design / Development Team</w:t>
            </w:r>
          </w:p>
        </w:tc>
      </w:tr>
      <w:tr>
        <w:tc>
          <w:tcPr>
            <w:tcW w:type="dxa" w:w="2340"/>
            <w:shd w:fill="C00000" w:val="clear"/>
            <w:tcMar>
              <w:top w:type="dxa" w:w="80"/>
              <w:left w:type="dxa" w:w="100"/>
              <w:bottom w:type="dxa" w:w="80"/>
              <w:right w:type="dxa" w:w="100"/>
            </w:tcMar>
          </w:tcPr>
          <w:p>
            <w:r>
              <w:rPr>
                <w:b/>
                <w:bCs/>
                <w:color w:val="FFFFFF"/>
                <w:sz w:val="20"/>
                <w:szCs w:val="20"/>
              </w:rPr>
              <w:t xml:space="preserve">Prepared By</w:t>
            </w:r>
          </w:p>
        </w:tc>
        <w:tc>
          <w:tcPr>
            <w:tcW w:type="dxa" w:w="7020"/>
            <w:tcMar>
              <w:top w:type="dxa" w:w="80"/>
              <w:left w:type="dxa" w:w="100"/>
              <w:bottom w:type="dxa" w:w="80"/>
              <w:right w:type="dxa" w:w="100"/>
            </w:tcMar>
          </w:tcPr>
          <w:p>
            <w:r>
              <w:rPr>
                <w:b w:val="false"/>
                <w:bCs w:val="false"/>
                <w:color w:val="000000"/>
                <w:sz w:val="20"/>
                <w:szCs w:val="20"/>
              </w:rPr>
              <w:t xml:space="preserve">Commercial Quality Assurance (CQA), DFCL</w:t>
            </w:r>
          </w:p>
        </w:tc>
      </w:tr>
      <w:tr>
        <w:tc>
          <w:tcPr>
            <w:tcW w:type="dxa" w:w="2340"/>
            <w:shd w:fill="C00000" w:val="clear"/>
            <w:tcMar>
              <w:top w:type="dxa" w:w="80"/>
              <w:left w:type="dxa" w:w="100"/>
              <w:bottom w:type="dxa" w:w="80"/>
              <w:right w:type="dxa" w:w="100"/>
            </w:tcMar>
          </w:tcPr>
          <w:p>
            <w:r>
              <w:rPr>
                <w:b/>
                <w:bCs/>
                <w:color w:val="FFFFFF"/>
                <w:sz w:val="20"/>
                <w:szCs w:val="20"/>
              </w:rPr>
              <w:t xml:space="preserve">Version</w:t>
            </w:r>
          </w:p>
        </w:tc>
        <w:tc>
          <w:tcPr>
            <w:tcW w:type="dxa" w:w="7020"/>
            <w:tcMar>
              <w:top w:type="dxa" w:w="80"/>
              <w:left w:type="dxa" w:w="100"/>
              <w:bottom w:type="dxa" w:w="80"/>
              <w:right w:type="dxa" w:w="100"/>
            </w:tcMar>
          </w:tcPr>
          <w:p>
            <w:r>
              <w:rPr>
                <w:b w:val="false"/>
                <w:bCs w:val="false"/>
                <w:color w:val="000000"/>
                <w:sz w:val="20"/>
                <w:szCs w:val="20"/>
              </w:rPr>
              <w:t xml:space="preserve">1.0 — Draft for Design Review</w:t>
            </w:r>
          </w:p>
        </w:tc>
      </w:tr>
      <w:tr>
        <w:tc>
          <w:tcPr>
            <w:tcW w:type="dxa" w:w="2340"/>
            <w:shd w:fill="C00000" w:val="clear"/>
            <w:tcMar>
              <w:top w:type="dxa" w:w="80"/>
              <w:left w:type="dxa" w:w="100"/>
              <w:bottom w:type="dxa" w:w="80"/>
              <w:right w:type="dxa" w:w="100"/>
            </w:tcMar>
          </w:tcPr>
          <w:p>
            <w:r>
              <w:rPr>
                <w:b/>
                <w:bCs/>
                <w:color w:val="FFFFFF"/>
                <w:sz w:val="20"/>
                <w:szCs w:val="20"/>
              </w:rPr>
              <w:t xml:space="preserve">Date</w:t>
            </w:r>
          </w:p>
        </w:tc>
        <w:tc>
          <w:tcPr>
            <w:tcW w:type="dxa" w:w="7020"/>
            <w:tcMar>
              <w:top w:type="dxa" w:w="80"/>
              <w:left w:type="dxa" w:w="100"/>
              <w:bottom w:type="dxa" w:w="80"/>
              <w:right w:type="dxa" w:w="100"/>
            </w:tcMar>
          </w:tcPr>
          <w:p>
            <w:r>
              <w:rPr>
                <w:b w:val="false"/>
                <w:bCs w:val="false"/>
                <w:color w:val="000000"/>
                <w:sz w:val="20"/>
                <w:szCs w:val="20"/>
              </w:rPr>
              <w:t xml:space="preserve">18 September 2026</w:t>
            </w:r>
          </w:p>
        </w:tc>
      </w:tr>
      <w:tr>
        <w:tc>
          <w:tcPr>
            <w:tcW w:type="dxa" w:w="2340"/>
            <w:shd w:fill="C00000" w:val="clear"/>
            <w:tcMar>
              <w:top w:type="dxa" w:w="80"/>
              <w:left w:type="dxa" w:w="100"/>
              <w:bottom w:type="dxa" w:w="80"/>
              <w:right w:type="dxa" w:w="100"/>
            </w:tcMar>
          </w:tcPr>
          <w:p>
            <w:r>
              <w:rPr>
                <w:b/>
                <w:bCs/>
                <w:color w:val="FFFFFF"/>
                <w:sz w:val="20"/>
                <w:szCs w:val="20"/>
              </w:rPr>
              <w:t xml:space="preserve">Related Attachments</w:t>
            </w:r>
          </w:p>
        </w:tc>
        <w:tc>
          <w:tcPr>
            <w:tcW w:type="dxa" w:w="7020"/>
            <w:tcMar>
              <w:top w:type="dxa" w:w="80"/>
              <w:left w:type="dxa" w:w="100"/>
              <w:bottom w:type="dxa" w:w="80"/>
              <w:right w:type="dxa" w:w="100"/>
            </w:tcMar>
          </w:tcPr>
          <w:p>
            <w:r>
              <w:rPr>
                <w:b w:val="false"/>
                <w:bCs w:val="false"/>
                <w:color w:val="000000"/>
                <w:sz w:val="20"/>
                <w:szCs w:val="20"/>
              </w:rPr>
              <w:t xml:space="preserve">Annex A — Sensory Parameters Masterfile; Annex B — Scoring/Reporting Checklist (to be provided separately)</w:t>
            </w:r>
          </w:p>
        </w:tc>
      </w:tr>
    </w:tbl>
    <w:p>
      <w:pPr>
        <w:spacing w:before="300"/>
      </w:pPr>
    </w:p>
    <w:p>
      <w:pPr>
        <w:pStyle w:val="Heading1"/>
        <w:pBdr>
          <w:bottom w:val="single" w:color="C00000" w:sz="6" w:space="4"/>
        </w:pBdr>
        <w:spacing w:after="160" w:before="320"/>
      </w:pPr>
      <w:r>
        <w:rPr>
          <w:b/>
          <w:bCs/>
          <w:color w:val="C00000"/>
          <w:sz w:val="28"/>
          <w:szCs w:val="28"/>
        </w:rPr>
        <w:t xml:space="preserve">1. Purpose</w:t>
      </w:r>
    </w:p>
    <w:p>
      <w:pPr>
        <w:spacing w:after="120"/>
      </w:pPr>
      <w:r>
        <w:rPr>
          <w:sz w:val="22"/>
          <w:szCs w:val="22"/>
        </w:rPr>
        <w:t xml:space="preserve">This document defines the functional and non-functional requirements for the Sensory Evaluation Software (SES) to be developed for Dawn Foods Corp. Ltd. (DFCL) Commercial Quality Assurance (CQA). The software will digitize and standardize DFCL's sensory evaluation process — from session creation through panelist data capture to automated scoring, charting, and reporting — replacing the current manual/Excel-based workflow with a single, auditable, web-based system.</w:t>
      </w:r>
    </w:p>
    <w:p>
      <w:pPr>
        <w:pStyle w:val="Heading1"/>
        <w:pBdr>
          <w:bottom w:val="single" w:color="C00000" w:sz="6" w:space="4"/>
        </w:pBdr>
        <w:spacing w:after="160" w:before="320"/>
      </w:pPr>
      <w:r>
        <w:rPr>
          <w:b/>
          <w:bCs/>
          <w:color w:val="C00000"/>
          <w:sz w:val="28"/>
          <w:szCs w:val="28"/>
        </w:rPr>
        <w:t xml:space="preserve">2. Scope</w:t>
      </w:r>
    </w:p>
    <w:p>
      <w:pPr>
        <w:spacing w:after="120"/>
      </w:pPr>
      <w:r>
        <w:rPr>
          <w:sz w:val="22"/>
          <w:szCs w:val="22"/>
        </w:rPr>
        <w:t xml:space="preserve">The SES shall support the end-to-end sensory evaluation workflow currently run by CQA, including:</w:t>
      </w:r>
    </w:p>
    <w:p>
      <w:pPr>
        <w:pStyle w:val="ListParagraph"/>
        <w:numPr>
          <w:ilvl w:val="0"/>
          <w:numId w:val="2"/>
        </w:numPr>
        <w:spacing w:after="60"/>
      </w:pPr>
      <w:r>
        <w:rPr>
          <w:sz w:val="22"/>
          <w:szCs w:val="22"/>
        </w:rPr>
        <w:t xml:space="preserve">Creation and administration of sensory evaluation sessions by an authorized host (CQA personnel).</w:t>
      </w:r>
    </w:p>
    <w:p>
      <w:pPr>
        <w:pStyle w:val="ListParagraph"/>
        <w:numPr>
          <w:ilvl w:val="0"/>
          <w:numId w:val="2"/>
        </w:numPr>
        <w:spacing w:after="60"/>
      </w:pPr>
      <w:r>
        <w:rPr>
          <w:sz w:val="22"/>
          <w:szCs w:val="22"/>
        </w:rPr>
        <w:t xml:space="preserve">Configuration of sessions by product, SKU, and a customizable set of sensory parameters drawn from a standard masterfile.</w:t>
      </w:r>
    </w:p>
    <w:p>
      <w:pPr>
        <w:pStyle w:val="ListParagraph"/>
        <w:numPr>
          <w:ilvl w:val="0"/>
          <w:numId w:val="2"/>
        </w:numPr>
        <w:spacing w:after="60"/>
      </w:pPr>
      <w:r>
        <w:rPr>
          <w:sz w:val="22"/>
          <w:szCs w:val="22"/>
        </w:rPr>
        <w:t xml:space="preserve">Distribution of a digital scoring proforma to panelists via a shareable link and QR code.</w:t>
      </w:r>
    </w:p>
    <w:p>
      <w:pPr>
        <w:pStyle w:val="ListParagraph"/>
        <w:numPr>
          <w:ilvl w:val="0"/>
          <w:numId w:val="2"/>
        </w:numPr>
        <w:spacing w:after="60"/>
      </w:pPr>
      <w:r>
        <w:rPr>
          <w:sz w:val="22"/>
          <w:szCs w:val="22"/>
        </w:rPr>
        <w:t xml:space="preserve">Panelist self-service scoring through a mobile/web-friendly proforma.</w:t>
      </w:r>
    </w:p>
    <w:p>
      <w:pPr>
        <w:pStyle w:val="ListParagraph"/>
        <w:numPr>
          <w:ilvl w:val="0"/>
          <w:numId w:val="2"/>
        </w:numPr>
        <w:spacing w:after="60"/>
      </w:pPr>
      <w:r>
        <w:rPr>
          <w:sz w:val="22"/>
          <w:szCs w:val="22"/>
        </w:rPr>
        <w:t xml:space="preserve">Automatic aggregation of panelist responses into the corresponding session's dashboard.</w:t>
      </w:r>
    </w:p>
    <w:p>
      <w:pPr>
        <w:pStyle w:val="ListParagraph"/>
        <w:numPr>
          <w:ilvl w:val="0"/>
          <w:numId w:val="2"/>
        </w:numPr>
        <w:spacing w:after="60"/>
      </w:pPr>
      <w:r>
        <w:rPr>
          <w:sz w:val="22"/>
          <w:szCs w:val="22"/>
        </w:rPr>
        <w:t xml:space="preserve">Automated generation of scores, charts, and a narrative conclusion based on a predefined evaluation checklist.</w:t>
      </w:r>
    </w:p>
    <w:p>
      <w:pPr>
        <w:pStyle w:val="ListParagraph"/>
        <w:numPr>
          <w:ilvl w:val="0"/>
          <w:numId w:val="2"/>
        </w:numPr>
        <w:spacing w:after="60"/>
      </w:pPr>
      <w:r>
        <w:rPr>
          <w:sz w:val="22"/>
          <w:szCs w:val="22"/>
        </w:rPr>
        <w:t xml:space="preserve">Retrieval and review of historical (older) session data.</w:t>
      </w:r>
    </w:p>
    <w:p>
      <w:pPr>
        <w:spacing w:after="120"/>
      </w:pPr>
      <w:r>
        <w:rPr>
          <w:i/>
          <w:iCs/>
          <w:color w:val="555555"/>
          <w:sz w:val="22"/>
          <w:szCs w:val="22"/>
        </w:rPr>
        <w:t xml:space="preserve">Out of scope for this version: integration with third-party LIMS/ERP systems and offline (no-internet) panelist data capture, unless specified otherwise by CQA during design.</w:t>
      </w:r>
    </w:p>
    <w:p>
      <w:pPr>
        <w:pStyle w:val="Heading1"/>
        <w:pBdr>
          <w:bottom w:val="single" w:color="C00000" w:sz="6" w:space="4"/>
        </w:pBdr>
        <w:spacing w:after="160" w:before="320"/>
      </w:pPr>
      <w:r>
        <w:rPr>
          <w:b/>
          <w:bCs/>
          <w:color w:val="C00000"/>
          <w:sz w:val="28"/>
          <w:szCs w:val="28"/>
        </w:rPr>
        <w:t xml:space="preserve">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shd w:fill="C00000" w:val="clear"/>
            <w:tcMar>
              <w:top w:type="dxa" w:w="80"/>
              <w:left w:type="dxa" w:w="100"/>
              <w:bottom w:type="dxa" w:w="80"/>
              <w:right w:type="dxa" w:w="100"/>
            </w:tcMar>
          </w:tcPr>
          <w:p>
            <w:r>
              <w:rPr>
                <w:b/>
                <w:bCs/>
                <w:color w:val="FFFFFF"/>
                <w:sz w:val="20"/>
                <w:szCs w:val="20"/>
              </w:rPr>
              <w:t xml:space="preserve">Role</w:t>
            </w:r>
          </w:p>
        </w:tc>
        <w:tc>
          <w:tcPr>
            <w:tcW w:type="dxa" w:w="3580"/>
            <w:shd w:fill="C00000" w:val="clear"/>
            <w:tcMar>
              <w:top w:type="dxa" w:w="80"/>
              <w:left w:type="dxa" w:w="100"/>
              <w:bottom w:type="dxa" w:w="80"/>
              <w:right w:type="dxa" w:w="100"/>
            </w:tcMar>
          </w:tcPr>
          <w:p>
            <w:r>
              <w:rPr>
                <w:b/>
                <w:bCs/>
                <w:color w:val="FFFFFF"/>
                <w:sz w:val="20"/>
                <w:szCs w:val="20"/>
              </w:rPr>
              <w:t xml:space="preserve">Description</w:t>
            </w:r>
          </w:p>
        </w:tc>
        <w:tc>
          <w:tcPr>
            <w:tcW w:type="dxa" w:w="3580"/>
            <w:shd w:fill="C00000" w:val="clear"/>
            <w:tcMar>
              <w:top w:type="dxa" w:w="80"/>
              <w:left w:type="dxa" w:w="100"/>
              <w:bottom w:type="dxa" w:w="80"/>
              <w:right w:type="dxa" w:w="100"/>
            </w:tcMar>
          </w:tcPr>
          <w:p>
            <w:r>
              <w:rPr>
                <w:b/>
                <w:bCs/>
                <w:color w:val="FFFFFF"/>
                <w:sz w:val="20"/>
                <w:szCs w:val="20"/>
              </w:rPr>
              <w:t xml:space="preserve">Key Permissions</w:t>
            </w:r>
          </w:p>
        </w:tc>
      </w:tr>
      <w:tr>
        <w:tc>
          <w:tcPr>
            <w:tcW w:type="dxa" w:w="2200"/>
            <w:tcMar>
              <w:top w:type="dxa" w:w="80"/>
              <w:left w:type="dxa" w:w="100"/>
              <w:bottom w:type="dxa" w:w="80"/>
              <w:right w:type="dxa" w:w="100"/>
            </w:tcMar>
          </w:tcPr>
          <w:p>
            <w:r>
              <w:rPr>
                <w:b w:val="false"/>
                <w:bCs w:val="false"/>
                <w:color w:val="000000"/>
                <w:sz w:val="20"/>
                <w:szCs w:val="20"/>
              </w:rPr>
              <w:t xml:space="preserve">Host / CQA Administrator</w:t>
            </w:r>
          </w:p>
        </w:tc>
        <w:tc>
          <w:tcPr>
            <w:tcW w:type="dxa" w:w="3580"/>
            <w:tcMar>
              <w:top w:type="dxa" w:w="80"/>
              <w:left w:type="dxa" w:w="100"/>
              <w:bottom w:type="dxa" w:w="80"/>
              <w:right w:type="dxa" w:w="100"/>
            </w:tcMar>
          </w:tcPr>
          <w:p>
            <w:r>
              <w:rPr>
                <w:b w:val="false"/>
                <w:bCs w:val="false"/>
                <w:color w:val="000000"/>
                <w:sz w:val="20"/>
                <w:szCs w:val="20"/>
              </w:rPr>
              <w:t xml:space="preserve">CQA staff who creates and manages sensory evaluation sessions.</w:t>
            </w:r>
          </w:p>
        </w:tc>
        <w:tc>
          <w:tcPr>
            <w:tcW w:type="dxa" w:w="3580"/>
            <w:tcMar>
              <w:top w:type="dxa" w:w="80"/>
              <w:left w:type="dxa" w:w="100"/>
              <w:bottom w:type="dxa" w:w="80"/>
              <w:right w:type="dxa" w:w="100"/>
            </w:tcMar>
          </w:tcPr>
          <w:p>
            <w:r>
              <w:rPr>
                <w:b w:val="false"/>
                <w:bCs w:val="false"/>
                <w:color w:val="000000"/>
                <w:sz w:val="20"/>
                <w:szCs w:val="20"/>
              </w:rPr>
              <w:t xml:space="preserve">Create/close sessions; select product, SKU, and parameters; configure criteria; generate link/QR; view dashboard and reports; access older session data.</w:t>
            </w:r>
          </w:p>
        </w:tc>
      </w:tr>
      <w:tr>
        <w:tc>
          <w:tcPr>
            <w:tcW w:type="dxa" w:w="2200"/>
            <w:tcMar>
              <w:top w:type="dxa" w:w="80"/>
              <w:left w:type="dxa" w:w="100"/>
              <w:bottom w:type="dxa" w:w="80"/>
              <w:right w:type="dxa" w:w="100"/>
            </w:tcMar>
          </w:tcPr>
          <w:p>
            <w:r>
              <w:rPr>
                <w:b w:val="false"/>
                <w:bCs w:val="false"/>
                <w:color w:val="000000"/>
                <w:sz w:val="20"/>
                <w:szCs w:val="20"/>
              </w:rPr>
              <w:t xml:space="preserve">Panelist</w:t>
            </w:r>
          </w:p>
        </w:tc>
        <w:tc>
          <w:tcPr>
            <w:tcW w:type="dxa" w:w="3580"/>
            <w:tcMar>
              <w:top w:type="dxa" w:w="80"/>
              <w:left w:type="dxa" w:w="100"/>
              <w:bottom w:type="dxa" w:w="80"/>
              <w:right w:type="dxa" w:w="100"/>
            </w:tcMar>
          </w:tcPr>
          <w:p>
            <w:r>
              <w:rPr>
                <w:b w:val="false"/>
                <w:bCs w:val="false"/>
                <w:color w:val="000000"/>
                <w:sz w:val="20"/>
                <w:szCs w:val="20"/>
              </w:rPr>
              <w:t xml:space="preserve">Staff/consumer invited to score a product during a session.</w:t>
            </w:r>
          </w:p>
        </w:tc>
        <w:tc>
          <w:tcPr>
            <w:tcW w:type="dxa" w:w="3580"/>
            <w:tcMar>
              <w:top w:type="dxa" w:w="80"/>
              <w:left w:type="dxa" w:w="100"/>
              <w:bottom w:type="dxa" w:w="80"/>
              <w:right w:type="dxa" w:w="100"/>
            </w:tcMar>
          </w:tcPr>
          <w:p>
            <w:r>
              <w:rPr>
                <w:b w:val="false"/>
                <w:bCs w:val="false"/>
                <w:color w:val="000000"/>
                <w:sz w:val="20"/>
                <w:szCs w:val="20"/>
              </w:rPr>
              <w:t xml:space="preserve">Access the online proforma via link or QR code only; submit scores for the active session; no access to configuration or other panelists' data.</w:t>
            </w:r>
          </w:p>
        </w:tc>
      </w:tr>
      <w:tr>
        <w:tc>
          <w:tcPr>
            <w:tcW w:type="dxa" w:w="2200"/>
            <w:tcMar>
              <w:top w:type="dxa" w:w="80"/>
              <w:left w:type="dxa" w:w="100"/>
              <w:bottom w:type="dxa" w:w="80"/>
              <w:right w:type="dxa" w:w="100"/>
            </w:tcMar>
          </w:tcPr>
          <w:p>
            <w:r>
              <w:rPr>
                <w:b w:val="false"/>
                <w:bCs w:val="false"/>
                <w:color w:val="000000"/>
                <w:sz w:val="20"/>
                <w:szCs w:val="20"/>
              </w:rPr>
              <w:t xml:space="preserve">Viewer (optional)</w:t>
            </w:r>
          </w:p>
        </w:tc>
        <w:tc>
          <w:tcPr>
            <w:tcW w:type="dxa" w:w="3580"/>
            <w:tcMar>
              <w:top w:type="dxa" w:w="80"/>
              <w:left w:type="dxa" w:w="100"/>
              <w:bottom w:type="dxa" w:w="80"/>
              <w:right w:type="dxa" w:w="100"/>
            </w:tcMar>
          </w:tcPr>
          <w:p>
            <w:r>
              <w:rPr>
                <w:b w:val="false"/>
                <w:bCs w:val="false"/>
                <w:color w:val="000000"/>
                <w:sz w:val="20"/>
                <w:szCs w:val="20"/>
              </w:rPr>
              <w:t xml:space="preserve">Management/stakeholders who need visibility without edit rights.</w:t>
            </w:r>
          </w:p>
        </w:tc>
        <w:tc>
          <w:tcPr>
            <w:tcW w:type="dxa" w:w="3580"/>
            <w:tcMar>
              <w:top w:type="dxa" w:w="80"/>
              <w:left w:type="dxa" w:w="100"/>
              <w:bottom w:type="dxa" w:w="80"/>
              <w:right w:type="dxa" w:w="100"/>
            </w:tcMar>
          </w:tcPr>
          <w:p>
            <w:r>
              <w:rPr>
                <w:b w:val="false"/>
                <w:bCs w:val="false"/>
                <w:color w:val="000000"/>
                <w:sz w:val="20"/>
                <w:szCs w:val="20"/>
              </w:rPr>
              <w:t xml:space="preserve">Read-only access to dashboards, charts, and conclusions for shared sessions.</w:t>
            </w:r>
          </w:p>
        </w:tc>
      </w:tr>
    </w:tbl>
    <w:p>
      <w:pPr>
        <w:pStyle w:val="Heading1"/>
        <w:pBdr>
          <w:bottom w:val="single" w:color="C00000" w:sz="6" w:space="4"/>
        </w:pBdr>
        <w:spacing w:after="160" w:before="320"/>
      </w:pPr>
      <w:r>
        <w:rPr>
          <w:b/>
          <w:bCs/>
          <w:color w:val="C00000"/>
          <w:sz w:val="28"/>
          <w:szCs w:val="28"/>
        </w:rPr>
        <w:t xml:space="preserve">4. Functional Requirements</w:t>
      </w:r>
    </w:p>
    <w:p>
      <w:pPr>
        <w:pStyle w:val="Heading2"/>
        <w:spacing w:after="120" w:before="240"/>
      </w:pPr>
      <w:r>
        <w:rPr>
          <w:b/>
          <w:bCs/>
          <w:color w:val="404040"/>
          <w:sz w:val="24"/>
          <w:szCs w:val="24"/>
        </w:rPr>
        <w:t xml:space="preserve">4.1 Session Data (Landing / GUI Home)</w:t>
      </w:r>
    </w:p>
    <w:p>
      <w:pPr>
        <w:spacing w:after="120"/>
      </w:pPr>
      <w:r>
        <w:rPr>
          <w:sz w:val="22"/>
          <w:szCs w:val="22"/>
        </w:rPr>
        <w:t xml:space="preserve">Upon login, the host shall be presented with a graphical user interface (GUI) offering two primary options:</w:t>
      </w:r>
    </w:p>
    <w:p>
      <w:pPr>
        <w:pStyle w:val="ListParagraph"/>
        <w:numPr>
          <w:ilvl w:val="0"/>
          <w:numId w:val="3"/>
        </w:numPr>
        <w:spacing w:after="60"/>
      </w:pPr>
      <w:r>
        <w:rPr>
          <w:sz w:val="22"/>
          <w:szCs w:val="22"/>
        </w:rPr>
        <w:t xml:space="preserve">View Older Sessions — a searchable/filterable list of previously conducted sessions (by product, SKU, date range, or status), each opening into its full session dashboard (scores, charts, conclusion, and raw panelist responses).</w:t>
      </w:r>
    </w:p>
    <w:p>
      <w:pPr>
        <w:pStyle w:val="ListParagraph"/>
        <w:numPr>
          <w:ilvl w:val="0"/>
          <w:numId w:val="3"/>
        </w:numPr>
        <w:spacing w:after="60"/>
      </w:pPr>
      <w:r>
        <w:rPr>
          <w:sz w:val="22"/>
          <w:szCs w:val="22"/>
        </w:rPr>
        <w:t xml:space="preserve">Create New Session — launches the session setup workflow described in Section 4.2.</w:t>
      </w:r>
    </w:p>
    <w:p>
      <w:pPr>
        <w:pStyle w:val="Heading2"/>
        <w:spacing w:after="120" w:before="240"/>
      </w:pPr>
      <w:r>
        <w:rPr>
          <w:b/>
          <w:bCs/>
          <w:color w:val="404040"/>
          <w:sz w:val="24"/>
          <w:szCs w:val="24"/>
        </w:rPr>
        <w:t xml:space="preserve">4.2 New Session Creation Workflow</w:t>
      </w:r>
    </w:p>
    <w:p>
      <w:pPr>
        <w:spacing w:after="120"/>
      </w:pPr>
      <w:r>
        <w:rPr>
          <w:sz w:val="22"/>
          <w:szCs w:val="22"/>
        </w:rPr>
        <w:t xml:space="preserve">Session creation shall proceed as a guided, step-by-step wizard:</w:t>
      </w:r>
    </w:p>
    <w:p>
      <w:pPr>
        <w:pStyle w:val="ListParagraph"/>
        <w:numPr>
          <w:ilvl w:val="0"/>
          <w:numId w:val="4"/>
        </w:numPr>
        <w:spacing w:after="60"/>
      </w:pPr>
      <w:r>
        <w:rPr>
          <w:sz w:val="22"/>
          <w:szCs w:val="22"/>
        </w:rPr>
        <w:t xml:space="preserve">Step 1 — Product Selection: Host selects the product under evaluation from a maintained product list.</w:t>
      </w:r>
    </w:p>
    <w:p>
      <w:pPr>
        <w:pStyle w:val="ListParagraph"/>
        <w:numPr>
          <w:ilvl w:val="0"/>
          <w:numId w:val="4"/>
        </w:numPr>
        <w:spacing w:after="60"/>
      </w:pPr>
      <w:r>
        <w:rPr>
          <w:sz w:val="22"/>
          <w:szCs w:val="22"/>
        </w:rPr>
        <w:t xml:space="preserve">Step 2 — SKU Selection: Based on the product selected in Step 1, the system filters and presents the relevant SKU(s) for selection.</w:t>
      </w:r>
    </w:p>
    <w:p>
      <w:pPr>
        <w:pStyle w:val="ListParagraph"/>
        <w:numPr>
          <w:ilvl w:val="0"/>
          <w:numId w:val="4"/>
        </w:numPr>
        <w:spacing w:after="60"/>
      </w:pPr>
      <w:r>
        <w:rPr>
          <w:sz w:val="22"/>
          <w:szCs w:val="22"/>
        </w:rPr>
        <w:t xml:space="preserve">Step 3 — Sensory Parameter Masterfile: The system loads the attached sensory parameters masterfile associated with the selected product/SKU, displaying the full standard set of applicable sensory attributes (e.g., appearance, aroma, texture, taste, aftertaste, and sub-parameters as defined in Annex A).</w:t>
      </w:r>
    </w:p>
    <w:p>
      <w:pPr>
        <w:pStyle w:val="ListParagraph"/>
        <w:numPr>
          <w:ilvl w:val="0"/>
          <w:numId w:val="4"/>
        </w:numPr>
        <w:spacing w:after="60"/>
      </w:pPr>
      <w:r>
        <w:rPr>
          <w:sz w:val="22"/>
          <w:szCs w:val="22"/>
        </w:rPr>
        <w:t xml:space="preserve">Step 4 — Criteria Customization: The host selects/customizes which parameters, scales, and target/acceptance criteria (as per Annex B checklist) apply to this specific session, enabling flexibility across different evaluation types (e.g., new product development vs. competitive benchmarking vs. routine QC).</w:t>
      </w:r>
    </w:p>
    <w:p>
      <w:pPr>
        <w:pStyle w:val="ListParagraph"/>
        <w:numPr>
          <w:ilvl w:val="0"/>
          <w:numId w:val="4"/>
        </w:numPr>
        <w:spacing w:after="60"/>
      </w:pPr>
      <w:r>
        <w:rPr>
          <w:sz w:val="22"/>
          <w:szCs w:val="22"/>
        </w:rPr>
        <w:t xml:space="preserve">Step 5 — Proforma Generation: On confirmation, the system automatically generates an online scoring proforma reflecting the session's selected product, SKU, and customized parameters, and issues:</w:t>
      </w:r>
    </w:p>
    <w:p>
      <w:pPr>
        <w:pStyle w:val="ListParagraph"/>
        <w:numPr>
          <w:ilvl w:val="1"/>
          <w:numId w:val="2"/>
        </w:numPr>
        <w:spacing w:after="60"/>
      </w:pPr>
      <w:r>
        <w:rPr>
          <w:sz w:val="22"/>
          <w:szCs w:val="22"/>
        </w:rPr>
        <w:t xml:space="preserve">A unique, shareable web link to the proforma.</w:t>
      </w:r>
    </w:p>
    <w:p>
      <w:pPr>
        <w:pStyle w:val="ListParagraph"/>
        <w:numPr>
          <w:ilvl w:val="1"/>
          <w:numId w:val="2"/>
        </w:numPr>
        <w:spacing w:after="60"/>
      </w:pPr>
      <w:r>
        <w:rPr>
          <w:sz w:val="22"/>
          <w:szCs w:val="22"/>
        </w:rPr>
        <w:t xml:space="preserve">A corresponding QR code that resolves to the same link.</w:t>
      </w:r>
    </w:p>
    <w:p>
      <w:pPr>
        <w:pStyle w:val="Heading2"/>
        <w:spacing w:after="120" w:before="240"/>
      </w:pPr>
      <w:r>
        <w:rPr>
          <w:b/>
          <w:bCs/>
          <w:color w:val="404040"/>
          <w:sz w:val="24"/>
          <w:szCs w:val="24"/>
        </w:rPr>
        <w:t xml:space="preserve">4.3 Panelist Data Capture</w:t>
      </w:r>
    </w:p>
    <w:p>
      <w:pPr>
        <w:pStyle w:val="ListParagraph"/>
        <w:numPr>
          <w:ilvl w:val="0"/>
          <w:numId w:val="5"/>
        </w:numPr>
        <w:spacing w:after="60"/>
      </w:pPr>
      <w:r>
        <w:rPr>
          <w:sz w:val="22"/>
          <w:szCs w:val="22"/>
        </w:rPr>
        <w:t xml:space="preserve">A panelist scans the QR code (or opens the shared link) on any smartphone/tablet/desktop browser — no app installation required.</w:t>
      </w:r>
    </w:p>
    <w:p>
      <w:pPr>
        <w:pStyle w:val="ListParagraph"/>
        <w:numPr>
          <w:ilvl w:val="0"/>
          <w:numId w:val="5"/>
        </w:numPr>
        <w:spacing w:after="60"/>
      </w:pPr>
      <w:r>
        <w:rPr>
          <w:sz w:val="22"/>
          <w:szCs w:val="22"/>
        </w:rPr>
        <w:t xml:space="preserve">The proforma opens pre-configured with the session's product, SKU, and selected sensory parameters, using the scoring scale(s) defined at session setup (e.g., 1–5 hedonic scale).</w:t>
      </w:r>
    </w:p>
    <w:p>
      <w:pPr>
        <w:pStyle w:val="ListParagraph"/>
        <w:numPr>
          <w:ilvl w:val="0"/>
          <w:numId w:val="5"/>
        </w:numPr>
        <w:spacing w:after="60"/>
      </w:pPr>
      <w:r>
        <w:rPr>
          <w:sz w:val="22"/>
          <w:szCs w:val="22"/>
        </w:rPr>
        <w:t xml:space="preserve">The panelist completes and submits scores; the system shall validate that all mandatory parameters are answered before allowing submission.</w:t>
      </w:r>
    </w:p>
    <w:p>
      <w:pPr>
        <w:pStyle w:val="ListParagraph"/>
        <w:numPr>
          <w:ilvl w:val="0"/>
          <w:numId w:val="5"/>
        </w:numPr>
        <w:spacing w:after="60"/>
      </w:pPr>
      <w:r>
        <w:rPr>
          <w:sz w:val="22"/>
          <w:szCs w:val="22"/>
        </w:rPr>
        <w:t xml:space="preserve">Each submission is timestamped and securely associated with the correct session, without requiring the host to manually consolidate responses.</w:t>
      </w:r>
    </w:p>
    <w:p>
      <w:pPr>
        <w:pStyle w:val="Heading2"/>
        <w:spacing w:after="120" w:before="240"/>
      </w:pPr>
      <w:r>
        <w:rPr>
          <w:b/>
          <w:bCs/>
          <w:color w:val="404040"/>
          <w:sz w:val="24"/>
          <w:szCs w:val="24"/>
        </w:rPr>
        <w:t xml:space="preserve">4.4 Automatic Dashboard &amp; Reporting</w:t>
      </w:r>
    </w:p>
    <w:p>
      <w:pPr>
        <w:spacing w:after="120"/>
      </w:pPr>
      <w:r>
        <w:rPr>
          <w:sz w:val="22"/>
          <w:szCs w:val="22"/>
        </w:rPr>
        <w:t xml:space="preserve">As panelist submissions are received, the system shall automatically update the relevant session's dashboard in real time, generating:</w:t>
      </w:r>
    </w:p>
    <w:p>
      <w:pPr>
        <w:pStyle w:val="ListParagraph"/>
        <w:numPr>
          <w:ilvl w:val="0"/>
          <w:numId w:val="2"/>
        </w:numPr>
        <w:spacing w:after="60"/>
      </w:pPr>
      <w:r>
        <w:rPr>
          <w:sz w:val="22"/>
          <w:szCs w:val="22"/>
        </w:rPr>
        <w:t xml:space="preserve">Consolidated scores per parameter, per SKU/sample, computed per the logic defined in the attached checklist (e.g., mean/average scoring, or target-count ranking method as applicable to the evaluation type).</w:t>
      </w:r>
    </w:p>
    <w:p>
      <w:pPr>
        <w:pStyle w:val="ListParagraph"/>
        <w:numPr>
          <w:ilvl w:val="0"/>
          <w:numId w:val="2"/>
        </w:numPr>
        <w:spacing w:after="60"/>
      </w:pPr>
      <w:r>
        <w:rPr>
          <w:sz w:val="22"/>
          <w:szCs w:val="22"/>
        </w:rPr>
        <w:t xml:space="preserve">Visual charts (e.g., bar charts for per-attribute comparison, radar/spider charts for overall sensory profile) generated automatically from the consolidated scores.</w:t>
      </w:r>
    </w:p>
    <w:p>
      <w:pPr>
        <w:pStyle w:val="ListParagraph"/>
        <w:numPr>
          <w:ilvl w:val="0"/>
          <w:numId w:val="2"/>
        </w:numPr>
        <w:spacing w:after="60"/>
      </w:pPr>
      <w:r>
        <w:rPr>
          <w:sz w:val="22"/>
          <w:szCs w:val="22"/>
        </w:rPr>
        <w:t xml:space="preserve">An auto-generated narrative conclusion/verdict summarizing key findings, following the structure and logic set out in the attached checklist.</w:t>
      </w:r>
    </w:p>
    <w:p>
      <w:pPr>
        <w:pStyle w:val="ListParagraph"/>
        <w:numPr>
          <w:ilvl w:val="0"/>
          <w:numId w:val="2"/>
        </w:numPr>
        <w:spacing w:after="60"/>
      </w:pPr>
      <w:r>
        <w:rPr>
          <w:sz w:val="22"/>
          <w:szCs w:val="22"/>
        </w:rPr>
        <w:t xml:space="preserve">All of the above stored within that session's record, retrievable later from "Older Sessions."</w:t>
      </w:r>
    </w:p>
    <w:p>
      <w:pPr>
        <w:spacing w:after="120"/>
      </w:pPr>
      <w:r>
        <w:rPr>
          <w:i/>
          <w:iCs/>
          <w:color w:val="555555"/>
          <w:sz w:val="22"/>
          <w:szCs w:val="22"/>
        </w:rPr>
        <w:t xml:space="preserve">Note: The specific scoring logic, chart types, and conclusion-generation rules should be finalized with the CQA team against Annex B (checklist) during the design phase, as different evaluation types (routine sensory vs. competitive benchmarking) currently use different scoring conventions.</w:t>
      </w:r>
    </w:p>
    <w:p>
      <w:pPr>
        <w:pStyle w:val="Heading2"/>
        <w:spacing w:after="120" w:before="240"/>
      </w:pPr>
      <w:r>
        <w:rPr>
          <w:b/>
          <w:bCs/>
          <w:color w:val="404040"/>
          <w:sz w:val="24"/>
          <w:szCs w:val="24"/>
        </w:rPr>
        <w:t xml:space="preserve">4.5 Session &amp; Data Management</w:t>
      </w:r>
    </w:p>
    <w:p>
      <w:pPr>
        <w:pStyle w:val="ListParagraph"/>
        <w:numPr>
          <w:ilvl w:val="0"/>
          <w:numId w:val="2"/>
        </w:numPr>
        <w:spacing w:after="60"/>
      </w:pPr>
      <w:r>
        <w:rPr>
          <w:sz w:val="22"/>
          <w:szCs w:val="22"/>
        </w:rPr>
        <w:t xml:space="preserve">Sessions shall be uniquely identifiable (auto-generated session ID) and searchable by product, SKU, host, and date.</w:t>
      </w:r>
    </w:p>
    <w:p>
      <w:pPr>
        <w:pStyle w:val="ListParagraph"/>
        <w:numPr>
          <w:ilvl w:val="0"/>
          <w:numId w:val="2"/>
        </w:numPr>
        <w:spacing w:after="60"/>
      </w:pPr>
      <w:r>
        <w:rPr>
          <w:sz w:val="22"/>
          <w:szCs w:val="22"/>
        </w:rPr>
        <w:t xml:space="preserve">The system shall retain full historical records — proforma configuration, raw panelist-level responses, consolidated scores, charts, and conclusions — for audit purposes.</w:t>
      </w:r>
    </w:p>
    <w:p>
      <w:pPr>
        <w:pStyle w:val="ListParagraph"/>
        <w:numPr>
          <w:ilvl w:val="0"/>
          <w:numId w:val="2"/>
        </w:numPr>
        <w:spacing w:after="60"/>
      </w:pPr>
      <w:r>
        <w:rPr>
          <w:sz w:val="22"/>
          <w:szCs w:val="22"/>
        </w:rPr>
        <w:t xml:space="preserve">Sessions shall support a status flag (e.g., Draft / Active / Closed) so panelists cannot submit to a session once closed.</w:t>
      </w:r>
    </w:p>
    <w:p>
      <w:pPr>
        <w:pStyle w:val="ListParagraph"/>
        <w:numPr>
          <w:ilvl w:val="0"/>
          <w:numId w:val="2"/>
        </w:numPr>
        <w:spacing w:after="60"/>
      </w:pPr>
      <w:r>
        <w:rPr>
          <w:sz w:val="22"/>
          <w:szCs w:val="22"/>
        </w:rPr>
        <w:t xml:space="preserve">Exported outputs (PDF/PPT/Excel) of any session's dashboard should be available on demand for offline reporting, consistent with DFCL's branded reporting standards.</w:t>
      </w:r>
    </w:p>
    <w:p>
      <w:pPr>
        <w:pStyle w:val="Heading1"/>
        <w:pBdr>
          <w:bottom w:val="single" w:color="C00000" w:sz="6" w:space="4"/>
        </w:pBdr>
        <w:spacing w:after="160" w:before="320"/>
      </w:pPr>
      <w:r>
        <w:rPr>
          <w:b/>
          <w:bCs/>
          <w:color w:val="C00000"/>
          <w:sz w:val="28"/>
          <w:szCs w:val="28"/>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C00000" w:val="clear"/>
            <w:tcMar>
              <w:top w:type="dxa" w:w="80"/>
              <w:left w:type="dxa" w:w="100"/>
              <w:bottom w:type="dxa" w:w="80"/>
              <w:right w:type="dxa" w:w="100"/>
            </w:tcMar>
          </w:tcPr>
          <w:p>
            <w:r>
              <w:rPr>
                <w:b/>
                <w:bCs/>
                <w:color w:val="FFFFFF"/>
                <w:sz w:val="20"/>
                <w:szCs w:val="20"/>
              </w:rPr>
              <w:t xml:space="preserve">Category</w:t>
            </w:r>
          </w:p>
        </w:tc>
        <w:tc>
          <w:tcPr>
            <w:tcW w:type="dxa" w:w="6960"/>
            <w:shd w:fill="C00000" w:val="clear"/>
            <w:tcMar>
              <w:top w:type="dxa" w:w="80"/>
              <w:left w:type="dxa" w:w="100"/>
              <w:bottom w:type="dxa" w:w="80"/>
              <w:right w:type="dxa" w:w="100"/>
            </w:tcMar>
          </w:tcPr>
          <w:p>
            <w:r>
              <w:rPr>
                <w:b/>
                <w:bCs/>
                <w:color w:val="FFFFFF"/>
                <w:sz w:val="20"/>
                <w:szCs w:val="20"/>
              </w:rPr>
              <w:t xml:space="preserve">Requirement</w:t>
            </w:r>
          </w:p>
        </w:tc>
      </w:tr>
      <w:tr>
        <w:tc>
          <w:tcPr>
            <w:tcW w:type="dxa" w:w="2400"/>
            <w:tcMar>
              <w:top w:type="dxa" w:w="80"/>
              <w:left w:type="dxa" w:w="100"/>
              <w:bottom w:type="dxa" w:w="80"/>
              <w:right w:type="dxa" w:w="100"/>
            </w:tcMar>
          </w:tcPr>
          <w:p>
            <w:r>
              <w:rPr>
                <w:b w:val="false"/>
                <w:bCs w:val="false"/>
                <w:color w:val="000000"/>
                <w:sz w:val="20"/>
                <w:szCs w:val="20"/>
              </w:rPr>
              <w:t xml:space="preserve">Accessibility</w:t>
            </w:r>
          </w:p>
        </w:tc>
        <w:tc>
          <w:tcPr>
            <w:tcW w:type="dxa" w:w="6960"/>
            <w:tcMar>
              <w:top w:type="dxa" w:w="80"/>
              <w:left w:type="dxa" w:w="100"/>
              <w:bottom w:type="dxa" w:w="80"/>
              <w:right w:type="dxa" w:w="100"/>
            </w:tcMar>
          </w:tcPr>
          <w:p>
            <w:r>
              <w:rPr>
                <w:b w:val="false"/>
                <w:bCs w:val="false"/>
                <w:color w:val="000000"/>
                <w:sz w:val="20"/>
                <w:szCs w:val="20"/>
              </w:rPr>
              <w:t xml:space="preserve">Panelist proforma must be fully responsive and usable on mobile browsers with no login/app requirement; host GUI accessible via desktop/tablet browser.</w:t>
            </w:r>
          </w:p>
        </w:tc>
      </w:tr>
      <w:tr>
        <w:tc>
          <w:tcPr>
            <w:tcW w:type="dxa" w:w="2400"/>
            <w:tcMar>
              <w:top w:type="dxa" w:w="80"/>
              <w:left w:type="dxa" w:w="100"/>
              <w:bottom w:type="dxa" w:w="80"/>
              <w:right w:type="dxa" w:w="100"/>
            </w:tcMar>
          </w:tcPr>
          <w:p>
            <w:r>
              <w:rPr>
                <w:b w:val="false"/>
                <w:bCs w:val="false"/>
                <w:color w:val="000000"/>
                <w:sz w:val="20"/>
                <w:szCs w:val="20"/>
              </w:rPr>
              <w:t xml:space="preserve">Performance</w:t>
            </w:r>
          </w:p>
        </w:tc>
        <w:tc>
          <w:tcPr>
            <w:tcW w:type="dxa" w:w="6960"/>
            <w:tcMar>
              <w:top w:type="dxa" w:w="80"/>
              <w:left w:type="dxa" w:w="100"/>
              <w:bottom w:type="dxa" w:w="80"/>
              <w:right w:type="dxa" w:w="100"/>
            </w:tcMar>
          </w:tcPr>
          <w:p>
            <w:r>
              <w:rPr>
                <w:b w:val="false"/>
                <w:bCs w:val="false"/>
                <w:color w:val="000000"/>
                <w:sz w:val="20"/>
                <w:szCs w:val="20"/>
              </w:rPr>
              <w:t xml:space="preserve">Dashboard should reflect new panelist submissions within seconds (near real-time), even with concurrent submissions from multiple panelists.</w:t>
            </w:r>
          </w:p>
        </w:tc>
      </w:tr>
      <w:tr>
        <w:tc>
          <w:tcPr>
            <w:tcW w:type="dxa" w:w="2400"/>
            <w:tcMar>
              <w:top w:type="dxa" w:w="80"/>
              <w:left w:type="dxa" w:w="100"/>
              <w:bottom w:type="dxa" w:w="80"/>
              <w:right w:type="dxa" w:w="100"/>
            </w:tcMar>
          </w:tcPr>
          <w:p>
            <w:r>
              <w:rPr>
                <w:b w:val="false"/>
                <w:bCs w:val="false"/>
                <w:color w:val="000000"/>
                <w:sz w:val="20"/>
                <w:szCs w:val="20"/>
              </w:rPr>
              <w:t xml:space="preserve">Security</w:t>
            </w:r>
          </w:p>
        </w:tc>
        <w:tc>
          <w:tcPr>
            <w:tcW w:type="dxa" w:w="6960"/>
            <w:tcMar>
              <w:top w:type="dxa" w:w="80"/>
              <w:left w:type="dxa" w:w="100"/>
              <w:bottom w:type="dxa" w:w="80"/>
              <w:right w:type="dxa" w:w="100"/>
            </w:tcMar>
          </w:tcPr>
          <w:p>
            <w:r>
              <w:rPr>
                <w:b w:val="false"/>
                <w:bCs w:val="false"/>
                <w:color w:val="000000"/>
                <w:sz w:val="20"/>
                <w:szCs w:val="20"/>
              </w:rPr>
              <w:t xml:space="preserve">Host-side session configuration and historical data restricted by authenticated login/role; panelist proforma access limited strictly to the scope of the shared link/QR (no access to other sessions or admin functions).</w:t>
            </w:r>
          </w:p>
        </w:tc>
      </w:tr>
      <w:tr>
        <w:tc>
          <w:tcPr>
            <w:tcW w:type="dxa" w:w="2400"/>
            <w:tcMar>
              <w:top w:type="dxa" w:w="80"/>
              <w:left w:type="dxa" w:w="100"/>
              <w:bottom w:type="dxa" w:w="80"/>
              <w:right w:type="dxa" w:w="100"/>
            </w:tcMar>
          </w:tcPr>
          <w:p>
            <w:r>
              <w:rPr>
                <w:b w:val="false"/>
                <w:bCs w:val="false"/>
                <w:color w:val="000000"/>
                <w:sz w:val="20"/>
                <w:szCs w:val="20"/>
              </w:rPr>
              <w:t xml:space="preserve">Scalability</w:t>
            </w:r>
          </w:p>
        </w:tc>
        <w:tc>
          <w:tcPr>
            <w:tcW w:type="dxa" w:w="6960"/>
            <w:tcMar>
              <w:top w:type="dxa" w:w="80"/>
              <w:left w:type="dxa" w:w="100"/>
              <w:bottom w:type="dxa" w:w="80"/>
              <w:right w:type="dxa" w:w="100"/>
            </w:tcMar>
          </w:tcPr>
          <w:p>
            <w:r>
              <w:rPr>
                <w:b w:val="false"/>
                <w:bCs w:val="false"/>
                <w:color w:val="000000"/>
                <w:sz w:val="20"/>
                <w:szCs w:val="20"/>
              </w:rPr>
              <w:t xml:space="preserve">Must support multiple concurrent sessions across DFCL's regions (Central, North-1, North II, South) and multiple entities (ARF/QIE/MDK, ATA, DFF).</w:t>
            </w:r>
          </w:p>
        </w:tc>
      </w:tr>
      <w:tr>
        <w:tc>
          <w:tcPr>
            <w:tcW w:type="dxa" w:w="2400"/>
            <w:tcMar>
              <w:top w:type="dxa" w:w="80"/>
              <w:left w:type="dxa" w:w="100"/>
              <w:bottom w:type="dxa" w:w="80"/>
              <w:right w:type="dxa" w:w="100"/>
            </w:tcMar>
          </w:tcPr>
          <w:p>
            <w:r>
              <w:rPr>
                <w:b w:val="false"/>
                <w:bCs w:val="false"/>
                <w:color w:val="000000"/>
                <w:sz w:val="20"/>
                <w:szCs w:val="20"/>
              </w:rPr>
              <w:t xml:space="preserve">Branding</w:t>
            </w:r>
          </w:p>
        </w:tc>
        <w:tc>
          <w:tcPr>
            <w:tcW w:type="dxa" w:w="6960"/>
            <w:tcMar>
              <w:top w:type="dxa" w:w="80"/>
              <w:left w:type="dxa" w:w="100"/>
              <w:bottom w:type="dxa" w:w="80"/>
              <w:right w:type="dxa" w:w="100"/>
            </w:tcMar>
          </w:tcPr>
          <w:p>
            <w:r>
              <w:rPr>
                <w:b w:val="false"/>
                <w:bCs w:val="false"/>
                <w:color w:val="000000"/>
                <w:sz w:val="20"/>
                <w:szCs w:val="20"/>
              </w:rPr>
              <w:t xml:space="preserve">All host dashboards, panelist proformas, and generated reports/exports should follow DFCL's standard branding (DFCL red 3D "D" wordmark and red "QA" badge, consistent color palette and typography).</w:t>
            </w:r>
          </w:p>
        </w:tc>
      </w:tr>
      <w:tr>
        <w:tc>
          <w:tcPr>
            <w:tcW w:type="dxa" w:w="2400"/>
            <w:tcMar>
              <w:top w:type="dxa" w:w="80"/>
              <w:left w:type="dxa" w:w="100"/>
              <w:bottom w:type="dxa" w:w="80"/>
              <w:right w:type="dxa" w:w="100"/>
            </w:tcMar>
          </w:tcPr>
          <w:p>
            <w:r>
              <w:rPr>
                <w:b w:val="false"/>
                <w:bCs w:val="false"/>
                <w:color w:val="000000"/>
                <w:sz w:val="20"/>
                <w:szCs w:val="20"/>
              </w:rPr>
              <w:t xml:space="preserve">Data Integrity</w:t>
            </w:r>
          </w:p>
        </w:tc>
        <w:tc>
          <w:tcPr>
            <w:tcW w:type="dxa" w:w="6960"/>
            <w:tcMar>
              <w:top w:type="dxa" w:w="80"/>
              <w:left w:type="dxa" w:w="100"/>
              <w:bottom w:type="dxa" w:w="80"/>
              <w:right w:type="dxa" w:w="100"/>
            </w:tcMar>
          </w:tcPr>
          <w:p>
            <w:r>
              <w:rPr>
                <w:b w:val="false"/>
                <w:bCs w:val="false"/>
                <w:color w:val="000000"/>
                <w:sz w:val="20"/>
                <w:szCs w:val="20"/>
              </w:rPr>
              <w:t xml:space="preserve">Each panelist submission must be immutably logged (timestamp, device/session reference) to preserve audit trail integrity.</w:t>
            </w:r>
          </w:p>
        </w:tc>
      </w:tr>
      <w:tr>
        <w:tc>
          <w:tcPr>
            <w:tcW w:type="dxa" w:w="2400"/>
            <w:tcMar>
              <w:top w:type="dxa" w:w="80"/>
              <w:left w:type="dxa" w:w="100"/>
              <w:bottom w:type="dxa" w:w="80"/>
              <w:right w:type="dxa" w:w="100"/>
            </w:tcMar>
          </w:tcPr>
          <w:p>
            <w:r>
              <w:rPr>
                <w:b w:val="false"/>
                <w:bCs w:val="false"/>
                <w:color w:val="000000"/>
                <w:sz w:val="20"/>
                <w:szCs w:val="20"/>
              </w:rPr>
              <w:t xml:space="preserve">Extensibility</w:t>
            </w:r>
          </w:p>
        </w:tc>
        <w:tc>
          <w:tcPr>
            <w:tcW w:type="dxa" w:w="6960"/>
            <w:tcMar>
              <w:top w:type="dxa" w:w="80"/>
              <w:left w:type="dxa" w:w="100"/>
              <w:bottom w:type="dxa" w:w="80"/>
              <w:right w:type="dxa" w:w="100"/>
            </w:tcMar>
          </w:tcPr>
          <w:p>
            <w:r>
              <w:rPr>
                <w:b w:val="false"/>
                <w:bCs w:val="false"/>
                <w:color w:val="000000"/>
                <w:sz w:val="20"/>
                <w:szCs w:val="20"/>
              </w:rPr>
              <w:t xml:space="preserve">Sensory parameter masterfile and checklist logic should be maintainable/updatable by CQA admins without requiring a code change for every new product or SKU.</w:t>
            </w:r>
          </w:p>
        </w:tc>
      </w:tr>
    </w:tbl>
    <w:p>
      <w:pPr>
        <w:pStyle w:val="Heading1"/>
        <w:pBdr>
          <w:bottom w:val="single" w:color="C00000" w:sz="6" w:space="4"/>
        </w:pBdr>
        <w:spacing w:after="160" w:before="320"/>
      </w:pPr>
      <w:r>
        <w:rPr>
          <w:b/>
          <w:bCs/>
          <w:color w:val="C00000"/>
          <w:sz w:val="28"/>
          <w:szCs w:val="28"/>
        </w:rPr>
        <w:t xml:space="preserve">6. Assumptions &amp; Dependencies</w:t>
      </w:r>
    </w:p>
    <w:p>
      <w:pPr>
        <w:pStyle w:val="ListParagraph"/>
        <w:numPr>
          <w:ilvl w:val="0"/>
          <w:numId w:val="2"/>
        </w:numPr>
        <w:spacing w:after="60"/>
      </w:pPr>
      <w:r>
        <w:rPr>
          <w:sz w:val="22"/>
          <w:szCs w:val="22"/>
        </w:rPr>
        <w:t xml:space="preserve">The sensory parameters masterfile (Annex A) and scoring/reporting checklist (Annex B) referenced throughout this document will be supplied separately by CQA to the design team and are treated as the authoritative source for parameter lists, scales, scoring logic, and conclusion rules.</w:t>
      </w:r>
    </w:p>
    <w:p>
      <w:pPr>
        <w:pStyle w:val="ListParagraph"/>
        <w:numPr>
          <w:ilvl w:val="0"/>
          <w:numId w:val="2"/>
        </w:numPr>
        <w:spacing w:after="60"/>
      </w:pPr>
      <w:r>
        <w:rPr>
          <w:sz w:val="22"/>
          <w:szCs w:val="22"/>
        </w:rPr>
        <w:t xml:space="preserve">Product and SKU master lists will be maintained by/supplied by CQA and kept in sync with DFCL's existing product data.</w:t>
      </w:r>
    </w:p>
    <w:p>
      <w:pPr>
        <w:pStyle w:val="ListParagraph"/>
        <w:numPr>
          <w:ilvl w:val="0"/>
          <w:numId w:val="2"/>
        </w:numPr>
        <w:spacing w:after="60"/>
      </w:pPr>
      <w:r>
        <w:rPr>
          <w:sz w:val="22"/>
          <w:szCs w:val="22"/>
        </w:rPr>
        <w:t xml:space="preserve">Internet connectivity is assumed to be available to panelists at the point of scoring.</w:t>
      </w:r>
    </w:p>
    <w:p>
      <w:pPr>
        <w:pStyle w:val="ListParagraph"/>
        <w:numPr>
          <w:ilvl w:val="0"/>
          <w:numId w:val="2"/>
        </w:numPr>
        <w:spacing w:after="60"/>
      </w:pPr>
      <w:r>
        <w:rPr>
          <w:sz w:val="22"/>
          <w:szCs w:val="22"/>
        </w:rPr>
        <w:t xml:space="preserve">Final choice of technology stack, hosting environment, and QR/link generation method is left to the software designer's recommendation, subject to CQA's security and branding requirements above.</w:t>
      </w:r>
    </w:p>
    <w:p>
      <w:pPr>
        <w:pStyle w:val="Heading1"/>
        <w:pBdr>
          <w:bottom w:val="single" w:color="C00000" w:sz="6" w:space="4"/>
        </w:pBdr>
        <w:spacing w:after="160" w:before="320"/>
      </w:pPr>
      <w:r>
        <w:rPr>
          <w:b/>
          <w:bCs/>
          <w:color w:val="C00000"/>
          <w:sz w:val="28"/>
          <w:szCs w:val="28"/>
        </w:rPr>
        <w:t xml:space="preserve">7. Annexes (To Be Attached)</w:t>
      </w:r>
    </w:p>
    <w:p>
      <w:pPr>
        <w:pStyle w:val="ListParagraph"/>
        <w:numPr>
          <w:ilvl w:val="0"/>
          <w:numId w:val="2"/>
        </w:numPr>
        <w:spacing w:after="60"/>
      </w:pPr>
      <w:r>
        <w:rPr>
          <w:sz w:val="22"/>
          <w:szCs w:val="22"/>
        </w:rPr>
        <w:t xml:space="preserve">Annex A — Sensory Parameters Masterfile (per product/SKU).</w:t>
      </w:r>
    </w:p>
    <w:p>
      <w:pPr>
        <w:pStyle w:val="ListParagraph"/>
        <w:numPr>
          <w:ilvl w:val="0"/>
          <w:numId w:val="2"/>
        </w:numPr>
        <w:spacing w:after="60"/>
      </w:pPr>
      <w:r>
        <w:rPr>
          <w:sz w:val="22"/>
          <w:szCs w:val="22"/>
        </w:rPr>
        <w:t xml:space="preserve">Annex B — Scoring &amp; Reporting Checklist (scoring scale, ranking/aggregation logic, chart types, and conclusion criteria).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Dawn Foods Corp. Ltd. (DFCL) — Commercial Quality Assurance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2026-09-18T09:12:52.953Z</dcterms:created>
  <dcterms:modified xsi:type="dcterms:W3CDTF">2026-09-18T09:12:52.953Z</dcterms:modified>
</cp:coreProperties>
</file>

<file path=docProps/custom.xml><?xml version="1.0" encoding="utf-8"?>
<Properties xmlns="http://schemas.openxmlformats.org/officeDocument/2006/custom-properties" xmlns:vt="http://schemas.openxmlformats.org/officeDocument/2006/docPropsVTypes"/>
</file>