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7A1E2B"/>
          <w:sz w:val="20"/>
          <w:szCs w:val="20"/>
        </w:rPr>
        <w:t xml:space="preserve">Dawn Foods Corp. Ltd. (DFCL) — Commercial Quality Assurance</w:t>
      </w:r>
    </w:p>
    <w:p>
      <w:pPr>
        <w:pBdr>
          <w:bottom w:val="single" w:color="B8860B" w:sz="12" w:space="6"/>
        </w:pBdr>
        <w:spacing w:after="300"/>
        <w:jc w:val="center"/>
      </w:pPr>
      <w:r>
        <w:rPr>
          <w:b/>
          <w:bCs/>
          <w:color w:val="000000"/>
          <w:sz w:val="32"/>
          <w:szCs w:val="32"/>
        </w:rPr>
        <w:t xml:space="preserve">Sensory Evaluation App — Dashboard Correction &amp; Enhancement Requirements</w:t>
      </w:r>
    </w:p>
    <w:p>
      <w:pPr>
        <w:pStyle w:val="Heading1"/>
        <w:pBdr>
          <w:bottom w:val="single" w:color="7A1E2B" w:sz="8" w:space="4"/>
        </w:pBdr>
        <w:spacing w:after="160" w:before="320"/>
      </w:pPr>
      <w:r>
        <w:rPr>
          <w:b/>
          <w:bCs/>
          <w:color w:val="7A1E2B"/>
          <w:sz w:val="28"/>
          <w:szCs w:val="28"/>
        </w:rPr>
        <w:t xml:space="preserve">1. Purpose</w:t>
      </w:r>
    </w:p>
    <w:p>
      <w:pPr>
        <w:spacing w:after="120"/>
      </w:pPr>
      <w:r>
        <w:rPr>
          <w:sz w:val="21"/>
          <w:szCs w:val="21"/>
        </w:rPr>
        <w:t xml:space="preserve">This document specifies the required corrections and enhancements to the Sensory Evaluation App's data analysis dashboard. The current input mechanism and overall GUI are functioning as intended and are not in scope for change. The scope below covers scoring logic, parameter structure, ranking logic, data access, and reporting outputs.</w:t>
      </w:r>
    </w:p>
    <w:p>
      <w:pPr>
        <w:pStyle w:val="Heading1"/>
        <w:pBdr>
          <w:bottom w:val="single" w:color="7A1E2B" w:sz="8" w:space="4"/>
        </w:pBdr>
        <w:spacing w:after="160" w:before="320"/>
      </w:pPr>
      <w:r>
        <w:rPr>
          <w:b/>
          <w:bCs/>
          <w:color w:val="7A1E2B"/>
          <w:sz w:val="28"/>
          <w:szCs w:val="28"/>
        </w:rPr>
        <w:t xml:space="preserve">2. Current State (Not in Scope for Change)</w:t>
      </w:r>
    </w:p>
    <w:p>
      <w:pPr>
        <w:pStyle w:val="ListParagraph"/>
        <w:numPr>
          <w:ilvl w:val="0"/>
          <w:numId w:val="2"/>
        </w:numPr>
        <w:spacing w:after="60"/>
      </w:pPr>
      <w:r>
        <w:rPr>
          <w:sz w:val="21"/>
          <w:szCs w:val="21"/>
        </w:rPr>
        <w:t xml:space="preserve">Data entry mechanism and overall GUI/user flow are working as expected and should be retained as-is.</w:t>
      </w:r>
    </w:p>
    <w:p>
      <w:pPr>
        <w:pStyle w:val="ListParagraph"/>
        <w:numPr>
          <w:ilvl w:val="0"/>
          <w:numId w:val="2"/>
        </w:numPr>
        <w:spacing w:after="60"/>
      </w:pPr>
      <w:r>
        <w:rPr>
          <w:sz w:val="21"/>
          <w:szCs w:val="21"/>
        </w:rPr>
        <w:t xml:space="preserve">This document addresses only the analysis and reporting layer of the dashboard.</w:t>
      </w:r>
    </w:p>
    <w:p>
      <w:pPr>
        <w:pStyle w:val="Heading1"/>
        <w:pBdr>
          <w:bottom w:val="single" w:color="7A1E2B" w:sz="8" w:space="4"/>
        </w:pBdr>
        <w:spacing w:after="160" w:before="320"/>
      </w:pPr>
      <w:r>
        <w:rPr>
          <w:b/>
          <w:bCs/>
          <w:color w:val="7A1E2B"/>
          <w:sz w:val="28"/>
          <w:szCs w:val="28"/>
        </w:rPr>
        <w:t xml:space="preserve">3. Scoring Methodology Correction</w:t>
      </w:r>
    </w:p>
    <w:p>
      <w:pPr>
        <w:pStyle w:val="Heading2"/>
        <w:spacing w:after="120" w:before="260"/>
      </w:pPr>
      <w:r>
        <w:rPr>
          <w:b/>
          <w:bCs/>
          <w:color w:val="7A1E2B"/>
          <w:sz w:val="24"/>
          <w:szCs w:val="24"/>
        </w:rPr>
        <w:t xml:space="preserve">3.1 Current Behaviour</w:t>
      </w:r>
    </w:p>
    <w:p>
      <w:pPr>
        <w:spacing w:after="120"/>
      </w:pPr>
      <w:r>
        <w:rPr>
          <w:sz w:val="21"/>
          <w:szCs w:val="21"/>
        </w:rPr>
        <w:t xml:space="preserve">Scores displayed on the dashboard are currently calculated as an average of the ratings given by panelists for each parameter.</w:t>
      </w:r>
    </w:p>
    <w:p>
      <w:pPr>
        <w:pStyle w:val="Heading2"/>
        <w:spacing w:after="120" w:before="260"/>
      </w:pPr>
      <w:r>
        <w:rPr>
          <w:b/>
          <w:bCs/>
          <w:color w:val="7A1E2B"/>
          <w:sz w:val="24"/>
          <w:szCs w:val="24"/>
        </w:rPr>
        <w:t xml:space="preserve">3.2 Required Behaviour</w:t>
      </w:r>
    </w:p>
    <w:p>
      <w:pPr>
        <w:spacing w:after="120"/>
      </w:pPr>
      <w:r>
        <w:rPr>
          <w:sz w:val="21"/>
          <w:szCs w:val="21"/>
        </w:rPr>
        <w:t xml:space="preserve">The score for each parameter must no longer be an average. It must instead be calculated as the percentage of panelists who rated that parameter as "Target" (a rating of 3 on the 1–5 scale).</w:t>
      </w:r>
    </w:p>
    <w:p>
      <w:pPr>
        <w:pStyle w:val="ListParagraph"/>
        <w:numPr>
          <w:ilvl w:val="0"/>
          <w:numId w:val="3"/>
        </w:numPr>
        <w:spacing w:after="60"/>
      </w:pPr>
      <w:r>
        <w:rPr>
          <w:sz w:val="21"/>
          <w:szCs w:val="21"/>
        </w:rPr>
        <w:t xml:space="preserve">For each parameter, count the number of panelists who gave a rating of 3 (Target).</w:t>
      </w:r>
    </w:p>
    <w:p>
      <w:pPr>
        <w:pStyle w:val="ListParagraph"/>
        <w:numPr>
          <w:ilvl w:val="0"/>
          <w:numId w:val="3"/>
        </w:numPr>
        <w:spacing w:after="60"/>
      </w:pPr>
      <w:r>
        <w:rPr>
          <w:sz w:val="21"/>
          <w:szCs w:val="21"/>
        </w:rPr>
        <w:t xml:space="preserve">Divide this count by the total number of panelists who scored that parameter.</w:t>
      </w:r>
    </w:p>
    <w:p>
      <w:pPr>
        <w:pStyle w:val="ListParagraph"/>
        <w:numPr>
          <w:ilvl w:val="0"/>
          <w:numId w:val="3"/>
        </w:numPr>
        <w:spacing w:after="60"/>
      </w:pPr>
      <w:r>
        <w:rPr>
          <w:sz w:val="21"/>
          <w:szCs w:val="21"/>
        </w:rPr>
        <w:t xml:space="preserve">Express the result as a percentage — this percentage is the parameter's score on the dashboard.</w:t>
      </w:r>
    </w:p>
    <w:p>
      <w:pPr>
        <w:spacing w:after="120"/>
      </w:pPr>
      <w:r>
        <w:rPr>
          <w:b/>
          <w:bCs/>
          <w:sz w:val="21"/>
          <w:szCs w:val="21"/>
        </w:rPr>
        <w:t xml:space="preserve">Formula:</w:t>
      </w:r>
    </w:p>
    <w:p>
      <w:pPr>
        <w:spacing w:after="120"/>
      </w:pPr>
      <w:r>
        <w:rPr>
          <w:i/>
          <w:iCs/>
          <w:sz w:val="21"/>
          <w:szCs w:val="21"/>
        </w:rPr>
        <w:t xml:space="preserve">Parameter Score (%) = (Number of panelists rating "3 – Target" ÷ Total panelists) × 100</w:t>
      </w:r>
    </w:p>
    <w:p>
      <w:pPr>
        <w:spacing w:after="120"/>
      </w:pPr>
      <w:r>
        <w:rPr>
          <w:sz w:val="21"/>
          <w:szCs w:val="21"/>
        </w:rPr>
        <w:t xml:space="preserve">This replaces the average-based score everywhere it currently appears on the dashboard — summary tiles, charts, and tables.</w:t>
      </w:r>
    </w:p>
    <w:p>
      <w:pPr>
        <w:pStyle w:val="Heading1"/>
        <w:pBdr>
          <w:bottom w:val="single" w:color="7A1E2B" w:sz="8" w:space="4"/>
        </w:pBdr>
        <w:spacing w:after="160" w:before="320"/>
      </w:pPr>
      <w:r>
        <w:rPr>
          <w:b/>
          <w:bCs/>
          <w:color w:val="7A1E2B"/>
          <w:sz w:val="28"/>
          <w:szCs w:val="28"/>
        </w:rPr>
        <w:t xml:space="preserve">4. Parameter Hierarchy (Parent &amp; Sub-Parameters)</w:t>
      </w:r>
    </w:p>
    <w:p>
      <w:pPr>
        <w:pStyle w:val="Heading2"/>
        <w:spacing w:after="120" w:before="260"/>
      </w:pPr>
      <w:r>
        <w:rPr>
          <w:b/>
          <w:bCs/>
          <w:color w:val="7A1E2B"/>
          <w:sz w:val="24"/>
          <w:szCs w:val="24"/>
        </w:rPr>
        <w:t xml:space="preserve">4.1 Current Behaviour</w:t>
      </w:r>
    </w:p>
    <w:p>
      <w:pPr>
        <w:spacing w:after="120"/>
      </w:pPr>
      <w:r>
        <w:rPr>
          <w:sz w:val="21"/>
          <w:szCs w:val="21"/>
        </w:rPr>
        <w:t xml:space="preserve">All parameters (e.g., Crust Colour, Texture, etc.) are currently displayed individually and separately, with no grouping.</w:t>
      </w:r>
    </w:p>
    <w:p>
      <w:pPr>
        <w:pStyle w:val="Heading2"/>
        <w:spacing w:after="120" w:before="260"/>
      </w:pPr>
      <w:r>
        <w:rPr>
          <w:b/>
          <w:bCs/>
          <w:color w:val="7A1E2B"/>
          <w:sz w:val="24"/>
          <w:szCs w:val="24"/>
        </w:rPr>
        <w:t xml:space="preserve">4.2 Required Behaviour</w:t>
      </w:r>
    </w:p>
    <w:p>
      <w:pPr>
        <w:spacing w:after="120"/>
      </w:pPr>
      <w:r>
        <w:rPr>
          <w:sz w:val="21"/>
          <w:szCs w:val="21"/>
        </w:rPr>
        <w:t xml:space="preserve">Parameters must be restructured into a two-level hierarchy, matching the grouping already used in the scoring checklist:</w:t>
      </w:r>
    </w:p>
    <w:p>
      <w:pPr>
        <w:pStyle w:val="ListParagraph"/>
        <w:numPr>
          <w:ilvl w:val="0"/>
          <w:numId w:val="2"/>
        </w:numPr>
        <w:spacing w:after="60"/>
      </w:pPr>
      <w:r>
        <w:rPr>
          <w:sz w:val="21"/>
          <w:szCs w:val="21"/>
        </w:rPr>
        <w:t xml:space="preserve">Parent Parameter: Appearance</w:t>
      </w:r>
    </w:p>
    <w:p>
      <w:pPr>
        <w:pStyle w:val="ListParagraph"/>
        <w:numPr>
          <w:ilvl w:val="0"/>
          <w:numId w:val="2"/>
        </w:numPr>
        <w:spacing w:after="60"/>
      </w:pPr>
      <w:r>
        <w:rPr>
          <w:sz w:val="21"/>
          <w:szCs w:val="21"/>
        </w:rPr>
        <w:t xml:space="preserve">Parent Parameter: Taste</w:t>
      </w:r>
    </w:p>
    <w:p>
      <w:pPr>
        <w:pStyle w:val="ListParagraph"/>
        <w:numPr>
          <w:ilvl w:val="0"/>
          <w:numId w:val="2"/>
        </w:numPr>
        <w:spacing w:after="60"/>
      </w:pPr>
      <w:r>
        <w:rPr>
          <w:sz w:val="21"/>
          <w:szCs w:val="21"/>
        </w:rPr>
        <w:t xml:space="preserve">Parent Parameter: Aroma</w:t>
      </w:r>
    </w:p>
    <w:p>
      <w:pPr>
        <w:pStyle w:val="ListParagraph"/>
        <w:numPr>
          <w:ilvl w:val="0"/>
          <w:numId w:val="2"/>
        </w:numPr>
        <w:spacing w:after="60"/>
      </w:pPr>
      <w:r>
        <w:rPr>
          <w:sz w:val="21"/>
          <w:szCs w:val="21"/>
        </w:rPr>
        <w:t xml:space="preserve">Parent Parameter: Colour</w:t>
      </w:r>
    </w:p>
    <w:p>
      <w:pPr>
        <w:spacing w:after="120"/>
      </w:pPr>
      <w:r>
        <w:rPr>
          <w:sz w:val="21"/>
          <w:szCs w:val="21"/>
        </w:rPr>
        <w:t xml:space="preserve">Each parent parameter contains its own relevant sub-parameters (e.g., Appearance → Crust Colour, Shape, Size, Cut/Surface; Taste → Sweetness, Saltiness, Aftertaste; Aroma → Intensity, Off-notes; Colour → Crumb Colour, Crust Colour, as applicable to the product). The exact sub-parameter list per parent should follow the existing checklist structure used for scoring.</w:t>
      </w:r>
    </w:p>
    <w:p>
      <w:pPr>
        <w:pStyle w:val="Heading2"/>
        <w:spacing w:after="120" w:before="260"/>
      </w:pPr>
      <w:r>
        <w:rPr>
          <w:b/>
          <w:bCs/>
          <w:color w:val="7A1E2B"/>
          <w:sz w:val="24"/>
          <w:szCs w:val="24"/>
        </w:rPr>
        <w:t xml:space="preserve">4.3 Dashboard Display Requirements</w:t>
      </w:r>
    </w:p>
    <w:p>
      <w:pPr>
        <w:pStyle w:val="ListParagraph"/>
        <w:numPr>
          <w:ilvl w:val="0"/>
          <w:numId w:val="3"/>
        </w:numPr>
        <w:spacing w:after="60"/>
      </w:pPr>
      <w:r>
        <w:rPr>
          <w:sz w:val="21"/>
          <w:szCs w:val="21"/>
        </w:rPr>
        <w:t xml:space="preserve">Charts/graphs must first present results at the parent-parameter level (Appearance, Taste, Aroma, Colour).</w:t>
      </w:r>
    </w:p>
    <w:p>
      <w:pPr>
        <w:pStyle w:val="ListParagraph"/>
        <w:numPr>
          <w:ilvl w:val="0"/>
          <w:numId w:val="3"/>
        </w:numPr>
        <w:spacing w:after="60"/>
      </w:pPr>
      <w:r>
        <w:rPr>
          <w:sz w:val="21"/>
          <w:szCs w:val="21"/>
        </w:rPr>
        <w:t xml:space="preserve">Each parent parameter must be expandable/drillable to reveal its sub-parameters and their individual target-rating percentage scores.</w:t>
      </w:r>
    </w:p>
    <w:p>
      <w:pPr>
        <w:pStyle w:val="ListParagraph"/>
        <w:numPr>
          <w:ilvl w:val="0"/>
          <w:numId w:val="3"/>
        </w:numPr>
        <w:spacing w:after="60"/>
      </w:pPr>
      <w:r>
        <w:rPr>
          <w:sz w:val="21"/>
          <w:szCs w:val="21"/>
        </w:rPr>
        <w:t xml:space="preserve">Sub-parameter scores must use the same target-rating percentage methodology defined in Section 3.</w:t>
      </w:r>
    </w:p>
    <w:p>
      <w:pPr>
        <w:pStyle w:val="Heading1"/>
        <w:pBdr>
          <w:bottom w:val="single" w:color="7A1E2B" w:sz="8" w:space="4"/>
        </w:pBdr>
        <w:spacing w:after="160" w:before="320"/>
      </w:pPr>
      <w:r>
        <w:rPr>
          <w:b/>
          <w:bCs/>
          <w:color w:val="7A1E2B"/>
          <w:sz w:val="28"/>
          <w:szCs w:val="28"/>
        </w:rPr>
        <w:t xml:space="preserve">5. Ranking of Samples</w:t>
      </w:r>
    </w:p>
    <w:p>
      <w:pPr>
        <w:pStyle w:val="Heading2"/>
        <w:spacing w:after="120" w:before="260"/>
      </w:pPr>
      <w:r>
        <w:rPr>
          <w:b/>
          <w:bCs/>
          <w:color w:val="7A1E2B"/>
          <w:sz w:val="24"/>
          <w:szCs w:val="24"/>
        </w:rPr>
        <w:t xml:space="preserve">5.1 Requirement</w:t>
      </w:r>
    </w:p>
    <w:p>
      <w:pPr>
        <w:spacing w:after="120"/>
      </w:pPr>
      <w:r>
        <w:rPr>
          <w:sz w:val="21"/>
          <w:szCs w:val="21"/>
        </w:rPr>
        <w:t xml:space="preserve">The dashboard must generate a ranking of samples for each parent parameter (Appearance, Taste, Aroma, Colour).</w:t>
      </w:r>
    </w:p>
    <w:p>
      <w:pPr>
        <w:pStyle w:val="ListParagraph"/>
        <w:numPr>
          <w:ilvl w:val="0"/>
          <w:numId w:val="3"/>
        </w:numPr>
        <w:spacing w:after="60"/>
      </w:pPr>
      <w:r>
        <w:rPr>
          <w:sz w:val="21"/>
          <w:szCs w:val="21"/>
        </w:rPr>
        <w:t xml:space="preserve">Ranking must be calculated per parent parameter, not only overall.</w:t>
      </w:r>
    </w:p>
    <w:p>
      <w:pPr>
        <w:pStyle w:val="ListParagraph"/>
        <w:numPr>
          <w:ilvl w:val="0"/>
          <w:numId w:val="3"/>
        </w:numPr>
        <w:spacing w:after="60"/>
      </w:pPr>
      <w:r>
        <w:rPr>
          <w:sz w:val="21"/>
          <w:szCs w:val="21"/>
        </w:rPr>
        <w:t xml:space="preserve">Ranking must be based strictly on the percentage of panelists who gave a "Target" (3) rating — never on the average score.</w:t>
      </w:r>
    </w:p>
    <w:p>
      <w:pPr>
        <w:pStyle w:val="ListParagraph"/>
        <w:numPr>
          <w:ilvl w:val="0"/>
          <w:numId w:val="3"/>
        </w:numPr>
        <w:spacing w:after="60"/>
      </w:pPr>
      <w:r>
        <w:rPr>
          <w:sz w:val="21"/>
          <w:szCs w:val="21"/>
        </w:rPr>
        <w:t xml:space="preserve">Where a parent parameter has multiple sub-parameters, the parent-level ranking figure should be derived consistently (e.g., average of sub-parameter target percentages, or an equivalent method) — to be confirmed with QA before build, but must remain percentage-of-target-based throughout, with no averaging of raw 1–5 scores at any stage.</w:t>
      </w:r>
    </w:p>
    <w:p>
      <w:pPr>
        <w:pStyle w:val="ListParagraph"/>
        <w:numPr>
          <w:ilvl w:val="0"/>
          <w:numId w:val="3"/>
        </w:numPr>
        <w:spacing w:after="60"/>
      </w:pPr>
      <w:r>
        <w:rPr>
          <w:sz w:val="21"/>
          <w:szCs w:val="21"/>
        </w:rPr>
        <w:t xml:space="preserve">Ties should follow the same tie-break logic already used in existing target-count ranking reports (e.g., count of near-target 2s and 4s) unless otherwise specified.</w:t>
      </w:r>
    </w:p>
    <w:p>
      <w:pPr>
        <w:pStyle w:val="Heading1"/>
        <w:pBdr>
          <w:bottom w:val="single" w:color="7A1E2B" w:sz="8" w:space="4"/>
        </w:pBdr>
        <w:spacing w:after="160" w:before="320"/>
      </w:pPr>
      <w:r>
        <w:rPr>
          <w:b/>
          <w:bCs/>
          <w:color w:val="7A1E2B"/>
          <w:sz w:val="28"/>
          <w:szCs w:val="28"/>
        </w:rPr>
        <w:t xml:space="preserve">6. Detailed Panelist-Level Data Access</w:t>
      </w:r>
    </w:p>
    <w:p>
      <w:pPr>
        <w:pStyle w:val="Heading2"/>
        <w:spacing w:after="120" w:before="260"/>
      </w:pPr>
      <w:r>
        <w:rPr>
          <w:b/>
          <w:bCs/>
          <w:color w:val="7A1E2B"/>
          <w:sz w:val="24"/>
          <w:szCs w:val="24"/>
        </w:rPr>
        <w:t xml:space="preserve">6.1 Requirement</w:t>
      </w:r>
    </w:p>
    <w:p>
      <w:pPr>
        <w:spacing w:after="120"/>
      </w:pPr>
      <w:r>
        <w:rPr>
          <w:sz w:val="21"/>
          <w:szCs w:val="21"/>
        </w:rPr>
        <w:t xml:space="preserve">The dashboard must provide access to a detailed spreadsheet view containing raw, panelist-level data, in addition to the summary dashboard.</w:t>
      </w:r>
    </w:p>
    <w:p>
      <w:pPr>
        <w:pStyle w:val="ListParagraph"/>
        <w:numPr>
          <w:ilvl w:val="0"/>
          <w:numId w:val="2"/>
        </w:numPr>
        <w:spacing w:after="60"/>
      </w:pPr>
      <w:r>
        <w:rPr>
          <w:sz w:val="21"/>
          <w:szCs w:val="21"/>
        </w:rPr>
        <w:t xml:space="preserve">One row per panelist.</w:t>
      </w:r>
    </w:p>
    <w:p>
      <w:pPr>
        <w:pStyle w:val="ListParagraph"/>
        <w:numPr>
          <w:ilvl w:val="0"/>
          <w:numId w:val="2"/>
        </w:numPr>
        <w:spacing w:after="60"/>
      </w:pPr>
      <w:r>
        <w:rPr>
          <w:sz w:val="21"/>
          <w:szCs w:val="21"/>
        </w:rPr>
        <w:t xml:space="preserve">Columns for each parameter (or sub-parameter) showing that panelist's individual rating (1–5).</w:t>
      </w:r>
    </w:p>
    <w:p>
      <w:pPr>
        <w:pStyle w:val="ListParagraph"/>
        <w:numPr>
          <w:ilvl w:val="0"/>
          <w:numId w:val="2"/>
        </w:numPr>
        <w:spacing w:after="60"/>
      </w:pPr>
      <w:r>
        <w:rPr>
          <w:sz w:val="21"/>
          <w:szCs w:val="21"/>
        </w:rPr>
        <w:t xml:space="preserve">Panelist name/identifier must be included in this detailed view.</w:t>
      </w:r>
    </w:p>
    <w:p>
      <w:pPr>
        <w:pStyle w:val="ListParagraph"/>
        <w:numPr>
          <w:ilvl w:val="0"/>
          <w:numId w:val="2"/>
        </w:numPr>
        <w:spacing w:after="60"/>
      </w:pPr>
      <w:r>
        <w:rPr>
          <w:sz w:val="21"/>
          <w:szCs w:val="21"/>
        </w:rPr>
        <w:t xml:space="preserve">This detailed spreadsheet should be accessible/downloadable directly from the dashboard (e.g., an "Export" or "View Detailed Data" option).</w:t>
      </w:r>
    </w:p>
    <w:p>
      <w:pPr>
        <w:spacing w:after="120"/>
      </w:pPr>
      <w:r>
        <w:rPr>
          <w:sz w:val="21"/>
          <w:szCs w:val="21"/>
        </w:rPr>
        <w:t xml:space="preserve">Note: this detailed, exportable view is separate from any summary report — summary reports continue to follow the existing standing instruction of omitting panelist counts; the detailed spreadsheet is an internal data-access feature, not a distributed report.</w:t>
      </w:r>
    </w:p>
    <w:p>
      <w:pPr>
        <w:pStyle w:val="Heading1"/>
        <w:pBdr>
          <w:bottom w:val="single" w:color="7A1E2B" w:sz="8" w:space="4"/>
        </w:pBdr>
        <w:spacing w:after="160" w:before="320"/>
      </w:pPr>
      <w:r>
        <w:rPr>
          <w:b/>
          <w:bCs/>
          <w:color w:val="7A1E2B"/>
          <w:sz w:val="28"/>
          <w:szCs w:val="28"/>
        </w:rPr>
        <w:t xml:space="preserve">7. Conclusion and Verdict</w:t>
      </w:r>
    </w:p>
    <w:p>
      <w:pPr>
        <w:pStyle w:val="Heading2"/>
        <w:spacing w:after="120" w:before="260"/>
      </w:pPr>
      <w:r>
        <w:rPr>
          <w:b/>
          <w:bCs/>
          <w:color w:val="7A1E2B"/>
          <w:sz w:val="24"/>
          <w:szCs w:val="24"/>
        </w:rPr>
        <w:t xml:space="preserve">7.1 Requirement</w:t>
      </w:r>
    </w:p>
    <w:p>
      <w:pPr>
        <w:spacing w:after="120"/>
      </w:pPr>
      <w:r>
        <w:rPr>
          <w:sz w:val="21"/>
          <w:szCs w:val="21"/>
        </w:rPr>
        <w:t xml:space="preserve">The dashboard must generate a conclusion and verdict section for each sensory evaluation session.</w:t>
      </w:r>
    </w:p>
    <w:p>
      <w:pPr>
        <w:pStyle w:val="ListParagraph"/>
        <w:numPr>
          <w:ilvl w:val="0"/>
          <w:numId w:val="2"/>
        </w:numPr>
        <w:spacing w:after="60"/>
      </w:pPr>
      <w:r>
        <w:rPr>
          <w:sz w:val="21"/>
          <w:szCs w:val="21"/>
        </w:rPr>
        <w:t xml:space="preserve">A descriptive, parameter-wise verdict (e.g., which sample performed best on each parent parameter, based on target-rating percentage).</w:t>
      </w:r>
    </w:p>
    <w:p>
      <w:pPr>
        <w:pStyle w:val="ListParagraph"/>
        <w:numPr>
          <w:ilvl w:val="0"/>
          <w:numId w:val="2"/>
        </w:numPr>
        <w:spacing w:after="60"/>
      </w:pPr>
      <w:r>
        <w:rPr>
          <w:sz w:val="21"/>
          <w:szCs w:val="21"/>
        </w:rPr>
        <w:t xml:space="preserve">An overall conclusion summarizing the best-performing sample(s) and any parameters of concern (low target-rating percentage).</w:t>
      </w:r>
    </w:p>
    <w:p>
      <w:pPr>
        <w:pStyle w:val="ListParagraph"/>
        <w:numPr>
          <w:ilvl w:val="0"/>
          <w:numId w:val="2"/>
        </w:numPr>
        <w:spacing w:after="60"/>
      </w:pPr>
      <w:r>
        <w:rPr>
          <w:sz w:val="21"/>
          <w:szCs w:val="21"/>
        </w:rPr>
        <w:t xml:space="preserve">Verdict language should follow the same descriptive style already used in existing competitive sensory reports (i.e., descriptive commentary based on where ratings cluster, not just raw numbers).</w:t>
      </w:r>
    </w:p>
    <w:p>
      <w:pPr>
        <w:pStyle w:val="Heading1"/>
        <w:pBdr>
          <w:bottom w:val="single" w:color="7A1E2B" w:sz="8" w:space="4"/>
        </w:pBdr>
        <w:spacing w:after="160" w:before="320"/>
      </w:pPr>
      <w:r>
        <w:rPr>
          <w:b/>
          <w:bCs/>
          <w:color w:val="7A1E2B"/>
          <w:sz w:val="28"/>
          <w:szCs w:val="28"/>
        </w:rPr>
        <w:t xml:space="preserve">8. Summary of Required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7A1E2B" w:color="auto" w:val="clear"/>
            <w:tcMar>
              <w:top w:type="dxa" w:w="80"/>
              <w:left w:type="dxa" w:w="100"/>
              <w:bottom w:type="dxa" w:w="80"/>
              <w:right w:type="dxa" w:w="100"/>
            </w:tcMar>
          </w:tcPr>
          <w:p>
            <w:r>
              <w:rPr>
                <w:b/>
                <w:bCs/>
                <w:color w:val="FFFFFF"/>
                <w:sz w:val="19"/>
                <w:szCs w:val="19"/>
              </w:rPr>
              <w:t xml:space="preserve">Area</w:t>
            </w:r>
          </w:p>
        </w:tc>
        <w:tc>
          <w:tcPr>
            <w:tcW w:type="dxa" w:w="3280"/>
            <w:shd w:fill="7A1E2B" w:color="auto" w:val="clear"/>
            <w:tcMar>
              <w:top w:type="dxa" w:w="80"/>
              <w:left w:type="dxa" w:w="100"/>
              <w:bottom w:type="dxa" w:w="80"/>
              <w:right w:type="dxa" w:w="100"/>
            </w:tcMar>
          </w:tcPr>
          <w:p>
            <w:r>
              <w:rPr>
                <w:b/>
                <w:bCs/>
                <w:color w:val="FFFFFF"/>
                <w:sz w:val="19"/>
                <w:szCs w:val="19"/>
              </w:rPr>
              <w:t xml:space="preserve">Current State</w:t>
            </w:r>
          </w:p>
        </w:tc>
        <w:tc>
          <w:tcPr>
            <w:tcW w:type="dxa" w:w="3280"/>
            <w:shd w:fill="7A1E2B" w:color="auto" w:val="clear"/>
            <w:tcMar>
              <w:top w:type="dxa" w:w="80"/>
              <w:left w:type="dxa" w:w="100"/>
              <w:bottom w:type="dxa" w:w="80"/>
              <w:right w:type="dxa" w:w="100"/>
            </w:tcMar>
          </w:tcPr>
          <w:p>
            <w:r>
              <w:rPr>
                <w:b/>
                <w:bCs/>
                <w:color w:val="FFFFFF"/>
                <w:sz w:val="19"/>
                <w:szCs w:val="19"/>
              </w:rPr>
              <w:t xml:space="preserve">Required State</w:t>
            </w:r>
          </w:p>
        </w:tc>
      </w:tr>
      <w:tr>
        <w:tc>
          <w:tcPr>
            <w:tcW w:type="dxa" w:w="2800"/>
            <w:shd w:fill="F4E9E2" w:color="auto" w:val="clear"/>
            <w:tcMar>
              <w:top w:type="dxa" w:w="80"/>
              <w:left w:type="dxa" w:w="100"/>
              <w:bottom w:type="dxa" w:w="80"/>
              <w:right w:type="dxa" w:w="100"/>
            </w:tcMar>
          </w:tcPr>
          <w:p>
            <w:r>
              <w:rPr>
                <w:b w:val="false"/>
                <w:bCs w:val="false"/>
                <w:color w:val="000000"/>
                <w:sz w:val="19"/>
                <w:szCs w:val="19"/>
              </w:rPr>
              <w:t xml:space="preserve">Scoring basis</w:t>
            </w:r>
          </w:p>
        </w:tc>
        <w:tc>
          <w:tcPr>
            <w:tcW w:type="dxa" w:w="3280"/>
            <w:tcMar>
              <w:top w:type="dxa" w:w="80"/>
              <w:left w:type="dxa" w:w="100"/>
              <w:bottom w:type="dxa" w:w="80"/>
              <w:right w:type="dxa" w:w="100"/>
            </w:tcMar>
          </w:tcPr>
          <w:p>
            <w:r>
              <w:rPr>
                <w:b w:val="false"/>
                <w:bCs w:val="false"/>
                <w:color w:val="000000"/>
                <w:sz w:val="19"/>
                <w:szCs w:val="19"/>
              </w:rPr>
              <w:t xml:space="preserve">Average of panelist ratings</w:t>
            </w:r>
          </w:p>
        </w:tc>
        <w:tc>
          <w:tcPr>
            <w:tcW w:type="dxa" w:w="3280"/>
            <w:tcMar>
              <w:top w:type="dxa" w:w="80"/>
              <w:left w:type="dxa" w:w="100"/>
              <w:bottom w:type="dxa" w:w="80"/>
              <w:right w:type="dxa" w:w="100"/>
            </w:tcMar>
          </w:tcPr>
          <w:p>
            <w:r>
              <w:rPr>
                <w:b w:val="false"/>
                <w:bCs w:val="false"/>
                <w:color w:val="000000"/>
                <w:sz w:val="19"/>
                <w:szCs w:val="19"/>
              </w:rPr>
              <w:t xml:space="preserve">% of panelists rating "3 – Target"</w:t>
            </w:r>
          </w:p>
        </w:tc>
      </w:tr>
      <w:tr>
        <w:tc>
          <w:tcPr>
            <w:tcW w:type="dxa" w:w="2800"/>
            <w:shd w:fill="F4E9E2" w:color="auto" w:val="clear"/>
            <w:tcMar>
              <w:top w:type="dxa" w:w="80"/>
              <w:left w:type="dxa" w:w="100"/>
              <w:bottom w:type="dxa" w:w="80"/>
              <w:right w:type="dxa" w:w="100"/>
            </w:tcMar>
          </w:tcPr>
          <w:p>
            <w:r>
              <w:rPr>
                <w:b w:val="false"/>
                <w:bCs w:val="false"/>
                <w:color w:val="000000"/>
                <w:sz w:val="19"/>
                <w:szCs w:val="19"/>
              </w:rPr>
              <w:t xml:space="preserve">Parameter structure</w:t>
            </w:r>
          </w:p>
        </w:tc>
        <w:tc>
          <w:tcPr>
            <w:tcW w:type="dxa" w:w="3280"/>
            <w:tcMar>
              <w:top w:type="dxa" w:w="80"/>
              <w:left w:type="dxa" w:w="100"/>
              <w:bottom w:type="dxa" w:w="80"/>
              <w:right w:type="dxa" w:w="100"/>
            </w:tcMar>
          </w:tcPr>
          <w:p>
            <w:r>
              <w:rPr>
                <w:b w:val="false"/>
                <w:bCs w:val="false"/>
                <w:color w:val="000000"/>
                <w:sz w:val="19"/>
                <w:szCs w:val="19"/>
              </w:rPr>
              <w:t xml:space="preserve">Flat list of individual parameters</w:t>
            </w:r>
          </w:p>
        </w:tc>
        <w:tc>
          <w:tcPr>
            <w:tcW w:type="dxa" w:w="3280"/>
            <w:tcMar>
              <w:top w:type="dxa" w:w="80"/>
              <w:left w:type="dxa" w:w="100"/>
              <w:bottom w:type="dxa" w:w="80"/>
              <w:right w:type="dxa" w:w="100"/>
            </w:tcMar>
          </w:tcPr>
          <w:p>
            <w:r>
              <w:rPr>
                <w:b w:val="false"/>
                <w:bCs w:val="false"/>
                <w:color w:val="000000"/>
                <w:sz w:val="19"/>
                <w:szCs w:val="19"/>
              </w:rPr>
              <w:t xml:space="preserve">Parent parameters (Appearance, Taste, Aroma, Colour) with sub-parameters nested beneath</w:t>
            </w:r>
          </w:p>
        </w:tc>
      </w:tr>
      <w:tr>
        <w:tc>
          <w:tcPr>
            <w:tcW w:type="dxa" w:w="2800"/>
            <w:shd w:fill="F4E9E2" w:color="auto" w:val="clear"/>
            <w:tcMar>
              <w:top w:type="dxa" w:w="80"/>
              <w:left w:type="dxa" w:w="100"/>
              <w:bottom w:type="dxa" w:w="80"/>
              <w:right w:type="dxa" w:w="100"/>
            </w:tcMar>
          </w:tcPr>
          <w:p>
            <w:r>
              <w:rPr>
                <w:b w:val="false"/>
                <w:bCs w:val="false"/>
                <w:color w:val="000000"/>
                <w:sz w:val="19"/>
                <w:szCs w:val="19"/>
              </w:rPr>
              <w:t xml:space="preserve">Ranking</w:t>
            </w:r>
          </w:p>
        </w:tc>
        <w:tc>
          <w:tcPr>
            <w:tcW w:type="dxa" w:w="3280"/>
            <w:tcMar>
              <w:top w:type="dxa" w:w="80"/>
              <w:left w:type="dxa" w:w="100"/>
              <w:bottom w:type="dxa" w:w="80"/>
              <w:right w:type="dxa" w:w="100"/>
            </w:tcMar>
          </w:tcPr>
          <w:p>
            <w:r>
              <w:rPr>
                <w:b w:val="false"/>
                <w:bCs w:val="false"/>
                <w:color w:val="000000"/>
                <w:sz w:val="19"/>
                <w:szCs w:val="19"/>
              </w:rPr>
              <w:t xml:space="preserve">Not structured by parent parameter</w:t>
            </w:r>
          </w:p>
        </w:tc>
        <w:tc>
          <w:tcPr>
            <w:tcW w:type="dxa" w:w="3280"/>
            <w:tcMar>
              <w:top w:type="dxa" w:w="80"/>
              <w:left w:type="dxa" w:w="100"/>
              <w:bottom w:type="dxa" w:w="80"/>
              <w:right w:type="dxa" w:w="100"/>
            </w:tcMar>
          </w:tcPr>
          <w:p>
            <w:r>
              <w:rPr>
                <w:b w:val="false"/>
                <w:bCs w:val="false"/>
                <w:color w:val="000000"/>
                <w:sz w:val="19"/>
                <w:szCs w:val="19"/>
              </w:rPr>
              <w:t xml:space="preserve">Sample ranking generated per parent parameter, based on target-rating %</w:t>
            </w:r>
          </w:p>
        </w:tc>
      </w:tr>
      <w:tr>
        <w:tc>
          <w:tcPr>
            <w:tcW w:type="dxa" w:w="2800"/>
            <w:shd w:fill="F4E9E2" w:color="auto" w:val="clear"/>
            <w:tcMar>
              <w:top w:type="dxa" w:w="80"/>
              <w:left w:type="dxa" w:w="100"/>
              <w:bottom w:type="dxa" w:w="80"/>
              <w:right w:type="dxa" w:w="100"/>
            </w:tcMar>
          </w:tcPr>
          <w:p>
            <w:r>
              <w:rPr>
                <w:b w:val="false"/>
                <w:bCs w:val="false"/>
                <w:color w:val="000000"/>
                <w:sz w:val="19"/>
                <w:szCs w:val="19"/>
              </w:rPr>
              <w:t xml:space="preserve">Detailed data</w:t>
            </w:r>
          </w:p>
        </w:tc>
        <w:tc>
          <w:tcPr>
            <w:tcW w:type="dxa" w:w="3280"/>
            <w:tcMar>
              <w:top w:type="dxa" w:w="80"/>
              <w:left w:type="dxa" w:w="100"/>
              <w:bottom w:type="dxa" w:w="80"/>
              <w:right w:type="dxa" w:w="100"/>
            </w:tcMar>
          </w:tcPr>
          <w:p>
            <w:r>
              <w:rPr>
                <w:b w:val="false"/>
                <w:bCs w:val="false"/>
                <w:color w:val="000000"/>
                <w:sz w:val="19"/>
                <w:szCs w:val="19"/>
              </w:rPr>
              <w:t xml:space="preserve">Not directly accessible from dashboard</w:t>
            </w:r>
          </w:p>
        </w:tc>
        <w:tc>
          <w:tcPr>
            <w:tcW w:type="dxa" w:w="3280"/>
            <w:tcMar>
              <w:top w:type="dxa" w:w="80"/>
              <w:left w:type="dxa" w:w="100"/>
              <w:bottom w:type="dxa" w:w="80"/>
              <w:right w:type="dxa" w:w="100"/>
            </w:tcMar>
          </w:tcPr>
          <w:p>
            <w:r>
              <w:rPr>
                <w:b w:val="false"/>
                <w:bCs w:val="false"/>
                <w:color w:val="000000"/>
                <w:sz w:val="19"/>
                <w:szCs w:val="19"/>
              </w:rPr>
              <w:t xml:space="preserve">Exportable spreadsheet: panelist name × parameter score</w:t>
            </w:r>
          </w:p>
        </w:tc>
      </w:tr>
      <w:tr>
        <w:tc>
          <w:tcPr>
            <w:tcW w:type="dxa" w:w="2800"/>
            <w:shd w:fill="F4E9E2" w:color="auto" w:val="clear"/>
            <w:tcMar>
              <w:top w:type="dxa" w:w="80"/>
              <w:left w:type="dxa" w:w="100"/>
              <w:bottom w:type="dxa" w:w="80"/>
              <w:right w:type="dxa" w:w="100"/>
            </w:tcMar>
          </w:tcPr>
          <w:p>
            <w:r>
              <w:rPr>
                <w:b w:val="false"/>
                <w:bCs w:val="false"/>
                <w:color w:val="000000"/>
                <w:sz w:val="19"/>
                <w:szCs w:val="19"/>
              </w:rPr>
              <w:t xml:space="preserve">Conclusion</w:t>
            </w:r>
          </w:p>
        </w:tc>
        <w:tc>
          <w:tcPr>
            <w:tcW w:type="dxa" w:w="3280"/>
            <w:tcMar>
              <w:top w:type="dxa" w:w="80"/>
              <w:left w:type="dxa" w:w="100"/>
              <w:bottom w:type="dxa" w:w="80"/>
              <w:right w:type="dxa" w:w="100"/>
            </w:tcMar>
          </w:tcPr>
          <w:p>
            <w:r>
              <w:rPr>
                <w:b w:val="false"/>
                <w:bCs w:val="false"/>
                <w:color w:val="000000"/>
                <w:sz w:val="19"/>
                <w:szCs w:val="19"/>
              </w:rPr>
              <w:t xml:space="preserve">Not generated</w:t>
            </w:r>
          </w:p>
        </w:tc>
        <w:tc>
          <w:tcPr>
            <w:tcW w:type="dxa" w:w="3280"/>
            <w:tcMar>
              <w:top w:type="dxa" w:w="80"/>
              <w:left w:type="dxa" w:w="100"/>
              <w:bottom w:type="dxa" w:w="80"/>
              <w:right w:type="dxa" w:w="100"/>
            </w:tcMar>
          </w:tcPr>
          <w:p>
            <w:r>
              <w:rPr>
                <w:b w:val="false"/>
                <w:bCs w:val="false"/>
                <w:color w:val="000000"/>
                <w:sz w:val="19"/>
                <w:szCs w:val="19"/>
              </w:rPr>
              <w:t xml:space="preserve">Auto-generated conclusion and verdict, parameter-wise and overall</w:t>
            </w:r>
          </w:p>
        </w:tc>
      </w:tr>
      <w:tr>
        <w:tc>
          <w:tcPr>
            <w:tcW w:type="dxa" w:w="2800"/>
            <w:shd w:fill="F4E9E2" w:color="auto" w:val="clear"/>
            <w:tcMar>
              <w:top w:type="dxa" w:w="80"/>
              <w:left w:type="dxa" w:w="100"/>
              <w:bottom w:type="dxa" w:w="80"/>
              <w:right w:type="dxa" w:w="100"/>
            </w:tcMar>
          </w:tcPr>
          <w:p>
            <w:r>
              <w:rPr>
                <w:b w:val="false"/>
                <w:bCs w:val="false"/>
                <w:color w:val="000000"/>
                <w:sz w:val="19"/>
                <w:szCs w:val="19"/>
              </w:rPr>
              <w:t xml:space="preserve">Input mechanism / GUI</w:t>
            </w:r>
          </w:p>
        </w:tc>
        <w:tc>
          <w:tcPr>
            <w:tcW w:type="dxa" w:w="3280"/>
            <w:tcMar>
              <w:top w:type="dxa" w:w="80"/>
              <w:left w:type="dxa" w:w="100"/>
              <w:bottom w:type="dxa" w:w="80"/>
              <w:right w:type="dxa" w:w="100"/>
            </w:tcMar>
          </w:tcPr>
          <w:p>
            <w:r>
              <w:rPr>
                <w:b w:val="false"/>
                <w:bCs w:val="false"/>
                <w:color w:val="000000"/>
                <w:sz w:val="19"/>
                <w:szCs w:val="19"/>
              </w:rPr>
              <w:t xml:space="preserve">Working as intended</w:t>
            </w:r>
          </w:p>
        </w:tc>
        <w:tc>
          <w:tcPr>
            <w:tcW w:type="dxa" w:w="3280"/>
            <w:tcMar>
              <w:top w:type="dxa" w:w="80"/>
              <w:left w:type="dxa" w:w="100"/>
              <w:bottom w:type="dxa" w:w="80"/>
              <w:right w:type="dxa" w:w="100"/>
            </w:tcMar>
          </w:tcPr>
          <w:p>
            <w:r>
              <w:rPr>
                <w:b w:val="false"/>
                <w:bCs w:val="false"/>
                <w:color w:val="000000"/>
                <w:sz w:val="19"/>
                <w:szCs w:val="19"/>
              </w:rPr>
              <w:t xml:space="preserve">No change required</w:t>
            </w:r>
          </w:p>
        </w:tc>
      </w:tr>
    </w:tbl>
    <w:p>
      <w:pPr>
        <w:spacing w:before="400"/>
      </w:pPr>
      <w:r>
        <w:rPr>
          <w:sz w:val="2"/>
          <w:szCs w:val="2"/>
        </w:rPr>
        <w:t xml:space="preserve"/>
      </w:r>
    </w:p>
    <w:p>
      <w:pPr>
        <w:spacing w:before="300"/>
      </w:pPr>
      <w:r>
        <w:rPr>
          <w:i/>
          <w:iCs/>
          <w:color w:val="555555"/>
          <w:sz w:val="18"/>
          <w:szCs w:val="18"/>
        </w:rPr>
        <w:t xml:space="preserve">Prepared by: Zeshan | Commercial Quality Assurance (CQA), DFCL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2026-09-23T05:44:44.429Z</dcterms:created>
  <dcterms:modified xsi:type="dcterms:W3CDTF">2026-09-23T05:44:44.439Z</dcterms:modified>
</cp:coreProperties>
</file>

<file path=docProps/custom.xml><?xml version="1.0" encoding="utf-8"?>
<Properties xmlns="http://schemas.openxmlformats.org/officeDocument/2006/custom-properties" xmlns:vt="http://schemas.openxmlformats.org/officeDocument/2006/docPropsVTypes"/>
</file>