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1450" w14:textId="347AB7B7" w:rsidR="008C3580" w:rsidRPr="008C3580" w:rsidRDefault="008C3580" w:rsidP="008C358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Developing a</w:t>
      </w:r>
      <w:r w:rsidRPr="008C3580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c</w:t>
      </w:r>
      <w:r w:rsidRPr="008C3580">
        <w:rPr>
          <w:rFonts w:ascii="Times New Roman" w:hAnsi="Times New Roman" w:cs="Times New Roman"/>
          <w:color w:val="000000" w:themeColor="text1"/>
        </w:rPr>
        <w:t>one-</w:t>
      </w:r>
      <w:r>
        <w:rPr>
          <w:rFonts w:ascii="Times New Roman" w:hAnsi="Times New Roman" w:cs="Times New Roman"/>
          <w:color w:val="000000" w:themeColor="text1"/>
        </w:rPr>
        <w:t>s</w:t>
      </w:r>
      <w:r w:rsidRPr="008C3580">
        <w:rPr>
          <w:rFonts w:ascii="Times New Roman" w:hAnsi="Times New Roman" w:cs="Times New Roman"/>
          <w:color w:val="000000" w:themeColor="text1"/>
        </w:rPr>
        <w:t xml:space="preserve">pecific </w:t>
      </w:r>
      <w:r>
        <w:rPr>
          <w:rFonts w:ascii="Times New Roman" w:hAnsi="Times New Roman" w:cs="Times New Roman"/>
          <w:color w:val="000000" w:themeColor="text1"/>
        </w:rPr>
        <w:t>p</w:t>
      </w:r>
      <w:r w:rsidRPr="008C3580">
        <w:rPr>
          <w:rFonts w:ascii="Times New Roman" w:hAnsi="Times New Roman" w:cs="Times New Roman"/>
          <w:color w:val="000000" w:themeColor="text1"/>
        </w:rPr>
        <w:t xml:space="preserve">romoter </w:t>
      </w:r>
      <w:r>
        <w:rPr>
          <w:rFonts w:ascii="Times New Roman" w:hAnsi="Times New Roman" w:cs="Times New Roman"/>
          <w:color w:val="000000" w:themeColor="text1"/>
        </w:rPr>
        <w:t>u</w:t>
      </w:r>
      <w:r w:rsidRPr="008C3580">
        <w:rPr>
          <w:rFonts w:ascii="Times New Roman" w:hAnsi="Times New Roman" w:cs="Times New Roman"/>
          <w:color w:val="000000" w:themeColor="text1"/>
        </w:rPr>
        <w:t xml:space="preserve">sing the </w:t>
      </w:r>
      <w:r w:rsidRPr="008C3580">
        <w:rPr>
          <w:rFonts w:ascii="Times New Roman" w:hAnsi="Times New Roman" w:cs="Times New Roman"/>
          <w:i/>
          <w:iCs/>
          <w:color w:val="000000" w:themeColor="text1"/>
        </w:rPr>
        <w:t>PDE6C</w:t>
      </w:r>
      <w:r w:rsidRPr="008C3580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g</w:t>
      </w:r>
      <w:r w:rsidRPr="008C3580">
        <w:rPr>
          <w:rFonts w:ascii="Times New Roman" w:hAnsi="Times New Roman" w:cs="Times New Roman"/>
          <w:color w:val="000000" w:themeColor="text1"/>
        </w:rPr>
        <w:t>ene</w:t>
      </w:r>
    </w:p>
    <w:p w14:paraId="4A25D1DD" w14:textId="77777777" w:rsidR="008C3580" w:rsidRDefault="008C3580" w:rsidP="008C3580"/>
    <w:p w14:paraId="1208F212" w14:textId="1B2AFF30" w:rsidR="008C3580" w:rsidRDefault="008C3580" w:rsidP="008C3580">
      <w:pPr>
        <w:rPr>
          <w:vertAlign w:val="superscript"/>
        </w:rPr>
      </w:pPr>
      <w:r w:rsidRPr="00FF2F99">
        <w:t>Alicia Brunet</w:t>
      </w:r>
      <w:r w:rsidRPr="00FF2F99">
        <w:rPr>
          <w:vertAlign w:val="superscript"/>
        </w:rPr>
        <w:t>1</w:t>
      </w:r>
      <w:r>
        <w:rPr>
          <w:vertAlign w:val="superscript"/>
        </w:rPr>
        <w:t>,2</w:t>
      </w:r>
      <w:r>
        <w:rPr>
          <w:vertAlign w:val="superscript"/>
        </w:rPr>
        <w:t>,3</w:t>
      </w:r>
      <w:r w:rsidRPr="00FF2F99">
        <w:t xml:space="preserve">, </w:t>
      </w:r>
      <w:proofErr w:type="spellStart"/>
      <w:r>
        <w:t>Chengjie</w:t>
      </w:r>
      <w:proofErr w:type="spellEnd"/>
      <w:r>
        <w:t xml:space="preserve"> Peng</w:t>
      </w:r>
      <w:r>
        <w:rPr>
          <w:vertAlign w:val="superscript"/>
        </w:rPr>
        <w:t>3</w:t>
      </w:r>
      <w:r>
        <w:t>,</w:t>
      </w:r>
      <w:r w:rsidRPr="00AA0962">
        <w:t xml:space="preserve"> </w:t>
      </w:r>
      <w:r w:rsidR="00025D20">
        <w:t>Annie Miller</w:t>
      </w:r>
      <w:r w:rsidR="00025D20">
        <w:rPr>
          <w:vertAlign w:val="superscript"/>
        </w:rPr>
        <w:t>1</w:t>
      </w:r>
      <w:r w:rsidR="00025D20">
        <w:t xml:space="preserve">, </w:t>
      </w:r>
      <w:r>
        <w:t>Paula Fuller-Carter</w:t>
      </w:r>
      <w:r w:rsidRPr="008C3580">
        <w:rPr>
          <w:vertAlign w:val="superscript"/>
        </w:rPr>
        <w:t>1</w:t>
      </w:r>
      <w:r>
        <w:t xml:space="preserve">, </w:t>
      </w:r>
      <w:r w:rsidRPr="00557D71">
        <w:t>Livia</w:t>
      </w:r>
      <w:r w:rsidRPr="00FF2F99">
        <w:t xml:space="preserve"> S Carvalho</w:t>
      </w:r>
      <w:r>
        <w:rPr>
          <w:vertAlign w:val="superscript"/>
        </w:rPr>
        <w:t>1,2</w:t>
      </w:r>
      <w:r>
        <w:rPr>
          <w:vertAlign w:val="superscript"/>
        </w:rPr>
        <w:t>,3</w:t>
      </w:r>
    </w:p>
    <w:p w14:paraId="7C3B4812" w14:textId="77777777" w:rsidR="008C3580" w:rsidRPr="00FF2F99" w:rsidRDefault="008C3580" w:rsidP="008C3580">
      <w:pPr>
        <w:spacing w:line="276" w:lineRule="auto"/>
      </w:pPr>
    </w:p>
    <w:p w14:paraId="4BBFF3FA" w14:textId="21726221" w:rsidR="008C3580" w:rsidRDefault="008C3580" w:rsidP="008C3580">
      <w:pPr>
        <w:spacing w:line="276" w:lineRule="auto"/>
      </w:pPr>
      <w:r>
        <w:rPr>
          <w:vertAlign w:val="superscript"/>
        </w:rPr>
        <w:t>1</w:t>
      </w:r>
      <w:r w:rsidRPr="00FF2F99">
        <w:t>Lions Eye Institute</w:t>
      </w:r>
      <w:r>
        <w:t xml:space="preserve"> Ltd.</w:t>
      </w:r>
      <w:r w:rsidRPr="00FF2F99">
        <w:t xml:space="preserve">, </w:t>
      </w:r>
      <w:r>
        <w:t xml:space="preserve">2 Verdun St, </w:t>
      </w:r>
      <w:r w:rsidRPr="00FF2F99">
        <w:t>Nedlands,</w:t>
      </w:r>
      <w:r>
        <w:t xml:space="preserve"> WA 6009</w:t>
      </w:r>
      <w:r w:rsidRPr="00FF2F99">
        <w:t>, Australia</w:t>
      </w:r>
    </w:p>
    <w:p w14:paraId="12E07CAF" w14:textId="640E944E" w:rsidR="008C3580" w:rsidRDefault="008C3580" w:rsidP="008C3580">
      <w:pPr>
        <w:spacing w:line="276" w:lineRule="auto"/>
      </w:pPr>
      <w:r>
        <w:rPr>
          <w:vertAlign w:val="superscript"/>
        </w:rPr>
        <w:t>2</w:t>
      </w:r>
      <w:r w:rsidRPr="00FF2F99">
        <w:t xml:space="preserve">Centre for Ophthalmology and Visual Sciences, The University of Western Australia, </w:t>
      </w:r>
      <w:r>
        <w:t>35 Stirling Hwy, Crawley</w:t>
      </w:r>
      <w:r w:rsidRPr="00FF2F99">
        <w:t>, W</w:t>
      </w:r>
      <w:r>
        <w:t>A 6009</w:t>
      </w:r>
      <w:r w:rsidRPr="00FF2F99">
        <w:t>, Australia</w:t>
      </w:r>
    </w:p>
    <w:p w14:paraId="5677C2C9" w14:textId="00C7634B" w:rsidR="008C3580" w:rsidRDefault="008C3580" w:rsidP="008C3580">
      <w:pPr>
        <w:spacing w:line="276" w:lineRule="auto"/>
        <w:rPr>
          <w:rStyle w:val="eop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  <w:vertAlign w:val="superscript"/>
        </w:rPr>
        <w:t>3</w:t>
      </w:r>
      <w:r>
        <w:rPr>
          <w:rStyle w:val="normaltextrun"/>
          <w:color w:val="000000"/>
          <w:shd w:val="clear" w:color="auto" w:fill="FFFFFF"/>
        </w:rPr>
        <w:t>Department of Optometry and Vision Sciences, University of Melbourne, Parkville 3052, Victoria, Australia</w:t>
      </w:r>
      <w:r>
        <w:rPr>
          <w:rStyle w:val="eop"/>
          <w:color w:val="000000"/>
          <w:shd w:val="clear" w:color="auto" w:fill="FFFFFF"/>
        </w:rPr>
        <w:t> </w:t>
      </w:r>
    </w:p>
    <w:p w14:paraId="62810C8A" w14:textId="77777777" w:rsidR="008C3580" w:rsidRDefault="008C3580" w:rsidP="008C3580">
      <w:pPr>
        <w:spacing w:line="276" w:lineRule="auto"/>
        <w:rPr>
          <w:rStyle w:val="eop"/>
          <w:color w:val="000000"/>
          <w:shd w:val="clear" w:color="auto" w:fill="FFFFFF"/>
        </w:rPr>
      </w:pPr>
    </w:p>
    <w:p w14:paraId="07107A27" w14:textId="68954443" w:rsidR="008C3580" w:rsidRDefault="00132275" w:rsidP="008C3580">
      <w:pPr>
        <w:spacing w:line="276" w:lineRule="auto"/>
        <w:rPr>
          <w:rStyle w:val="eop"/>
          <w:color w:val="000000"/>
          <w:shd w:val="clear" w:color="auto" w:fill="FFFFFF"/>
        </w:rPr>
      </w:pPr>
      <w:r w:rsidRPr="00132275">
        <w:rPr>
          <w:rStyle w:val="eop"/>
          <w:b/>
          <w:bCs/>
          <w:color w:val="000000"/>
          <w:shd w:val="clear" w:color="auto" w:fill="FFFFFF"/>
        </w:rPr>
        <w:t>Background:</w:t>
      </w:r>
      <w:r>
        <w:rPr>
          <w:rStyle w:val="eop"/>
          <w:color w:val="000000"/>
          <w:shd w:val="clear" w:color="auto" w:fill="FFFFFF"/>
        </w:rPr>
        <w:t xml:space="preserve"> Targeting cone photoreceptors for gene therapy </w:t>
      </w:r>
      <w:r w:rsidR="00A67B87">
        <w:rPr>
          <w:rStyle w:val="eop"/>
          <w:color w:val="000000"/>
          <w:shd w:val="clear" w:color="auto" w:fill="FFFFFF"/>
        </w:rPr>
        <w:t>requires</w:t>
      </w:r>
      <w:r>
        <w:rPr>
          <w:rStyle w:val="eop"/>
          <w:color w:val="000000"/>
          <w:shd w:val="clear" w:color="auto" w:fill="FFFFFF"/>
        </w:rPr>
        <w:t xml:space="preserve"> promoters </w:t>
      </w:r>
      <w:r w:rsidR="00A67B87">
        <w:rPr>
          <w:rStyle w:val="eop"/>
          <w:color w:val="000000"/>
          <w:shd w:val="clear" w:color="auto" w:fill="FFFFFF"/>
        </w:rPr>
        <w:t>that drive specific expression within the limited packaging capacity of adeno-associated viral (AAV) vectors.</w:t>
      </w:r>
      <w:r>
        <w:rPr>
          <w:rStyle w:val="eop"/>
          <w:color w:val="000000"/>
          <w:shd w:val="clear" w:color="auto" w:fill="FFFFFF"/>
        </w:rPr>
        <w:t xml:space="preserve"> However, commonly used cone-specific promoters such as the PR1.7 promoter are relatively large (~1700bp), </w:t>
      </w:r>
      <w:r w:rsidR="00023F83">
        <w:rPr>
          <w:rStyle w:val="eop"/>
          <w:color w:val="000000"/>
          <w:shd w:val="clear" w:color="auto" w:fill="FFFFFF"/>
        </w:rPr>
        <w:t xml:space="preserve">which </w:t>
      </w:r>
      <w:r w:rsidR="00A67B87">
        <w:rPr>
          <w:rStyle w:val="eop"/>
          <w:color w:val="000000"/>
          <w:shd w:val="clear" w:color="auto" w:fill="FFFFFF"/>
        </w:rPr>
        <w:t>can restrict vector design when combined with large therapeutic genes of interest</w:t>
      </w:r>
      <w:r>
        <w:rPr>
          <w:rStyle w:val="eop"/>
          <w:color w:val="000000"/>
          <w:shd w:val="clear" w:color="auto" w:fill="FFFFFF"/>
        </w:rPr>
        <w:t xml:space="preserve">. In this study, we designed and evaluated novel promoters derived from the human </w:t>
      </w:r>
      <w:r w:rsidRPr="00132275">
        <w:rPr>
          <w:rStyle w:val="eop"/>
          <w:i/>
          <w:iCs/>
          <w:color w:val="000000"/>
          <w:shd w:val="clear" w:color="auto" w:fill="FFFFFF"/>
        </w:rPr>
        <w:t xml:space="preserve">PDE6C </w:t>
      </w:r>
      <w:r>
        <w:rPr>
          <w:rStyle w:val="eop"/>
          <w:color w:val="000000"/>
          <w:shd w:val="clear" w:color="auto" w:fill="FFFFFF"/>
        </w:rPr>
        <w:t>gene to identify shorter sequences capable of driving cone-specific expression.</w:t>
      </w:r>
    </w:p>
    <w:p w14:paraId="4FCEE5F1" w14:textId="34017A7D" w:rsidR="00132275" w:rsidRPr="00132275" w:rsidRDefault="00132275" w:rsidP="008C3580">
      <w:pPr>
        <w:spacing w:line="276" w:lineRule="auto"/>
        <w:rPr>
          <w:rStyle w:val="eop"/>
          <w:b/>
          <w:bCs/>
          <w:color w:val="000000"/>
          <w:shd w:val="clear" w:color="auto" w:fill="FFFFFF"/>
        </w:rPr>
      </w:pPr>
      <w:r w:rsidRPr="00132275">
        <w:rPr>
          <w:rStyle w:val="eop"/>
          <w:b/>
          <w:bCs/>
          <w:color w:val="000000"/>
          <w:shd w:val="clear" w:color="auto" w:fill="FFFFFF"/>
        </w:rPr>
        <w:t>Methods:</w:t>
      </w:r>
      <w:r>
        <w:rPr>
          <w:rStyle w:val="eop"/>
          <w:b/>
          <w:bCs/>
          <w:color w:val="000000"/>
          <w:shd w:val="clear" w:color="auto" w:fill="FFFFFF"/>
        </w:rPr>
        <w:t xml:space="preserve"> </w:t>
      </w:r>
      <w:r w:rsidRPr="00132275">
        <w:rPr>
          <w:rStyle w:val="eop"/>
          <w:color w:val="000000"/>
          <w:shd w:val="clear" w:color="auto" w:fill="FFFFFF"/>
        </w:rPr>
        <w:t>Promoter</w:t>
      </w:r>
      <w:r>
        <w:rPr>
          <w:rStyle w:val="eop"/>
          <w:color w:val="000000"/>
          <w:shd w:val="clear" w:color="auto" w:fill="FFFFFF"/>
        </w:rPr>
        <w:t xml:space="preserve"> sizes of 400bp, 700bp, and 1500bp were packaged into AAV7m8 vectors with a</w:t>
      </w:r>
      <w:r w:rsidR="00FD7C4D">
        <w:rPr>
          <w:rStyle w:val="eop"/>
          <w:color w:val="000000"/>
          <w:shd w:val="clear" w:color="auto" w:fill="FFFFFF"/>
        </w:rPr>
        <w:t>n</w:t>
      </w:r>
      <w:r>
        <w:rPr>
          <w:rStyle w:val="eop"/>
          <w:color w:val="000000"/>
          <w:shd w:val="clear" w:color="auto" w:fill="FFFFFF"/>
        </w:rPr>
        <w:t xml:space="preserve"> </w:t>
      </w:r>
      <w:proofErr w:type="spellStart"/>
      <w:r>
        <w:rPr>
          <w:rStyle w:val="eop"/>
          <w:color w:val="000000"/>
          <w:shd w:val="clear" w:color="auto" w:fill="FFFFFF"/>
        </w:rPr>
        <w:t>mCherry</w:t>
      </w:r>
      <w:proofErr w:type="spellEnd"/>
      <w:r>
        <w:rPr>
          <w:rStyle w:val="eop"/>
          <w:color w:val="000000"/>
          <w:shd w:val="clear" w:color="auto" w:fill="FFFFFF"/>
        </w:rPr>
        <w:t xml:space="preserve"> reporter gene. </w:t>
      </w:r>
      <w:r w:rsidR="001F1651">
        <w:rPr>
          <w:rStyle w:val="eop"/>
          <w:color w:val="000000"/>
          <w:shd w:val="clear" w:color="auto" w:fill="FFFFFF"/>
        </w:rPr>
        <w:t>Constructs were administered to C57BL/6J mice</w:t>
      </w:r>
      <w:r w:rsidR="003459C7">
        <w:rPr>
          <w:rStyle w:val="eop"/>
          <w:color w:val="000000"/>
          <w:shd w:val="clear" w:color="auto" w:fill="FFFFFF"/>
        </w:rPr>
        <w:t xml:space="preserve"> </w:t>
      </w:r>
      <w:r w:rsidR="00FD7C4D">
        <w:rPr>
          <w:rStyle w:val="eop"/>
          <w:color w:val="000000"/>
          <w:shd w:val="clear" w:color="auto" w:fill="FFFFFF"/>
        </w:rPr>
        <w:t>and expression patterns were compared to established PR1.7 and ProA1 cone-specific promoters</w:t>
      </w:r>
      <w:r w:rsidR="00023F83">
        <w:rPr>
          <w:rStyle w:val="eop"/>
          <w:color w:val="000000"/>
          <w:shd w:val="clear" w:color="auto" w:fill="FFFFFF"/>
        </w:rPr>
        <w:t xml:space="preserve">. </w:t>
      </w:r>
      <w:r w:rsidR="001F1651">
        <w:rPr>
          <w:rStyle w:val="eop"/>
          <w:color w:val="000000"/>
          <w:shd w:val="clear" w:color="auto" w:fill="FFFFFF"/>
        </w:rPr>
        <w:t xml:space="preserve">Intravitreal injections were investigated as a less invasive approach for gene therapy, whilst subretinal injections were investigated as the gold-standard method for photoreceptor targeting. </w:t>
      </w:r>
    </w:p>
    <w:p w14:paraId="30B02257" w14:textId="679E8299" w:rsidR="00132275" w:rsidRPr="00025D20" w:rsidRDefault="00132275" w:rsidP="008C3580">
      <w:pPr>
        <w:spacing w:line="276" w:lineRule="auto"/>
        <w:rPr>
          <w:rStyle w:val="eop"/>
          <w:color w:val="000000"/>
          <w:shd w:val="clear" w:color="auto" w:fill="FFFFFF"/>
        </w:rPr>
      </w:pPr>
      <w:r w:rsidRPr="00132275">
        <w:rPr>
          <w:rStyle w:val="eop"/>
          <w:b/>
          <w:bCs/>
          <w:color w:val="000000"/>
          <w:shd w:val="clear" w:color="auto" w:fill="FFFFFF"/>
        </w:rPr>
        <w:t>Results:</w:t>
      </w:r>
      <w:r w:rsidR="003459C7">
        <w:rPr>
          <w:rStyle w:val="eop"/>
          <w:b/>
          <w:bCs/>
          <w:color w:val="000000"/>
          <w:shd w:val="clear" w:color="auto" w:fill="FFFFFF"/>
        </w:rPr>
        <w:t xml:space="preserve"> </w:t>
      </w:r>
      <w:r w:rsidR="00A67B87">
        <w:rPr>
          <w:rStyle w:val="eop"/>
          <w:color w:val="000000"/>
          <w:shd w:val="clear" w:color="auto" w:fill="FFFFFF"/>
        </w:rPr>
        <w:t>Following</w:t>
      </w:r>
      <w:r w:rsidR="00025D20">
        <w:rPr>
          <w:rStyle w:val="eop"/>
          <w:color w:val="000000"/>
          <w:shd w:val="clear" w:color="auto" w:fill="FFFFFF"/>
        </w:rPr>
        <w:t xml:space="preserve"> intravitreal</w:t>
      </w:r>
      <w:r w:rsidR="00A67B87">
        <w:rPr>
          <w:rStyle w:val="eop"/>
          <w:color w:val="000000"/>
          <w:shd w:val="clear" w:color="auto" w:fill="FFFFFF"/>
        </w:rPr>
        <w:t xml:space="preserve"> administration</w:t>
      </w:r>
      <w:r w:rsidR="00025D20">
        <w:rPr>
          <w:rStyle w:val="eop"/>
          <w:color w:val="000000"/>
          <w:shd w:val="clear" w:color="auto" w:fill="FFFFFF"/>
        </w:rPr>
        <w:t xml:space="preserve">, the PR1.7 promoter demonstrated the highest cone specificity, </w:t>
      </w:r>
      <w:r w:rsidR="00A67B87">
        <w:rPr>
          <w:rStyle w:val="eop"/>
          <w:color w:val="000000"/>
          <w:shd w:val="clear" w:color="auto" w:fill="FFFFFF"/>
        </w:rPr>
        <w:t xml:space="preserve">the </w:t>
      </w:r>
      <w:r w:rsidR="00A67B87" w:rsidRPr="00023F83">
        <w:rPr>
          <w:rStyle w:val="eop"/>
          <w:i/>
          <w:iCs/>
          <w:color w:val="000000"/>
          <w:shd w:val="clear" w:color="auto" w:fill="FFFFFF"/>
        </w:rPr>
        <w:t>PDE6C</w:t>
      </w:r>
      <w:r w:rsidR="00A67B87">
        <w:rPr>
          <w:rStyle w:val="eop"/>
          <w:color w:val="000000"/>
          <w:shd w:val="clear" w:color="auto" w:fill="FFFFFF"/>
        </w:rPr>
        <w:t xml:space="preserve"> promoters </w:t>
      </w:r>
      <w:r w:rsidR="00023F83">
        <w:rPr>
          <w:rStyle w:val="eop"/>
          <w:color w:val="000000"/>
          <w:shd w:val="clear" w:color="auto" w:fill="FFFFFF"/>
        </w:rPr>
        <w:t xml:space="preserve">transduce cones but also </w:t>
      </w:r>
      <w:r w:rsidR="00A67B87">
        <w:rPr>
          <w:rStyle w:val="eop"/>
          <w:color w:val="000000"/>
          <w:shd w:val="clear" w:color="auto" w:fill="FFFFFF"/>
        </w:rPr>
        <w:t xml:space="preserve">had some transduction of cells within the inner retina, </w:t>
      </w:r>
      <w:r w:rsidR="00025D20">
        <w:rPr>
          <w:rStyle w:val="eop"/>
          <w:color w:val="000000"/>
          <w:shd w:val="clear" w:color="auto" w:fill="FFFFFF"/>
        </w:rPr>
        <w:t>whereas the ProA1 exhibited the least specificity and had broad expression</w:t>
      </w:r>
      <w:r w:rsidR="00A67B87">
        <w:rPr>
          <w:rStyle w:val="eop"/>
          <w:color w:val="000000"/>
          <w:shd w:val="clear" w:color="auto" w:fill="FFFFFF"/>
        </w:rPr>
        <w:t xml:space="preserve"> across the retina</w:t>
      </w:r>
      <w:r w:rsidR="00025D20">
        <w:rPr>
          <w:rStyle w:val="eop"/>
          <w:color w:val="000000"/>
          <w:shd w:val="clear" w:color="auto" w:fill="FFFFFF"/>
        </w:rPr>
        <w:t xml:space="preserve">. The </w:t>
      </w:r>
      <w:r w:rsidR="00025D20" w:rsidRPr="00025D20">
        <w:rPr>
          <w:rStyle w:val="eop"/>
          <w:i/>
          <w:iCs/>
          <w:color w:val="000000"/>
          <w:shd w:val="clear" w:color="auto" w:fill="FFFFFF"/>
        </w:rPr>
        <w:t xml:space="preserve">PDE6C </w:t>
      </w:r>
      <w:r w:rsidR="00025D20">
        <w:rPr>
          <w:rStyle w:val="eop"/>
          <w:color w:val="000000"/>
          <w:shd w:val="clear" w:color="auto" w:fill="FFFFFF"/>
        </w:rPr>
        <w:t xml:space="preserve">promoters showed a size-dependent increase in </w:t>
      </w:r>
      <w:proofErr w:type="spellStart"/>
      <w:r w:rsidR="00025D20">
        <w:rPr>
          <w:rStyle w:val="eop"/>
          <w:color w:val="000000"/>
          <w:shd w:val="clear" w:color="auto" w:fill="FFFFFF"/>
        </w:rPr>
        <w:t>mCherry</w:t>
      </w:r>
      <w:proofErr w:type="spellEnd"/>
      <w:r w:rsidR="00025D20">
        <w:rPr>
          <w:rStyle w:val="eop"/>
          <w:color w:val="000000"/>
          <w:shd w:val="clear" w:color="auto" w:fill="FFFFFF"/>
        </w:rPr>
        <w:t xml:space="preserve"> RNA expression, with the 1500bp construct having a higher expression than the PR1.7 promoter</w:t>
      </w:r>
      <w:r w:rsidR="00A67B87">
        <w:rPr>
          <w:rStyle w:val="eop"/>
          <w:color w:val="000000"/>
          <w:shd w:val="clear" w:color="auto" w:fill="FFFFFF"/>
        </w:rPr>
        <w:t xml:space="preserve">. </w:t>
      </w:r>
      <w:r w:rsidR="00025D20">
        <w:rPr>
          <w:rStyle w:val="eop"/>
          <w:color w:val="000000"/>
          <w:shd w:val="clear" w:color="auto" w:fill="FFFFFF"/>
        </w:rPr>
        <w:t xml:space="preserve">When delivered </w:t>
      </w:r>
      <w:proofErr w:type="spellStart"/>
      <w:r w:rsidR="00025D20">
        <w:rPr>
          <w:rStyle w:val="eop"/>
          <w:color w:val="000000"/>
          <w:shd w:val="clear" w:color="auto" w:fill="FFFFFF"/>
        </w:rPr>
        <w:t>subretinally</w:t>
      </w:r>
      <w:proofErr w:type="spellEnd"/>
      <w:r w:rsidR="00025D20">
        <w:rPr>
          <w:rStyle w:val="eop"/>
          <w:color w:val="000000"/>
          <w:shd w:val="clear" w:color="auto" w:fill="FFFFFF"/>
        </w:rPr>
        <w:t xml:space="preserve">, all </w:t>
      </w:r>
      <w:r w:rsidR="00025D20" w:rsidRPr="00025D20">
        <w:rPr>
          <w:rStyle w:val="eop"/>
          <w:i/>
          <w:iCs/>
          <w:color w:val="000000"/>
          <w:shd w:val="clear" w:color="auto" w:fill="FFFFFF"/>
        </w:rPr>
        <w:t>PDE6C</w:t>
      </w:r>
      <w:r w:rsidR="00025D20">
        <w:rPr>
          <w:rStyle w:val="eop"/>
          <w:color w:val="000000"/>
          <w:shd w:val="clear" w:color="auto" w:fill="FFFFFF"/>
        </w:rPr>
        <w:t xml:space="preserve">-derived promoters </w:t>
      </w:r>
      <w:proofErr w:type="gramStart"/>
      <w:r w:rsidR="00025D20">
        <w:rPr>
          <w:rStyle w:val="eop"/>
          <w:color w:val="000000"/>
          <w:shd w:val="clear" w:color="auto" w:fill="FFFFFF"/>
        </w:rPr>
        <w:t>were capable of transducing</w:t>
      </w:r>
      <w:proofErr w:type="gramEnd"/>
      <w:r w:rsidR="00025D20">
        <w:rPr>
          <w:rStyle w:val="eop"/>
          <w:color w:val="000000"/>
          <w:shd w:val="clear" w:color="auto" w:fill="FFFFFF"/>
        </w:rPr>
        <w:t xml:space="preserve"> cone photoreceptors to a high efficiency. </w:t>
      </w:r>
    </w:p>
    <w:p w14:paraId="32873E26" w14:textId="20DEE750" w:rsidR="00132275" w:rsidRPr="00FD7C4D" w:rsidRDefault="00132275" w:rsidP="008C3580">
      <w:pPr>
        <w:spacing w:line="276" w:lineRule="auto"/>
      </w:pPr>
      <w:r w:rsidRPr="00132275">
        <w:rPr>
          <w:rStyle w:val="eop"/>
          <w:b/>
          <w:bCs/>
          <w:color w:val="000000"/>
          <w:shd w:val="clear" w:color="auto" w:fill="FFFFFF"/>
        </w:rPr>
        <w:t>Conclusions:</w:t>
      </w:r>
      <w:r w:rsidR="00FD7C4D">
        <w:rPr>
          <w:rStyle w:val="eop"/>
          <w:b/>
          <w:bCs/>
          <w:color w:val="000000"/>
          <w:shd w:val="clear" w:color="auto" w:fill="FFFFFF"/>
        </w:rPr>
        <w:t xml:space="preserve"> </w:t>
      </w:r>
      <w:r w:rsidR="00FD7C4D" w:rsidRPr="00FD7C4D">
        <w:rPr>
          <w:rStyle w:val="eop"/>
          <w:color w:val="000000"/>
          <w:shd w:val="clear" w:color="auto" w:fill="FFFFFF"/>
        </w:rPr>
        <w:t xml:space="preserve">These findings demonstrate that human </w:t>
      </w:r>
      <w:r w:rsidR="00FD7C4D" w:rsidRPr="00FD7C4D">
        <w:rPr>
          <w:rStyle w:val="eop"/>
          <w:i/>
          <w:iCs/>
          <w:color w:val="000000"/>
          <w:shd w:val="clear" w:color="auto" w:fill="FFFFFF"/>
        </w:rPr>
        <w:t>PDE6C</w:t>
      </w:r>
      <w:r w:rsidR="00FD7C4D" w:rsidRPr="00FD7C4D">
        <w:rPr>
          <w:rStyle w:val="eop"/>
          <w:color w:val="000000"/>
          <w:shd w:val="clear" w:color="auto" w:fill="FFFFFF"/>
        </w:rPr>
        <w:t xml:space="preserve">-derived promoter sequences can drive transgene expression in the mouse retina. </w:t>
      </w:r>
      <w:r w:rsidR="00F00AB6">
        <w:rPr>
          <w:rStyle w:val="eop"/>
          <w:color w:val="000000"/>
          <w:shd w:val="clear" w:color="auto" w:fill="FFFFFF"/>
        </w:rPr>
        <w:t>Although intravitreal delivery had lower specificity than the PR1.7 standard</w:t>
      </w:r>
      <w:r w:rsidR="00FD7C4D">
        <w:rPr>
          <w:rStyle w:val="eop"/>
          <w:color w:val="000000"/>
          <w:shd w:val="clear" w:color="auto" w:fill="FFFFFF"/>
        </w:rPr>
        <w:t xml:space="preserve">, all </w:t>
      </w:r>
      <w:r w:rsidR="00FD7C4D" w:rsidRPr="00FD7C4D">
        <w:rPr>
          <w:rStyle w:val="eop"/>
          <w:i/>
          <w:iCs/>
          <w:color w:val="000000"/>
          <w:shd w:val="clear" w:color="auto" w:fill="FFFFFF"/>
        </w:rPr>
        <w:t xml:space="preserve">PDE6C </w:t>
      </w:r>
      <w:r w:rsidR="00FD7C4D">
        <w:rPr>
          <w:rStyle w:val="eop"/>
          <w:color w:val="000000"/>
          <w:shd w:val="clear" w:color="auto" w:fill="FFFFFF"/>
        </w:rPr>
        <w:t>promoter sizes transduced cone photoreceptors</w:t>
      </w:r>
      <w:r w:rsidR="00F00AB6">
        <w:rPr>
          <w:rStyle w:val="eop"/>
          <w:color w:val="000000"/>
          <w:shd w:val="clear" w:color="auto" w:fill="FFFFFF"/>
        </w:rPr>
        <w:t xml:space="preserve"> efficiently when delivered </w:t>
      </w:r>
      <w:proofErr w:type="spellStart"/>
      <w:r w:rsidR="00F00AB6">
        <w:rPr>
          <w:rStyle w:val="eop"/>
          <w:color w:val="000000"/>
          <w:shd w:val="clear" w:color="auto" w:fill="FFFFFF"/>
        </w:rPr>
        <w:t>subretinally</w:t>
      </w:r>
      <w:proofErr w:type="spellEnd"/>
      <w:r w:rsidR="00F00AB6">
        <w:rPr>
          <w:rStyle w:val="eop"/>
          <w:color w:val="000000"/>
          <w:shd w:val="clear" w:color="auto" w:fill="FFFFFF"/>
        </w:rPr>
        <w:t xml:space="preserve">. </w:t>
      </w:r>
      <w:r w:rsidR="008C1D9F">
        <w:rPr>
          <w:rStyle w:val="eop"/>
          <w:color w:val="000000"/>
          <w:shd w:val="clear" w:color="auto" w:fill="FFFFFF"/>
        </w:rPr>
        <w:t>These novel promoters provide a</w:t>
      </w:r>
      <w:r w:rsidR="00FD7C4D">
        <w:rPr>
          <w:rStyle w:val="eop"/>
          <w:color w:val="000000"/>
          <w:shd w:val="clear" w:color="auto" w:fill="FFFFFF"/>
        </w:rPr>
        <w:t xml:space="preserve"> promising a</w:t>
      </w:r>
      <w:r w:rsidR="008C1D9F">
        <w:rPr>
          <w:rStyle w:val="eop"/>
          <w:color w:val="000000"/>
          <w:shd w:val="clear" w:color="auto" w:fill="FFFFFF"/>
        </w:rPr>
        <w:t>lternative</w:t>
      </w:r>
      <w:r w:rsidR="00FD7C4D">
        <w:rPr>
          <w:rStyle w:val="eop"/>
          <w:color w:val="000000"/>
          <w:shd w:val="clear" w:color="auto" w:fill="FFFFFF"/>
        </w:rPr>
        <w:t xml:space="preserve"> for AAV-based gene therapies where current established promoters may exceed packaging capacity limits </w:t>
      </w:r>
      <w:r w:rsidR="008C1D9F">
        <w:rPr>
          <w:rStyle w:val="eop"/>
          <w:color w:val="000000"/>
          <w:shd w:val="clear" w:color="auto" w:fill="FFFFFF"/>
        </w:rPr>
        <w:t>for large therapeutic genes.</w:t>
      </w:r>
      <w:r w:rsidR="00FD7C4D">
        <w:rPr>
          <w:rStyle w:val="eop"/>
          <w:color w:val="000000"/>
          <w:shd w:val="clear" w:color="auto" w:fill="FFFFFF"/>
        </w:rPr>
        <w:t xml:space="preserve"> </w:t>
      </w:r>
    </w:p>
    <w:p w14:paraId="7E9F20B4" w14:textId="77777777" w:rsidR="00862BE1" w:rsidRDefault="00862BE1"/>
    <w:sectPr w:rsidR="00862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80"/>
    <w:rsid w:val="00023F83"/>
    <w:rsid w:val="00025D20"/>
    <w:rsid w:val="00132275"/>
    <w:rsid w:val="001828AE"/>
    <w:rsid w:val="001F1651"/>
    <w:rsid w:val="0026179F"/>
    <w:rsid w:val="003459C7"/>
    <w:rsid w:val="00862BE1"/>
    <w:rsid w:val="008C1D9F"/>
    <w:rsid w:val="008C3580"/>
    <w:rsid w:val="00A67B87"/>
    <w:rsid w:val="00A9390E"/>
    <w:rsid w:val="00F00AB6"/>
    <w:rsid w:val="00FD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282979"/>
  <w15:chartTrackingRefBased/>
  <w15:docId w15:val="{2FF02072-0274-EC4A-BCB0-4C304566A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580"/>
    <w:pPr>
      <w:spacing w:after="120" w:line="360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3580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580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580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580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580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580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580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580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580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580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3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580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3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580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3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580"/>
    <w:pPr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3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580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8C3580"/>
  </w:style>
  <w:style w:type="character" w:customStyle="1" w:styleId="eop">
    <w:name w:val="eop"/>
    <w:basedOn w:val="DefaultParagraphFont"/>
    <w:rsid w:val="008C3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Brunet</dc:creator>
  <cp:keywords/>
  <dc:description/>
  <cp:lastModifiedBy>Alicia Brunet</cp:lastModifiedBy>
  <cp:revision>6</cp:revision>
  <dcterms:created xsi:type="dcterms:W3CDTF">2026-05-03T11:20:00Z</dcterms:created>
  <dcterms:modified xsi:type="dcterms:W3CDTF">2026-05-03T12:27:00Z</dcterms:modified>
</cp:coreProperties>
</file>