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1ECF" w14:textId="5FA6E294" w:rsidR="00AC2C1C" w:rsidRPr="002A321F" w:rsidRDefault="00AC2C1C" w:rsidP="002A321F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lang w:val="en-US"/>
        </w:rPr>
      </w:pPr>
      <w:r w:rsidRPr="002A321F">
        <w:rPr>
          <w:rFonts w:ascii="Arial" w:hAnsi="Arial" w:cs="Arial"/>
          <w:b/>
          <w:bCs/>
          <w:sz w:val="24"/>
          <w:szCs w:val="24"/>
          <w:lang w:val="en-US"/>
        </w:rPr>
        <w:t xml:space="preserve">Nicotinamide effect on </w:t>
      </w:r>
      <w:r w:rsidRPr="002A321F">
        <w:rPr>
          <w:rFonts w:ascii="Arial" w:eastAsia="Calibri" w:hAnsi="Arial" w:cs="Arial"/>
          <w:b/>
          <w:bCs/>
          <w:sz w:val="24"/>
          <w:szCs w:val="24"/>
          <w:lang w:val="en-US"/>
        </w:rPr>
        <w:t xml:space="preserve">the NAD+/NADH ratio in the diabetic rat retina </w:t>
      </w:r>
    </w:p>
    <w:p w14:paraId="5A5E60CF" w14:textId="0723F7BB" w:rsidR="00AC2C1C" w:rsidRPr="002A321F" w:rsidRDefault="002A321F" w:rsidP="002A321F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i/>
          <w:iCs/>
          <w:lang w:val="en-US"/>
        </w:rPr>
      </w:pPr>
      <w:r w:rsidRPr="002A321F">
        <w:rPr>
          <w:rFonts w:ascii="Arial" w:eastAsia="Calibri" w:hAnsi="Arial" w:cs="Arial"/>
          <w:i/>
          <w:iCs/>
          <w:lang w:val="en-US"/>
        </w:rPr>
        <w:t xml:space="preserve">Villeda-González JD*, </w:t>
      </w:r>
      <w:proofErr w:type="spellStart"/>
      <w:r w:rsidRPr="002A321F">
        <w:rPr>
          <w:rFonts w:ascii="Arial" w:eastAsia="Calibri" w:hAnsi="Arial" w:cs="Arial"/>
          <w:i/>
          <w:iCs/>
          <w:lang w:val="en-US"/>
        </w:rPr>
        <w:t>Canizalez</w:t>
      </w:r>
      <w:proofErr w:type="spellEnd"/>
      <w:r w:rsidRPr="002A321F">
        <w:rPr>
          <w:rFonts w:ascii="Arial" w:eastAsia="Calibri" w:hAnsi="Arial" w:cs="Arial"/>
          <w:i/>
          <w:iCs/>
          <w:lang w:val="en-US"/>
        </w:rPr>
        <w:t xml:space="preserve">-Ontiveros A, Sánchez-Chávez G, </w:t>
      </w:r>
      <w:proofErr w:type="spellStart"/>
      <w:r w:rsidRPr="002A321F">
        <w:rPr>
          <w:rFonts w:ascii="Arial" w:eastAsia="Calibri" w:hAnsi="Arial" w:cs="Arial"/>
          <w:i/>
          <w:iCs/>
          <w:lang w:val="en-US"/>
        </w:rPr>
        <w:t>Salceda</w:t>
      </w:r>
      <w:proofErr w:type="spellEnd"/>
      <w:r w:rsidRPr="002A321F">
        <w:rPr>
          <w:rFonts w:ascii="Arial" w:eastAsia="Calibri" w:hAnsi="Arial" w:cs="Arial"/>
          <w:i/>
          <w:iCs/>
          <w:lang w:val="en-US"/>
        </w:rPr>
        <w:t xml:space="preserve"> R.</w:t>
      </w:r>
    </w:p>
    <w:p w14:paraId="3F060950" w14:textId="77777777" w:rsidR="00AC2C1C" w:rsidRPr="002A321F" w:rsidRDefault="00AC2C1C" w:rsidP="002A321F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sz w:val="24"/>
          <w:szCs w:val="24"/>
          <w:lang w:val="en-US"/>
        </w:rPr>
      </w:pPr>
    </w:p>
    <w:p w14:paraId="397B2486" w14:textId="77777777" w:rsidR="00615CF1" w:rsidRDefault="00615CF1" w:rsidP="002A321F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sz w:val="24"/>
          <w:szCs w:val="24"/>
          <w:lang w:val="en-US"/>
        </w:rPr>
      </w:pPr>
      <w:r w:rsidRPr="00615CF1">
        <w:rPr>
          <w:rFonts w:ascii="Arial" w:eastAsia="Calibri" w:hAnsi="Arial" w:cs="Arial"/>
          <w:b/>
          <w:bCs/>
          <w:sz w:val="24"/>
          <w:szCs w:val="24"/>
          <w:lang w:val="en-US"/>
        </w:rPr>
        <w:t>Background:</w:t>
      </w:r>
      <w:r>
        <w:rPr>
          <w:rFonts w:ascii="Arial" w:eastAsia="Calibri" w:hAnsi="Arial" w:cs="Arial"/>
          <w:sz w:val="24"/>
          <w:szCs w:val="24"/>
          <w:lang w:val="en-US"/>
        </w:rPr>
        <w:t xml:space="preserve"> </w:t>
      </w:r>
      <w:r w:rsidR="005A3CB6" w:rsidRPr="002A321F">
        <w:rPr>
          <w:rFonts w:ascii="Arial" w:eastAsia="Calibri" w:hAnsi="Arial" w:cs="Arial"/>
          <w:sz w:val="24"/>
          <w:szCs w:val="24"/>
          <w:lang w:val="en-US"/>
        </w:rPr>
        <w:t xml:space="preserve">Diabetes mellitus </w:t>
      </w:r>
      <w:r w:rsidR="00AC2C1C" w:rsidRPr="002A321F">
        <w:rPr>
          <w:rFonts w:ascii="Arial" w:eastAsia="Calibri" w:hAnsi="Arial" w:cs="Arial"/>
          <w:sz w:val="24"/>
          <w:szCs w:val="24"/>
          <w:lang w:val="en-US"/>
        </w:rPr>
        <w:t>is a chronic</w:t>
      </w:r>
      <w:r w:rsidR="005A3CB6" w:rsidRPr="002A321F">
        <w:rPr>
          <w:rFonts w:ascii="Arial" w:eastAsia="Calibri" w:hAnsi="Arial" w:cs="Arial"/>
          <w:sz w:val="24"/>
          <w:szCs w:val="24"/>
          <w:lang w:val="en-US"/>
        </w:rPr>
        <w:t xml:space="preserve"> disease characterized by alterations in glucose metabolism that leads to complications in several organs, including the retina. Oxidative stress plays a key role in the progress of diabetic retinopathy and decrease in the NAD+/NADH ratio has been demonstrated in its pathogenesis. Therefore, NAD supplementation by nicotinamide (NAM) may be beneficial. </w:t>
      </w:r>
    </w:p>
    <w:p w14:paraId="21A59B38" w14:textId="1C7156B4" w:rsidR="005A3CB6" w:rsidRPr="002A321F" w:rsidRDefault="00615CF1" w:rsidP="002A321F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sz w:val="24"/>
          <w:szCs w:val="24"/>
          <w:lang w:val="en-US"/>
        </w:rPr>
      </w:pPr>
      <w:r w:rsidRPr="00615CF1">
        <w:rPr>
          <w:rFonts w:ascii="Arial" w:eastAsia="Calibri" w:hAnsi="Arial" w:cs="Arial"/>
          <w:b/>
          <w:bCs/>
          <w:sz w:val="24"/>
          <w:szCs w:val="24"/>
          <w:lang w:val="en-US"/>
        </w:rPr>
        <w:t>Methods:</w:t>
      </w:r>
      <w:r>
        <w:rPr>
          <w:rFonts w:ascii="Arial" w:eastAsia="Calibri" w:hAnsi="Arial" w:cs="Arial"/>
          <w:sz w:val="24"/>
          <w:szCs w:val="24"/>
          <w:lang w:val="en-US"/>
        </w:rPr>
        <w:t xml:space="preserve"> </w:t>
      </w:r>
      <w:r w:rsidR="005A3CB6" w:rsidRPr="002A321F">
        <w:rPr>
          <w:rFonts w:ascii="Arial" w:eastAsia="Calibri" w:hAnsi="Arial" w:cs="Arial"/>
          <w:sz w:val="24"/>
          <w:szCs w:val="24"/>
          <w:lang w:val="en-US"/>
        </w:rPr>
        <w:t>Four groups of Long-Evans rats were established: normal (control), normal supplemented with NAM, diabetic, and diabetic supplemented with nicotinamide (NAM)</w:t>
      </w:r>
      <w:r w:rsidR="00AC2C1C" w:rsidRPr="002A321F">
        <w:rPr>
          <w:rFonts w:ascii="Arial" w:eastAsia="Calibri" w:hAnsi="Arial" w:cs="Arial"/>
          <w:sz w:val="24"/>
          <w:szCs w:val="24"/>
          <w:lang w:val="en-US"/>
        </w:rPr>
        <w:t>.</w:t>
      </w:r>
      <w:r w:rsidR="005A3CB6" w:rsidRPr="002A321F">
        <w:rPr>
          <w:rFonts w:ascii="Arial" w:eastAsia="Calibri" w:hAnsi="Arial" w:cs="Arial"/>
          <w:sz w:val="24"/>
          <w:szCs w:val="24"/>
          <w:lang w:val="en-US"/>
        </w:rPr>
        <w:t xml:space="preserve"> Diabetes was induced by a single intraperitoneal administration of streptozotocin (STZ). One day after STZ administration, rats received water containing 10 mM NAM for 5 h daily </w:t>
      </w:r>
      <w:r w:rsidR="00AC2C1C" w:rsidRPr="002A321F">
        <w:rPr>
          <w:rFonts w:ascii="Arial" w:eastAsia="Calibri" w:hAnsi="Arial" w:cs="Arial"/>
          <w:sz w:val="24"/>
          <w:szCs w:val="24"/>
          <w:lang w:val="en-US"/>
        </w:rPr>
        <w:t>up to</w:t>
      </w:r>
      <w:r w:rsidR="005A3CB6" w:rsidRPr="002A321F">
        <w:rPr>
          <w:rFonts w:ascii="Arial" w:eastAsia="Calibri" w:hAnsi="Arial" w:cs="Arial"/>
          <w:sz w:val="24"/>
          <w:szCs w:val="24"/>
          <w:lang w:val="en-US"/>
        </w:rPr>
        <w:t xml:space="preserve"> 20 or 45 days.</w:t>
      </w:r>
    </w:p>
    <w:p w14:paraId="2571B527" w14:textId="5D509E0C" w:rsidR="006A6717" w:rsidRPr="002A321F" w:rsidRDefault="00615CF1" w:rsidP="002A321F">
      <w:pPr>
        <w:spacing w:line="360" w:lineRule="auto"/>
        <w:jc w:val="both"/>
        <w:rPr>
          <w:rFonts w:ascii="Arial" w:eastAsia="Aptos" w:hAnsi="Arial" w:cs="Arial"/>
          <w:sz w:val="24"/>
          <w:szCs w:val="24"/>
          <w:lang w:val="en-US"/>
        </w:rPr>
      </w:pPr>
      <w:r w:rsidRPr="00615CF1">
        <w:rPr>
          <w:rFonts w:ascii="Arial" w:eastAsia="Aptos" w:hAnsi="Arial" w:cs="Arial"/>
          <w:b/>
          <w:bCs/>
          <w:sz w:val="24"/>
          <w:szCs w:val="24"/>
          <w:lang w:val="en-US"/>
        </w:rPr>
        <w:t>Results:</w:t>
      </w:r>
      <w:r>
        <w:rPr>
          <w:rFonts w:ascii="Arial" w:eastAsia="Aptos" w:hAnsi="Arial" w:cs="Arial"/>
          <w:sz w:val="24"/>
          <w:szCs w:val="24"/>
          <w:lang w:val="en-US"/>
        </w:rPr>
        <w:t xml:space="preserve"> </w:t>
      </w:r>
      <w:r w:rsidR="005A3CB6" w:rsidRPr="002A321F">
        <w:rPr>
          <w:rFonts w:ascii="Arial" w:eastAsia="Aptos" w:hAnsi="Arial" w:cs="Arial"/>
          <w:sz w:val="24"/>
          <w:szCs w:val="24"/>
          <w:lang w:val="en-US"/>
        </w:rPr>
        <w:t>Hyperglycemia induced increase in carbonylated proteins, as well as</w:t>
      </w:r>
      <w:r w:rsidR="00AC2C1C" w:rsidRPr="002A321F">
        <w:rPr>
          <w:rFonts w:ascii="Arial" w:eastAsia="Aptos" w:hAnsi="Arial" w:cs="Arial"/>
          <w:sz w:val="24"/>
          <w:szCs w:val="24"/>
          <w:lang w:val="en-US"/>
        </w:rPr>
        <w:t xml:space="preserve"> a</w:t>
      </w:r>
      <w:r w:rsidR="005A3CB6" w:rsidRPr="002A321F">
        <w:rPr>
          <w:rFonts w:ascii="Arial" w:eastAsia="Aptos" w:hAnsi="Arial" w:cs="Arial"/>
          <w:sz w:val="24"/>
          <w:szCs w:val="24"/>
          <w:lang w:val="en-US"/>
        </w:rPr>
        <w:t xml:space="preserve"> </w:t>
      </w:r>
      <w:r w:rsidR="00AC2C1C" w:rsidRPr="002A321F">
        <w:rPr>
          <w:rFonts w:ascii="Arial" w:eastAsia="Aptos" w:hAnsi="Arial" w:cs="Arial"/>
          <w:sz w:val="24"/>
          <w:szCs w:val="24"/>
          <w:lang w:val="en-US"/>
        </w:rPr>
        <w:t xml:space="preserve">progressive </w:t>
      </w:r>
      <w:r w:rsidR="005A3CB6" w:rsidRPr="002A321F">
        <w:rPr>
          <w:rFonts w:ascii="Arial" w:eastAsia="Aptos" w:hAnsi="Arial" w:cs="Arial"/>
          <w:sz w:val="24"/>
          <w:szCs w:val="24"/>
          <w:lang w:val="en-US"/>
        </w:rPr>
        <w:t>decrease in the</w:t>
      </w:r>
      <w:r w:rsidR="005A3CB6" w:rsidRPr="002A321F">
        <w:rPr>
          <w:rFonts w:ascii="Arial" w:eastAsia="Calibri" w:hAnsi="Arial" w:cs="Arial"/>
          <w:sz w:val="24"/>
          <w:szCs w:val="24"/>
          <w:lang w:val="en-US"/>
        </w:rPr>
        <w:t xml:space="preserve"> NAD+/NADH ratio.</w:t>
      </w:r>
      <w:r w:rsidR="005A3CB6" w:rsidRPr="002A321F">
        <w:rPr>
          <w:rFonts w:ascii="Arial" w:eastAsia="Aptos" w:hAnsi="Arial" w:cs="Arial"/>
          <w:sz w:val="24"/>
          <w:szCs w:val="24"/>
          <w:lang w:val="en-US"/>
        </w:rPr>
        <w:t xml:space="preserve"> Despite that, </w:t>
      </w:r>
      <w:r w:rsidR="006A6717" w:rsidRPr="002A321F">
        <w:rPr>
          <w:rFonts w:ascii="Arial" w:eastAsia="Aptos" w:hAnsi="Arial" w:cs="Arial"/>
          <w:sz w:val="24"/>
          <w:szCs w:val="24"/>
          <w:lang w:val="en-US"/>
        </w:rPr>
        <w:t>no significative</w:t>
      </w:r>
      <w:r w:rsidR="005A3CB6" w:rsidRPr="002A321F">
        <w:rPr>
          <w:rFonts w:ascii="Arial" w:eastAsia="Aptos" w:hAnsi="Arial" w:cs="Arial"/>
          <w:sz w:val="24"/>
          <w:szCs w:val="24"/>
          <w:lang w:val="en-US"/>
        </w:rPr>
        <w:t xml:space="preserve"> changes in </w:t>
      </w:r>
      <w:r w:rsidR="00AC2C1C" w:rsidRPr="002A321F">
        <w:rPr>
          <w:rFonts w:ascii="Arial" w:eastAsia="Aptos" w:hAnsi="Arial" w:cs="Arial"/>
          <w:sz w:val="24"/>
          <w:szCs w:val="24"/>
          <w:lang w:val="en-US"/>
        </w:rPr>
        <w:t xml:space="preserve">Nrf2 expression or </w:t>
      </w:r>
      <w:r w:rsidR="005A3CB6" w:rsidRPr="002A321F">
        <w:rPr>
          <w:rFonts w:ascii="Arial" w:eastAsia="Aptos" w:hAnsi="Arial" w:cs="Arial"/>
          <w:sz w:val="24"/>
          <w:szCs w:val="24"/>
          <w:lang w:val="en-US"/>
        </w:rPr>
        <w:t xml:space="preserve">GSH levels were found. </w:t>
      </w:r>
      <w:r w:rsidR="006A6717" w:rsidRPr="002A321F">
        <w:rPr>
          <w:rFonts w:ascii="Arial" w:eastAsia="Aptos" w:hAnsi="Arial" w:cs="Arial"/>
          <w:sz w:val="24"/>
          <w:szCs w:val="24"/>
          <w:lang w:val="en-US"/>
        </w:rPr>
        <w:t>NAM supplementation enhanced NAD+ levels in 20 days diabetic rat retina</w:t>
      </w:r>
      <w:r w:rsidR="00AC2C1C" w:rsidRPr="002A321F">
        <w:rPr>
          <w:rFonts w:ascii="Arial" w:eastAsia="Aptos" w:hAnsi="Arial" w:cs="Arial"/>
          <w:sz w:val="24"/>
          <w:szCs w:val="24"/>
          <w:lang w:val="en-US"/>
        </w:rPr>
        <w:t>,</w:t>
      </w:r>
      <w:r w:rsidR="006A6717" w:rsidRPr="002A321F">
        <w:rPr>
          <w:rFonts w:ascii="Arial" w:eastAsia="Aptos" w:hAnsi="Arial" w:cs="Arial"/>
          <w:sz w:val="24"/>
          <w:szCs w:val="24"/>
          <w:lang w:val="en-US"/>
        </w:rPr>
        <w:t xml:space="preserve"> </w:t>
      </w:r>
      <w:r w:rsidR="006A6717" w:rsidRPr="002A321F">
        <w:rPr>
          <w:rFonts w:ascii="Arial" w:eastAsia="Calibri" w:hAnsi="Arial" w:cs="Arial"/>
          <w:sz w:val="24"/>
          <w:szCs w:val="24"/>
          <w:lang w:val="en-US"/>
        </w:rPr>
        <w:t>reestablish</w:t>
      </w:r>
      <w:r w:rsidR="00AC2C1C" w:rsidRPr="002A321F">
        <w:rPr>
          <w:rFonts w:ascii="Arial" w:eastAsia="Calibri" w:hAnsi="Arial" w:cs="Arial"/>
          <w:sz w:val="24"/>
          <w:szCs w:val="24"/>
          <w:lang w:val="en-US"/>
        </w:rPr>
        <w:t>ing</w:t>
      </w:r>
      <w:r w:rsidR="006A6717" w:rsidRPr="002A321F">
        <w:rPr>
          <w:rFonts w:ascii="Arial" w:eastAsia="Aptos" w:hAnsi="Arial" w:cs="Arial"/>
          <w:sz w:val="24"/>
          <w:szCs w:val="24"/>
          <w:lang w:val="en-US"/>
        </w:rPr>
        <w:t xml:space="preserve"> the </w:t>
      </w:r>
      <w:r w:rsidR="006A6717" w:rsidRPr="002A321F">
        <w:rPr>
          <w:rFonts w:ascii="Arial" w:eastAsia="Calibri" w:hAnsi="Arial" w:cs="Arial"/>
          <w:sz w:val="24"/>
          <w:szCs w:val="24"/>
          <w:lang w:val="en-US"/>
        </w:rPr>
        <w:t>NAD+/NADH ratio and carbonylated protein levels</w:t>
      </w:r>
      <w:r w:rsidR="00AC2C1C" w:rsidRPr="002A321F">
        <w:rPr>
          <w:rFonts w:ascii="Arial" w:eastAsia="Calibri" w:hAnsi="Arial" w:cs="Arial"/>
          <w:sz w:val="24"/>
          <w:szCs w:val="24"/>
          <w:lang w:val="en-US"/>
        </w:rPr>
        <w:t xml:space="preserve">. However, NAM supplementation did not modify either NAD+/NADH ratio, nor levels of carbonylated protein at 45 days diabetes. </w:t>
      </w:r>
      <w:r w:rsidRPr="00615CF1">
        <w:rPr>
          <w:rFonts w:ascii="Arial" w:eastAsia="Calibri" w:hAnsi="Arial" w:cs="Arial"/>
          <w:b/>
          <w:bCs/>
          <w:sz w:val="24"/>
          <w:szCs w:val="24"/>
          <w:lang w:val="en-US"/>
        </w:rPr>
        <w:t>Conclusions:</w:t>
      </w:r>
      <w:r w:rsidRPr="00615CF1">
        <w:rPr>
          <w:rFonts w:ascii="Arial" w:eastAsia="Calibri" w:hAnsi="Arial" w:cs="Arial"/>
          <w:sz w:val="24"/>
          <w:szCs w:val="24"/>
          <w:lang w:val="en-US"/>
        </w:rPr>
        <w:t xml:space="preserve"> </w:t>
      </w:r>
      <w:r w:rsidR="00E57C08">
        <w:rPr>
          <w:rFonts w:ascii="Arial" w:eastAsia="Calibri" w:hAnsi="Arial" w:cs="Arial"/>
          <w:sz w:val="24"/>
          <w:szCs w:val="24"/>
          <w:lang w:val="en-US"/>
        </w:rPr>
        <w:t>A</w:t>
      </w:r>
      <w:r w:rsidR="00AC2C1C" w:rsidRPr="002A321F">
        <w:rPr>
          <w:rFonts w:ascii="Arial" w:eastAsia="Calibri" w:hAnsi="Arial" w:cs="Arial"/>
          <w:sz w:val="24"/>
          <w:szCs w:val="24"/>
          <w:lang w:val="en-US"/>
        </w:rPr>
        <w:t>lteration of the NAD+/NADH ratio induced protein oxidation independent of the Nrf2 function. Experiments aimed at clarifying the significance of these results are in progress.</w:t>
      </w:r>
    </w:p>
    <w:p w14:paraId="5CD174E1" w14:textId="77777777" w:rsidR="00B50ABB" w:rsidRPr="002A321F" w:rsidRDefault="00B50ABB" w:rsidP="002A321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sectPr w:rsidR="00B50ABB" w:rsidRPr="002A32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BB"/>
    <w:rsid w:val="00085EAD"/>
    <w:rsid w:val="0019367E"/>
    <w:rsid w:val="002615CC"/>
    <w:rsid w:val="002A321F"/>
    <w:rsid w:val="002B148E"/>
    <w:rsid w:val="00466A07"/>
    <w:rsid w:val="00564FD6"/>
    <w:rsid w:val="005A3CB6"/>
    <w:rsid w:val="00615CF1"/>
    <w:rsid w:val="006219A3"/>
    <w:rsid w:val="0069394B"/>
    <w:rsid w:val="006A6717"/>
    <w:rsid w:val="00703D2B"/>
    <w:rsid w:val="00863157"/>
    <w:rsid w:val="008B41DB"/>
    <w:rsid w:val="008D379C"/>
    <w:rsid w:val="00912F2F"/>
    <w:rsid w:val="0094726E"/>
    <w:rsid w:val="00A3038F"/>
    <w:rsid w:val="00A81156"/>
    <w:rsid w:val="00AC2C1C"/>
    <w:rsid w:val="00AE55A4"/>
    <w:rsid w:val="00B50ABB"/>
    <w:rsid w:val="00C70662"/>
    <w:rsid w:val="00C8792A"/>
    <w:rsid w:val="00E36847"/>
    <w:rsid w:val="00E57C08"/>
    <w:rsid w:val="00EC7F29"/>
    <w:rsid w:val="00F1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09C1"/>
  <w15:chartTrackingRefBased/>
  <w15:docId w15:val="{C8CBE5A2-A2E2-4E6B-8CDB-4F98BD70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Villeda</dc:creator>
  <cp:keywords/>
  <dc:description/>
  <cp:lastModifiedBy>David Villeda</cp:lastModifiedBy>
  <cp:revision>4</cp:revision>
  <dcterms:created xsi:type="dcterms:W3CDTF">2026-05-01T00:40:00Z</dcterms:created>
  <dcterms:modified xsi:type="dcterms:W3CDTF">2026-05-01T00:54:00Z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0e00b4c4-09f6-44f4-b740-3a716d685585</vt:lpwstr>
  </property>
</Properties>
</file>