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20FDE" w14:textId="13FE27A5" w:rsidR="00C82B69" w:rsidRDefault="00C82B69" w:rsidP="00C82B69">
      <w:pPr>
        <w:jc w:val="center"/>
        <w:rPr>
          <w:b/>
          <w:bCs/>
        </w:rPr>
      </w:pPr>
      <w:r>
        <w:rPr>
          <w:b/>
          <w:bCs/>
        </w:rPr>
        <w:t xml:space="preserve">A biologist’s guide to </w:t>
      </w:r>
      <w:r w:rsidR="00900949">
        <w:rPr>
          <w:b/>
          <w:bCs/>
        </w:rPr>
        <w:t>rapid</w:t>
      </w:r>
      <w:r>
        <w:rPr>
          <w:b/>
          <w:bCs/>
        </w:rPr>
        <w:t xml:space="preserve"> and </w:t>
      </w:r>
      <w:r w:rsidR="00900949">
        <w:rPr>
          <w:b/>
          <w:bCs/>
        </w:rPr>
        <w:t>robust</w:t>
      </w:r>
      <w:r>
        <w:rPr>
          <w:b/>
          <w:bCs/>
        </w:rPr>
        <w:t xml:space="preserve"> detection of GSK-J4</w:t>
      </w:r>
    </w:p>
    <w:p w14:paraId="0FD481D7" w14:textId="77777777" w:rsidR="0094132C" w:rsidRDefault="0094132C" w:rsidP="00C82B69">
      <w:pPr>
        <w:jc w:val="center"/>
        <w:rPr>
          <w:b/>
          <w:bCs/>
        </w:rPr>
      </w:pPr>
    </w:p>
    <w:p w14:paraId="0ED9BC57" w14:textId="77777777" w:rsidR="0094132C" w:rsidRPr="00E025CC" w:rsidRDefault="0094132C" w:rsidP="0094132C">
      <w:pPr>
        <w:jc w:val="both"/>
        <w:rPr>
          <w:b/>
          <w:bCs/>
        </w:rPr>
      </w:pPr>
      <w:r w:rsidRPr="00E025CC">
        <w:rPr>
          <w:u w:val="single"/>
        </w:rPr>
        <w:t>Rebekah James</w:t>
      </w:r>
      <w:r w:rsidRPr="00E025CC">
        <w:rPr>
          <w:vertAlign w:val="superscript"/>
        </w:rPr>
        <w:t>1,2,3</w:t>
      </w:r>
      <w:r>
        <w:rPr>
          <w:vertAlign w:val="superscript"/>
        </w:rPr>
        <w:t>,4</w:t>
      </w:r>
      <w:r w:rsidRPr="00E025CC">
        <w:t>, Patrick Lim</w:t>
      </w:r>
      <w:r>
        <w:rPr>
          <w:vertAlign w:val="superscript"/>
        </w:rPr>
        <w:t>4</w:t>
      </w:r>
      <w:r w:rsidRPr="00E025CC">
        <w:t>, Corina Ionescu</w:t>
      </w:r>
      <w:r>
        <w:rPr>
          <w:vertAlign w:val="superscript"/>
        </w:rPr>
        <w:t>4</w:t>
      </w:r>
      <w:r w:rsidRPr="00E025CC">
        <w:t xml:space="preserve">, </w:t>
      </w:r>
      <w:r>
        <w:t xml:space="preserve">E/Prof. </w:t>
      </w:r>
      <w:r w:rsidRPr="00E025CC">
        <w:t>Alan Harvey</w:t>
      </w:r>
      <w:r w:rsidRPr="00E025CC">
        <w:rPr>
          <w:vertAlign w:val="superscript"/>
        </w:rPr>
        <w:t>2,</w:t>
      </w:r>
      <w:r>
        <w:rPr>
          <w:vertAlign w:val="superscript"/>
        </w:rPr>
        <w:t>5,6</w:t>
      </w:r>
      <w:r w:rsidRPr="00E025CC">
        <w:t xml:space="preserve">, </w:t>
      </w:r>
      <w:r>
        <w:t xml:space="preserve">Dr. </w:t>
      </w:r>
      <w:r w:rsidRPr="00E025CC">
        <w:t>Hani Al-Salami</w:t>
      </w:r>
      <w:r>
        <w:rPr>
          <w:vertAlign w:val="superscript"/>
        </w:rPr>
        <w:t>4,7</w:t>
      </w:r>
      <w:r w:rsidRPr="00E025CC">
        <w:t xml:space="preserve">, </w:t>
      </w:r>
      <w:r>
        <w:t xml:space="preserve">Dr. </w:t>
      </w:r>
      <w:r w:rsidRPr="00E025CC">
        <w:t>Livia Carvalho</w:t>
      </w:r>
      <w:r w:rsidRPr="00E025CC">
        <w:rPr>
          <w:vertAlign w:val="superscript"/>
        </w:rPr>
        <w:t>1,2,3</w:t>
      </w:r>
    </w:p>
    <w:p w14:paraId="521B154B" w14:textId="77777777" w:rsidR="0094132C" w:rsidRPr="0030436D" w:rsidRDefault="0094132C" w:rsidP="0094132C">
      <w:pPr>
        <w:jc w:val="both"/>
      </w:pPr>
    </w:p>
    <w:p w14:paraId="740CC738" w14:textId="77777777" w:rsidR="0094132C" w:rsidRPr="00C3468E" w:rsidRDefault="0094132C" w:rsidP="0094132C">
      <w:pPr>
        <w:jc w:val="both"/>
        <w:rPr>
          <w:sz w:val="20"/>
          <w:szCs w:val="20"/>
        </w:rPr>
      </w:pPr>
      <w:r w:rsidRPr="00C3468E">
        <w:rPr>
          <w:sz w:val="20"/>
          <w:szCs w:val="20"/>
          <w:vertAlign w:val="superscript"/>
        </w:rPr>
        <w:t>1</w:t>
      </w:r>
      <w:r w:rsidRPr="00C3468E">
        <w:rPr>
          <w:sz w:val="20"/>
          <w:szCs w:val="20"/>
        </w:rPr>
        <w:t>Centre for Ophthalmology and Visual Science, The University of Western Australia, Nedlands, WA, 6009, Australia</w:t>
      </w:r>
    </w:p>
    <w:p w14:paraId="29439B8B" w14:textId="77777777" w:rsidR="0094132C" w:rsidRPr="00C3468E" w:rsidRDefault="0094132C" w:rsidP="0094132C">
      <w:pPr>
        <w:jc w:val="both"/>
        <w:rPr>
          <w:sz w:val="20"/>
          <w:szCs w:val="20"/>
        </w:rPr>
      </w:pPr>
      <w:r w:rsidRPr="00C3468E">
        <w:rPr>
          <w:sz w:val="20"/>
          <w:szCs w:val="20"/>
          <w:vertAlign w:val="superscript"/>
        </w:rPr>
        <w:t>2</w:t>
      </w:r>
      <w:r w:rsidRPr="00C3468E">
        <w:rPr>
          <w:sz w:val="20"/>
          <w:szCs w:val="20"/>
        </w:rPr>
        <w:t>Retinal Genomics and Therapy Laboratory, Lions Eye Institute, Nedlands, WA, 6009, Australia</w:t>
      </w:r>
    </w:p>
    <w:p w14:paraId="21B2E210" w14:textId="77777777" w:rsidR="0094132C" w:rsidRPr="00C3468E" w:rsidRDefault="0094132C" w:rsidP="0094132C">
      <w:pPr>
        <w:jc w:val="both"/>
        <w:rPr>
          <w:sz w:val="20"/>
          <w:szCs w:val="20"/>
        </w:rPr>
      </w:pPr>
      <w:r w:rsidRPr="00C3468E">
        <w:rPr>
          <w:sz w:val="20"/>
          <w:szCs w:val="20"/>
          <w:vertAlign w:val="superscript"/>
        </w:rPr>
        <w:t>3</w:t>
      </w:r>
      <w:r w:rsidRPr="00C3468E">
        <w:rPr>
          <w:sz w:val="20"/>
          <w:szCs w:val="20"/>
        </w:rPr>
        <w:t>Department of Optometry and Vision Sciences, University of Melbourne, Parkville, VIC, 3052, Australia</w:t>
      </w:r>
    </w:p>
    <w:p w14:paraId="66974CFD" w14:textId="77777777" w:rsidR="0094132C" w:rsidRPr="00C3468E" w:rsidRDefault="0094132C" w:rsidP="0094132C">
      <w:pPr>
        <w:jc w:val="both"/>
        <w:rPr>
          <w:sz w:val="20"/>
          <w:szCs w:val="20"/>
        </w:rPr>
      </w:pPr>
      <w:r w:rsidRPr="00C3468E">
        <w:rPr>
          <w:sz w:val="20"/>
          <w:szCs w:val="20"/>
          <w:vertAlign w:val="superscript"/>
        </w:rPr>
        <w:t>4</w:t>
      </w:r>
      <w:r w:rsidRPr="00C3468E">
        <w:rPr>
          <w:sz w:val="20"/>
          <w:szCs w:val="20"/>
        </w:rPr>
        <w:t>The Biotechnology and Drug Development Research Laboratory, Curtin Medical School &amp; Curtin Medical Research Institute, Curtin University, Bentley, WA, 6102, Australia</w:t>
      </w:r>
    </w:p>
    <w:p w14:paraId="55716332" w14:textId="77777777" w:rsidR="0094132C" w:rsidRPr="00C3468E" w:rsidRDefault="0094132C" w:rsidP="0094132C">
      <w:pPr>
        <w:jc w:val="both"/>
        <w:rPr>
          <w:sz w:val="20"/>
          <w:szCs w:val="20"/>
        </w:rPr>
      </w:pPr>
      <w:r w:rsidRPr="00C3468E">
        <w:rPr>
          <w:sz w:val="20"/>
          <w:szCs w:val="20"/>
          <w:vertAlign w:val="superscript"/>
        </w:rPr>
        <w:t>5</w:t>
      </w:r>
      <w:r w:rsidRPr="00C3468E">
        <w:rPr>
          <w:sz w:val="20"/>
          <w:szCs w:val="20"/>
        </w:rPr>
        <w:t>School of Human Sciences, The University of Western Australia, Crawley, WA, 6009, Australia</w:t>
      </w:r>
    </w:p>
    <w:p w14:paraId="79F75478" w14:textId="77777777" w:rsidR="0094132C" w:rsidRPr="00C3468E" w:rsidRDefault="0094132C" w:rsidP="0094132C">
      <w:pPr>
        <w:jc w:val="both"/>
        <w:rPr>
          <w:sz w:val="20"/>
          <w:szCs w:val="20"/>
        </w:rPr>
      </w:pPr>
      <w:r w:rsidRPr="00C3468E">
        <w:rPr>
          <w:sz w:val="20"/>
          <w:szCs w:val="20"/>
          <w:vertAlign w:val="superscript"/>
        </w:rPr>
        <w:t>6</w:t>
      </w:r>
      <w:r w:rsidRPr="00C3468E">
        <w:rPr>
          <w:sz w:val="20"/>
          <w:szCs w:val="20"/>
        </w:rPr>
        <w:t>Perron Institute for Neurological and Translational Science, Nedlands, WA, 6009, Australia</w:t>
      </w:r>
    </w:p>
    <w:p w14:paraId="20708199" w14:textId="77777777" w:rsidR="0094132C" w:rsidRPr="00C3468E" w:rsidRDefault="0094132C" w:rsidP="0094132C">
      <w:pPr>
        <w:jc w:val="both"/>
        <w:rPr>
          <w:sz w:val="20"/>
          <w:szCs w:val="20"/>
        </w:rPr>
      </w:pPr>
      <w:r w:rsidRPr="00C3468E">
        <w:rPr>
          <w:sz w:val="20"/>
          <w:szCs w:val="20"/>
          <w:vertAlign w:val="superscript"/>
        </w:rPr>
        <w:t>7</w:t>
      </w:r>
      <w:r w:rsidRPr="00C3468E">
        <w:rPr>
          <w:sz w:val="20"/>
          <w:szCs w:val="20"/>
        </w:rPr>
        <w:t>Medical School, The University of Western Australia, Perth, WA, 6009, Australia</w:t>
      </w:r>
    </w:p>
    <w:p w14:paraId="79B9084E" w14:textId="77777777" w:rsidR="00C82B69" w:rsidRDefault="00C82B69" w:rsidP="006756B8">
      <w:pPr>
        <w:jc w:val="both"/>
      </w:pPr>
    </w:p>
    <w:p w14:paraId="7FCF061C" w14:textId="4AAF7A5C" w:rsidR="0094132C" w:rsidRDefault="00C82B69" w:rsidP="006756B8">
      <w:pPr>
        <w:jc w:val="both"/>
      </w:pPr>
      <w:r w:rsidRPr="00900949">
        <w:rPr>
          <w:b/>
          <w:bCs/>
          <w:u w:val="single"/>
        </w:rPr>
        <w:t>B</w:t>
      </w:r>
      <w:r w:rsidR="00900949" w:rsidRPr="00900949">
        <w:rPr>
          <w:b/>
          <w:bCs/>
          <w:u w:val="single"/>
        </w:rPr>
        <w:t>ACKGROUND</w:t>
      </w:r>
    </w:p>
    <w:p w14:paraId="279F0F7A" w14:textId="3EA99875" w:rsidR="0094132C" w:rsidRDefault="00900949" w:rsidP="006756B8">
      <w:pPr>
        <w:jc w:val="both"/>
      </w:pPr>
      <w:r>
        <w:t>Modulating</w:t>
      </w:r>
      <w:r w:rsidR="00C82B69">
        <w:t xml:space="preserve"> epigenetic targets has shown therapeutic potential in </w:t>
      </w:r>
      <w:r>
        <w:t xml:space="preserve">various </w:t>
      </w:r>
      <w:r w:rsidR="0049177E">
        <w:t>conditions</w:t>
      </w:r>
      <w:r>
        <w:t xml:space="preserve">, including </w:t>
      </w:r>
      <w:r w:rsidR="00C82B69">
        <w:t xml:space="preserve">inherited retinal disease. Of recent interest is the modulation of </w:t>
      </w:r>
      <w:r w:rsidR="0094132C">
        <w:t>H3K27</w:t>
      </w:r>
      <w:r w:rsidR="00C82B69">
        <w:t xml:space="preserve"> trimethylation (H3K27me3). A seminal study by Miller </w:t>
      </w:r>
      <w:r w:rsidR="00C82B69" w:rsidRPr="00900949">
        <w:rPr>
          <w:i/>
          <w:iCs/>
        </w:rPr>
        <w:t>et al</w:t>
      </w:r>
      <w:r w:rsidRPr="00900949">
        <w:rPr>
          <w:i/>
          <w:iCs/>
        </w:rPr>
        <w:t>.</w:t>
      </w:r>
      <w:r w:rsidR="00C82B69">
        <w:t xml:space="preserve"> (2022) demonstrated that increasing H3K27me3 </w:t>
      </w:r>
      <w:r>
        <w:t>through</w:t>
      </w:r>
      <w:r w:rsidR="00C82B69">
        <w:t xml:space="preserve"> continuous administration of GSK-J4 </w:t>
      </w:r>
      <w:r>
        <w:t>increases</w:t>
      </w:r>
      <w:r w:rsidR="00C82B69">
        <w:t xml:space="preserve"> cone </w:t>
      </w:r>
      <w:r>
        <w:t>survival</w:t>
      </w:r>
      <w:r w:rsidR="00C82B69">
        <w:t xml:space="preserve"> </w:t>
      </w:r>
      <w:r w:rsidR="00C82B69" w:rsidRPr="00900949">
        <w:rPr>
          <w:i/>
          <w:iCs/>
        </w:rPr>
        <w:t xml:space="preserve">ex vivo </w:t>
      </w:r>
      <w:r w:rsidR="00C82B69">
        <w:t xml:space="preserve">in the </w:t>
      </w:r>
      <w:r w:rsidRPr="00900949">
        <w:rPr>
          <w:i/>
          <w:iCs/>
        </w:rPr>
        <w:t>P</w:t>
      </w:r>
      <w:r w:rsidR="00C82B69" w:rsidRPr="00900949">
        <w:rPr>
          <w:i/>
          <w:iCs/>
        </w:rPr>
        <w:t>de6c</w:t>
      </w:r>
      <w:r w:rsidR="00C82B69" w:rsidRPr="00900949">
        <w:rPr>
          <w:i/>
          <w:iCs/>
          <w:vertAlign w:val="superscript"/>
        </w:rPr>
        <w:t>cpfl1</w:t>
      </w:r>
      <w:r w:rsidR="00C82B69">
        <w:t xml:space="preserve"> mouse model of achromatopsia. </w:t>
      </w:r>
      <w:r>
        <w:t xml:space="preserve">Although </w:t>
      </w:r>
      <w:r w:rsidR="00C82B69">
        <w:t xml:space="preserve">GSK-J4 is a useful probe for modulating H3K27me3, </w:t>
      </w:r>
      <w:r>
        <w:t>developing</w:t>
      </w:r>
      <w:r w:rsidR="00C82B69">
        <w:t xml:space="preserve"> it as </w:t>
      </w:r>
      <w:r>
        <w:t>a</w:t>
      </w:r>
      <w:r w:rsidR="00C82B69">
        <w:t xml:space="preserve"> </w:t>
      </w:r>
      <w:r>
        <w:t>treatment requires</w:t>
      </w:r>
      <w:r w:rsidR="00C82B69">
        <w:t xml:space="preserve"> </w:t>
      </w:r>
      <w:r>
        <w:t>improved</w:t>
      </w:r>
      <w:r w:rsidR="00C82B69">
        <w:t xml:space="preserve"> physicochemical and pharmacokinetic </w:t>
      </w:r>
      <w:r>
        <w:t>characterisation</w:t>
      </w:r>
      <w:r w:rsidR="00C82B69">
        <w:t xml:space="preserve">, as well as </w:t>
      </w:r>
      <w:r>
        <w:t>a simple method to</w:t>
      </w:r>
      <w:r w:rsidR="00C82B69">
        <w:t xml:space="preserve"> detect and </w:t>
      </w:r>
      <w:r>
        <w:t>quantify</w:t>
      </w:r>
      <w:r w:rsidR="00C82B69">
        <w:t xml:space="preserve"> the drug. Here, we </w:t>
      </w:r>
      <w:r>
        <w:t>present a</w:t>
      </w:r>
      <w:r w:rsidR="00C82B69">
        <w:t xml:space="preserve"> fast, robust HPLC method for quantifying GSK-J4 that is accessible </w:t>
      </w:r>
      <w:r>
        <w:t>to</w:t>
      </w:r>
      <w:r w:rsidR="00C82B69">
        <w:t xml:space="preserve"> non-chemists</w:t>
      </w:r>
      <w:r>
        <w:t xml:space="preserve">. </w:t>
      </w:r>
    </w:p>
    <w:p w14:paraId="40EC6B76" w14:textId="77777777" w:rsidR="0094132C" w:rsidRDefault="0094132C" w:rsidP="006756B8">
      <w:pPr>
        <w:jc w:val="both"/>
        <w:rPr>
          <w:b/>
          <w:bCs/>
          <w:u w:val="single"/>
        </w:rPr>
      </w:pPr>
    </w:p>
    <w:p w14:paraId="57C8BAB4" w14:textId="3E363718" w:rsidR="0094132C" w:rsidRDefault="00900949" w:rsidP="006756B8">
      <w:pPr>
        <w:jc w:val="both"/>
        <w:rPr>
          <w:b/>
          <w:bCs/>
        </w:rPr>
      </w:pPr>
      <w:r w:rsidRPr="00900949">
        <w:rPr>
          <w:b/>
          <w:bCs/>
          <w:u w:val="single"/>
        </w:rPr>
        <w:t>METHODS</w:t>
      </w:r>
    </w:p>
    <w:p w14:paraId="2861A6EF" w14:textId="77777777" w:rsidR="0094132C" w:rsidRDefault="00C82B69" w:rsidP="006756B8">
      <w:pPr>
        <w:jc w:val="both"/>
      </w:pPr>
      <w:r>
        <w:t xml:space="preserve">Various mobile phases, flow rates, and </w:t>
      </w:r>
      <w:r w:rsidR="00900949">
        <w:t xml:space="preserve">elution conditions were evaluated to develop the high-performance liquid chromatography (HPLC) method. The optimised method was </w:t>
      </w:r>
      <w:r w:rsidR="00282C7D">
        <w:t xml:space="preserve">then </w:t>
      </w:r>
      <w:r w:rsidR="00900949">
        <w:t>validated by assessing precision, accuracy, linearity, and specificity. Importantly, the method’s compatibility with GSK-J4 extracted from</w:t>
      </w:r>
      <w:r w:rsidR="00282C7D">
        <w:t xml:space="preserve"> treated</w:t>
      </w:r>
      <w:r w:rsidR="00900949">
        <w:t xml:space="preserve"> 661W </w:t>
      </w:r>
      <w:r w:rsidR="00282C7D">
        <w:t xml:space="preserve">cone-like </w:t>
      </w:r>
      <w:r w:rsidR="0049177E">
        <w:t xml:space="preserve">photoreceptor cells </w:t>
      </w:r>
      <w:r w:rsidR="00900949">
        <w:t>was also evaluated.</w:t>
      </w:r>
    </w:p>
    <w:p w14:paraId="55569036" w14:textId="77777777" w:rsidR="0094132C" w:rsidRDefault="0094132C" w:rsidP="006756B8">
      <w:pPr>
        <w:jc w:val="both"/>
        <w:rPr>
          <w:b/>
          <w:bCs/>
          <w:u w:val="single"/>
        </w:rPr>
      </w:pPr>
    </w:p>
    <w:p w14:paraId="29B68691" w14:textId="48E35C3E" w:rsidR="0094132C" w:rsidRDefault="00900949" w:rsidP="006756B8">
      <w:pPr>
        <w:jc w:val="both"/>
        <w:rPr>
          <w:b/>
          <w:bCs/>
        </w:rPr>
      </w:pPr>
      <w:r w:rsidRPr="00900949">
        <w:rPr>
          <w:b/>
          <w:bCs/>
          <w:u w:val="single"/>
        </w:rPr>
        <w:t>RESULTS</w:t>
      </w:r>
    </w:p>
    <w:p w14:paraId="7242DCC4" w14:textId="77777777" w:rsidR="0094132C" w:rsidRDefault="00900949" w:rsidP="006756B8">
      <w:pPr>
        <w:jc w:val="both"/>
      </w:pPr>
      <w:r>
        <w:t>The optimised HPLC method met all acceptance criteria for precision, accuracy, linearity and specificity</w:t>
      </w:r>
      <w:r w:rsidR="00EF170D">
        <w:t xml:space="preserve"> tests</w:t>
      </w:r>
      <w:r>
        <w:t xml:space="preserve">, highlighting its robustness. It employs simple </w:t>
      </w:r>
      <w:r w:rsidR="00282C7D">
        <w:t xml:space="preserve">mobile phases and isocratic </w:t>
      </w:r>
      <w:r>
        <w:t xml:space="preserve">conditions with rapid drug elution, enabling </w:t>
      </w:r>
      <w:r w:rsidR="00282C7D">
        <w:t xml:space="preserve">the </w:t>
      </w:r>
      <w:r>
        <w:t>detection of the drug in under 5 minutes. Notably, the method also allowed for</w:t>
      </w:r>
      <w:r w:rsidR="00282C7D">
        <w:t xml:space="preserve"> successful</w:t>
      </w:r>
      <w:r>
        <w:t xml:space="preserve"> quantification of GSK-J4 extracted from treated 661W cells.</w:t>
      </w:r>
    </w:p>
    <w:p w14:paraId="6936BB1C" w14:textId="77777777" w:rsidR="0094132C" w:rsidRDefault="0094132C" w:rsidP="006756B8">
      <w:pPr>
        <w:jc w:val="both"/>
        <w:rPr>
          <w:b/>
          <w:bCs/>
          <w:u w:val="single"/>
        </w:rPr>
      </w:pPr>
    </w:p>
    <w:p w14:paraId="0A33CB2F" w14:textId="77777777" w:rsidR="0094132C" w:rsidRDefault="00900949" w:rsidP="006756B8">
      <w:pPr>
        <w:jc w:val="both"/>
      </w:pPr>
      <w:r w:rsidRPr="00900949">
        <w:rPr>
          <w:b/>
          <w:bCs/>
          <w:u w:val="single"/>
        </w:rPr>
        <w:t>CONCLUSION</w:t>
      </w:r>
    </w:p>
    <w:p w14:paraId="3690591C" w14:textId="1F6B3FBB" w:rsidR="00C82B69" w:rsidRPr="00C82B69" w:rsidRDefault="00900949" w:rsidP="006756B8">
      <w:pPr>
        <w:jc w:val="both"/>
      </w:pPr>
      <w:r>
        <w:t>We developed</w:t>
      </w:r>
      <w:r w:rsidR="00C82B69">
        <w:t xml:space="preserve"> and validated a novel HPLC method that </w:t>
      </w:r>
      <w:r>
        <w:t xml:space="preserve">provides </w:t>
      </w:r>
      <w:r w:rsidR="00C82B69">
        <w:t xml:space="preserve">a </w:t>
      </w:r>
      <w:r>
        <w:t xml:space="preserve">rapid, </w:t>
      </w:r>
      <w:r w:rsidR="00C82B69">
        <w:t>simple</w:t>
      </w:r>
      <w:r>
        <w:t>, and accessible way</w:t>
      </w:r>
      <w:r w:rsidR="00C82B69">
        <w:t xml:space="preserve"> to quantify </w:t>
      </w:r>
      <w:r>
        <w:t>the drug</w:t>
      </w:r>
      <w:r w:rsidR="00C82B69">
        <w:t>. This</w:t>
      </w:r>
      <w:r>
        <w:t xml:space="preserve"> may facilitate improved understanding of the pharmacokinetic</w:t>
      </w:r>
      <w:r w:rsidR="00282C7D">
        <w:t xml:space="preserve"> properties of GSK-</w:t>
      </w:r>
      <w:proofErr w:type="gramStart"/>
      <w:r w:rsidR="0094132C">
        <w:t>J4, and</w:t>
      </w:r>
      <w:proofErr w:type="gramEnd"/>
      <w:r>
        <w:t xml:space="preserve"> provides a practical platform for testing novel formulations. Th</w:t>
      </w:r>
      <w:r w:rsidR="0049177E">
        <w:t>is</w:t>
      </w:r>
      <w:r>
        <w:t xml:space="preserve"> extraction protocol can also be adapted for </w:t>
      </w:r>
      <w:r w:rsidR="0049177E">
        <w:t xml:space="preserve">isolating </w:t>
      </w:r>
      <w:r>
        <w:t>the drug from other cell cultures, or retinal tissue obtained aft</w:t>
      </w:r>
      <w:r w:rsidR="00282C7D">
        <w:t>e</w:t>
      </w:r>
      <w:r>
        <w:t xml:space="preserve">r </w:t>
      </w:r>
      <w:r w:rsidRPr="00900949">
        <w:rPr>
          <w:i/>
          <w:iCs/>
        </w:rPr>
        <w:t>ex vivo</w:t>
      </w:r>
      <w:r>
        <w:t xml:space="preserve"> or </w:t>
      </w:r>
      <w:r w:rsidRPr="00900949">
        <w:rPr>
          <w:i/>
          <w:iCs/>
        </w:rPr>
        <w:t>in vivo</w:t>
      </w:r>
      <w:r>
        <w:t xml:space="preserve"> treatment, which is the focus of ongoing studies. </w:t>
      </w:r>
    </w:p>
    <w:sectPr w:rsidR="00C82B69" w:rsidRPr="00C82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BA164B"/>
    <w:multiLevelType w:val="multilevel"/>
    <w:tmpl w:val="E0B0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20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70"/>
    <w:rsid w:val="00024EEC"/>
    <w:rsid w:val="00043D6D"/>
    <w:rsid w:val="00046325"/>
    <w:rsid w:val="000B76C3"/>
    <w:rsid w:val="001B43EB"/>
    <w:rsid w:val="001B46A4"/>
    <w:rsid w:val="001E6482"/>
    <w:rsid w:val="00282C7D"/>
    <w:rsid w:val="00286593"/>
    <w:rsid w:val="00324E7E"/>
    <w:rsid w:val="00357C96"/>
    <w:rsid w:val="0036490D"/>
    <w:rsid w:val="003970AA"/>
    <w:rsid w:val="003B7C66"/>
    <w:rsid w:val="0042055C"/>
    <w:rsid w:val="00461C51"/>
    <w:rsid w:val="00465C7E"/>
    <w:rsid w:val="0049177E"/>
    <w:rsid w:val="004B1A91"/>
    <w:rsid w:val="004B5E45"/>
    <w:rsid w:val="005143AE"/>
    <w:rsid w:val="005422C0"/>
    <w:rsid w:val="00574009"/>
    <w:rsid w:val="005B7637"/>
    <w:rsid w:val="00665E2D"/>
    <w:rsid w:val="006756B8"/>
    <w:rsid w:val="0068384D"/>
    <w:rsid w:val="006D73E8"/>
    <w:rsid w:val="00700F70"/>
    <w:rsid w:val="007577C9"/>
    <w:rsid w:val="007A0111"/>
    <w:rsid w:val="007C1C2C"/>
    <w:rsid w:val="008107BC"/>
    <w:rsid w:val="008264A9"/>
    <w:rsid w:val="008410DC"/>
    <w:rsid w:val="0085061F"/>
    <w:rsid w:val="00857041"/>
    <w:rsid w:val="00872195"/>
    <w:rsid w:val="008759DC"/>
    <w:rsid w:val="00884EF4"/>
    <w:rsid w:val="00900949"/>
    <w:rsid w:val="00900B0F"/>
    <w:rsid w:val="00916A2D"/>
    <w:rsid w:val="0094132C"/>
    <w:rsid w:val="0094203A"/>
    <w:rsid w:val="0094427C"/>
    <w:rsid w:val="00972F09"/>
    <w:rsid w:val="009D4965"/>
    <w:rsid w:val="00A264BF"/>
    <w:rsid w:val="00A66D38"/>
    <w:rsid w:val="00A9781B"/>
    <w:rsid w:val="00AA0B77"/>
    <w:rsid w:val="00AA33F9"/>
    <w:rsid w:val="00AD72E8"/>
    <w:rsid w:val="00B17749"/>
    <w:rsid w:val="00B5628F"/>
    <w:rsid w:val="00B82161"/>
    <w:rsid w:val="00B87073"/>
    <w:rsid w:val="00C26FB4"/>
    <w:rsid w:val="00C3485D"/>
    <w:rsid w:val="00C357C9"/>
    <w:rsid w:val="00C41E80"/>
    <w:rsid w:val="00C82B69"/>
    <w:rsid w:val="00CD008F"/>
    <w:rsid w:val="00CD154D"/>
    <w:rsid w:val="00CD69F6"/>
    <w:rsid w:val="00D541C5"/>
    <w:rsid w:val="00E30110"/>
    <w:rsid w:val="00E70391"/>
    <w:rsid w:val="00E772F1"/>
    <w:rsid w:val="00E83C3B"/>
    <w:rsid w:val="00E93FC3"/>
    <w:rsid w:val="00EA3E91"/>
    <w:rsid w:val="00EA75DC"/>
    <w:rsid w:val="00EB1F84"/>
    <w:rsid w:val="00EB3A4B"/>
    <w:rsid w:val="00EF13D5"/>
    <w:rsid w:val="00EF170D"/>
    <w:rsid w:val="00F026CD"/>
    <w:rsid w:val="00F1426C"/>
    <w:rsid w:val="00F45BA1"/>
    <w:rsid w:val="00F94010"/>
    <w:rsid w:val="00FA15B7"/>
    <w:rsid w:val="00FB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7DD30"/>
  <w15:chartTrackingRefBased/>
  <w15:docId w15:val="{A6D0D729-2995-E94A-ACFC-A2B1B091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F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F7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41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13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13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13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13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6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67E679-AB35-CF42-8198-0D37319BF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2524</Characters>
  <Application>Microsoft Office Word</Application>
  <DocSecurity>0</DocSecurity>
  <Lines>44</Lines>
  <Paragraphs>13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 James</dc:creator>
  <cp:keywords/>
  <dc:description/>
  <cp:lastModifiedBy>Rebekah James</cp:lastModifiedBy>
  <cp:revision>2</cp:revision>
  <dcterms:created xsi:type="dcterms:W3CDTF">2026-05-04T06:25:00Z</dcterms:created>
  <dcterms:modified xsi:type="dcterms:W3CDTF">2026-05-04T06:25:00Z</dcterms:modified>
</cp:coreProperties>
</file>